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6-K is being filed to include the unaudited interim condensed consolidated financial statements of Diginex Limited (the “Company”) for the six months ended September 30, 2025, including Management’s Discussion and Analysis of Financial Condition and Results of Operations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2025, the Company issued a press release announcing its financial results for the six months ended September 30, 2025. A copy of the press release is attached hereto as Exhibit 99.2.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2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Unaudited Interim Condensed Consolidated Financial Statements for the Six Months ended September 30, 2025, including</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for such period</w:t>
            </w:r>
          </w:p>
        </w:tc>
        <w:tc>
          <w:tcPr>
            <w:tcW w:w="22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87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issued on December 9, 2025 Announcing Financial Results for the Six Months ended September 30, 2025.</w:t>
            </w:r>
          </w:p>
        </w:tc>
        <w:tc>
          <w:tcPr>
            <w:tcW w:w="1100" w:type="dxa"/>
            <w:vAlign w:val="bottom"/>
            <w:gridSpan w:val="2"/>
          </w:tcPr>
          <w:p>
            <w:pPr>
              <w:spacing w:after="0"/>
              <w:rPr>
                <w:sz w:val="17"/>
                <w:szCs w:val="17"/>
                <w:color w:val="auto"/>
              </w:rPr>
            </w:pPr>
          </w:p>
        </w:tc>
      </w:tr>
      <w:tr>
        <w:trPr>
          <w:trHeight w:val="21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INS</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SCH</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CAL</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DEF</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LAB</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 PRE</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DIGINEX LIMITED</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Blick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Blick</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UNAUDITED INTERIM CONDENSED CONSOLIDATED FINANCIAL STATEMENTS</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260" w:type="dxa"/>
            <w:vAlign w:val="bottom"/>
            <w:gridSpan w:val="7"/>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r>
      <w:tr>
        <w:trPr>
          <w:trHeight w:val="410"/>
        </w:trPr>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980" w:type="dxa"/>
            <w:vAlign w:val="bottom"/>
          </w:tcPr>
          <w:p>
            <w:pPr>
              <w:spacing w:after="0"/>
              <w:rPr>
                <w:sz w:val="24"/>
                <w:szCs w:val="24"/>
                <w:color w:val="auto"/>
              </w:rPr>
            </w:pPr>
          </w:p>
        </w:tc>
      </w:tr>
      <w:tr>
        <w:trPr>
          <w:trHeight w:val="238"/>
        </w:trPr>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as of and for the six months ended September 30, 2025 and 2024</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210"/>
        </w:trPr>
        <w:tc>
          <w:tcPr>
            <w:tcW w:w="5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196"/>
        </w:trPr>
        <w:tc>
          <w:tcPr>
            <w:tcW w:w="75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Profit or Loss and Other Comprehensive Loss</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0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Financial Position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Changes in Equity (Deficit)</w:t>
            </w:r>
          </w:p>
        </w:tc>
        <w:tc>
          <w:tcPr>
            <w:tcW w:w="402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6"/>
        </w:trPr>
        <w:tc>
          <w:tcPr>
            <w:tcW w:w="10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Cash Flows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Unaudited Interim Condensed Consolidated Financial Statements</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6-28</w:t>
            </w:r>
          </w:p>
        </w:tc>
      </w:tr>
      <w:tr>
        <w:trPr>
          <w:trHeight w:val="432"/>
        </w:trPr>
        <w:tc>
          <w:tcPr>
            <w:tcW w:w="6240" w:type="dxa"/>
            <w:vAlign w:val="bottom"/>
            <w:tcBorders>
              <w:bottom w:val="single" w:sz="8" w:color="auto"/>
            </w:tcBorders>
            <w:gridSpan w:val="4"/>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PROFIT OR LOSS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608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Notes</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09"/>
        </w:trPr>
        <w:tc>
          <w:tcPr>
            <w:tcW w:w="60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2,045,408</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520,795</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19"/>
                <w:szCs w:val="19"/>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(8,093,038)</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(4,717,260)</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(6,047,630)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or gains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259,958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3,278,531</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net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(7,344)</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(243,537)</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(5,795,016)</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(1,161,471)</w:t>
            </w:r>
          </w:p>
        </w:tc>
        <w:tc>
          <w:tcPr>
            <w:tcW w:w="100" w:type="dxa"/>
            <w:vAlign w:val="bottom"/>
          </w:tcPr>
          <w:p>
            <w:pPr>
              <w:spacing w:after="0"/>
              <w:rPr>
                <w:sz w:val="18"/>
                <w:szCs w:val="18"/>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Exchange (loss) gain on translation of foreign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jc w:val="both"/>
        <w:ind w:left="1140"/>
        <w:spacing w:after="0"/>
        <w:tabs>
          <w:tab w:leader="none" w:pos="3360" w:val="left"/>
        </w:tabs>
        <w:rPr>
          <w:sz w:val="20"/>
          <w:szCs w:val="20"/>
          <w:color w:val="auto"/>
        </w:rPr>
      </w:pPr>
      <w:r>
        <w:rPr>
          <w:rFonts w:ascii="Times New Roman" w:cs="Times New Roman" w:eastAsia="Times New Roman" w:hAnsi="Times New Roman"/>
          <w:sz w:val="18"/>
          <w:szCs w:val="18"/>
          <w:color w:val="auto"/>
        </w:rPr>
        <w:t>(5,805,766)</w:t>
      </w:r>
      <w:r>
        <w:rPr>
          <w:sz w:val="20"/>
          <w:szCs w:val="20"/>
          <w:color w:val="auto"/>
        </w:rPr>
        <w:tab/>
      </w:r>
      <w:r>
        <w:rPr>
          <w:rFonts w:ascii="Times New Roman" w:cs="Times New Roman" w:eastAsia="Times New Roman" w:hAnsi="Times New Roman"/>
          <w:sz w:val="18"/>
          <w:szCs w:val="18"/>
          <w:color w:val="auto"/>
        </w:rPr>
        <w:t>(1,161,471)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(2,259)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(5,808,025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(1,157,060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6"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3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September 30, 2025 and March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2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0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USD</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(Unaudited)</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222,637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59,247</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45,463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281,884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2,495,302</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10,073,821</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bank balance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383,400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1,850,673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3,111,141</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14,803,196</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(637,680)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(200,660)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(2,724,912)</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(706,874)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18"/>
                <w:szCs w:val="18"/>
                <w:color w:val="auto"/>
              </w:rPr>
            </w:pP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(611,260)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(505,424)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9"/>
                <w:szCs w:val="19"/>
                <w:color w:val="auto"/>
              </w:rPr>
            </w:pP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(181,091)</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(126,808)</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(4,154,943)</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(1,574,345)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9"/>
                <w:szCs w:val="19"/>
                <w:color w:val="auto"/>
              </w:rPr>
            </w:pP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(48,293)</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(110,867)</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10,648,253</w:t>
            </w:r>
          </w:p>
        </w:tc>
        <w:tc>
          <w:tcPr>
            <w:tcW w:w="3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4,397,682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6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10,881,844</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10,098</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54,608,823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25,689,436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17,18</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5,126,150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Warrant reserve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17,18</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61,886,200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79,263,200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reserve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(3,910)</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reserve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rPr>
                <w:sz w:val="18"/>
                <w:szCs w:val="18"/>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1,730,804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(112,476,321)</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(106,596,680)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10,881,844</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Share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740" w:type="dxa"/>
            <w:vAlign w:val="bottom"/>
          </w:tcPr>
          <w:p>
            <w:pPr>
              <w:spacing w:after="0"/>
              <w:rPr>
                <w:sz w:val="21"/>
                <w:szCs w:val="21"/>
                <w:color w:val="auto"/>
              </w:rPr>
            </w:pPr>
          </w:p>
        </w:tc>
        <w:tc>
          <w:tcPr>
            <w:tcW w:w="21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Share</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4"/>
              </w:rPr>
              <w:t>Warrant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Exchange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option</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74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premium</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reserve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reserve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reserve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reserve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losses</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USD</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194"/>
        </w:trPr>
        <w:tc>
          <w:tcPr>
            <w:tcW w:w="1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1,</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 pre-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3,752,669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2,409,689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(29,170,801)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(23,010,124)</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pre-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(27,368)</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Allotment of shares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1,346,800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1,346,800</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6,653,200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6,653,200</w:t>
            </w:r>
          </w:p>
        </w:tc>
      </w:tr>
      <w:tr>
        <w:trPr>
          <w:trHeight w:val="178"/>
        </w:trPr>
        <w:tc>
          <w:tcPr>
            <w:tcW w:w="1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Pre-capitalized</w:t>
            </w: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5,126,837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6,653,200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2,382,321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(29,170,801)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(15,010,124)</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Diginex Solutions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(HK) Limited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6,853,204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(5,126,150)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5,126,150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6,869,960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Founding share of the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6,869,961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6,869,961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Recapitalized balance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13,739,922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(1,161,471)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(1,161,471)</w:t>
            </w: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gain on</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of foreign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4,411</w:t>
            </w:r>
          </w:p>
        </w:tc>
      </w:tr>
      <w:tr>
        <w:trPr>
          <w:trHeight w:val="178"/>
        </w:trPr>
        <w:tc>
          <w:tcPr>
            <w:tcW w:w="1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comprehensive</w:t>
            </w: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(1,161,471)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(1,157,060)</w:t>
            </w: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awards post-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1,003,680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1,768,661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(1,768,661)</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option for the period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(283,690)</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283,690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option awards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320,533</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320,533</w:t>
            </w:r>
          </w:p>
        </w:tc>
      </w:tr>
      <w:tr>
        <w:trPr>
          <w:trHeight w:val="174"/>
        </w:trPr>
        <w:tc>
          <w:tcPr>
            <w:tcW w:w="17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05"/>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14,743,602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1,768,661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5,126,150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6,653,200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650,503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(30,048,582)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(15,846,601)</w:t>
            </w:r>
          </w:p>
        </w:tc>
      </w:tr>
      <w:tr>
        <w:trPr>
          <w:trHeight w:val="196"/>
        </w:trPr>
        <w:tc>
          <w:tcPr>
            <w:tcW w:w="1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1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1,</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(audited)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22,993,763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25,689,436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5,126,150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79,263,200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1,076,345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(106,596,680)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4,557,950</w:t>
            </w: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IPO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(Tranche 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28,919,387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(17,377,000)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11,542,500</w:t>
            </w: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25,243,763</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54,608,823</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61,886,200</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1,076,345</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(106,596,680)</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16,100,450</w:t>
            </w:r>
          </w:p>
        </w:tc>
        <w:tc>
          <w:tcPr>
            <w:tcW w:w="80" w:type="dxa"/>
            <w:vAlign w:val="bottom"/>
          </w:tcPr>
          <w:p>
            <w:pPr>
              <w:spacing w:after="0"/>
              <w:rPr>
                <w:sz w:val="18"/>
                <w:szCs w:val="18"/>
                <w:color w:val="auto"/>
              </w:rPr>
            </w:pPr>
          </w:p>
        </w:tc>
      </w:tr>
      <w:tr>
        <w:trPr>
          <w:trHeight w:val="198"/>
        </w:trPr>
        <w:tc>
          <w:tcPr>
            <w:tcW w:w="1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Bonus (as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in note 1.1)</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(8-to-1 bonus ratio)</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176,706,341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1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Post-Stock Bonus</w:t>
            </w: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balance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201,950,104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54,608,823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5,126,150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61,886,200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1,076,345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(106,605,515)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16,100,450</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(5,805,766)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(5,805,766)</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loss 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of foreign</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(2,259)</w:t>
            </w:r>
          </w:p>
        </w:tc>
      </w:tr>
      <w:tr>
        <w:trPr>
          <w:trHeight w:val="178"/>
        </w:trPr>
        <w:tc>
          <w:tcPr>
            <w:tcW w:w="1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comprehensive</w:t>
            </w: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(2,259)</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(5,805,766)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(5,808,025)</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option awards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654,459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(65,040)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589,419</w:t>
            </w:r>
          </w:p>
        </w:tc>
      </w:tr>
      <w:tr>
        <w:trPr>
          <w:trHeight w:val="174"/>
        </w:trPr>
        <w:tc>
          <w:tcPr>
            <w:tcW w:w="17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201,950,104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10,098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54,608,823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5,126,150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61,886,200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1,730,804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(112,476,321)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10,881,844</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23"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(5,795,016)</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(1,161,471)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 right-of-use assets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90,773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recognized in respect of trade receivables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17,649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(211,438)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589,419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320,533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expenses on anti-dilution issuance of preferred shares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369,648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loss of convertible loan notes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274,000</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gain of preferred shares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(3,539,648)</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(5,301,269)</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(3,420,347)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(1,118,406)</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87,552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(37,188)</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(210,466)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(18,028)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2,468,799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589,091</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105,836</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51,885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(3,881,478)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(3,892,228)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Resulticks Group Companies Pte Ltd</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 to Matter DK ApS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(759,004)</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rental deposit</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(8,772,788)</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the IPO Warrants (Tranche 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11,542,500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2,335,461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immediate holding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713,719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Repayment to a related company</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(34,579)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(103,373)</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(104,715)</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11,404,548</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2,944,515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(1,260,468)</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24,202</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3,111,141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76,620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disclosed below, there were no other material non-cash investing and financing activities during the six months end September 30,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September 30, 2025</w:t>
      </w:r>
    </w:p>
    <w:p>
      <w:pPr>
        <w:spacing w:after="0" w:line="225"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new lease agreements for the use of office space in the UK that expires on September 1, 2026. On the lease commencement, the Group recognized right-of-use assets and lease liabilities of $84,233 and $84,233,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September 30, 2024</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Group completed an $8.0 million capital raise with its largest shareholder, Rhino Ventures Limited, which was settled by advances of cash of $6.1 million and the conversion of loans from immediate holding company of $1.9 million. Upon the completion of the capital raise, Diginex Solutions (HK) Limited allotted 5,086 ordinary shares and 10,172 warrants to Rhino Ventures Limited. This capital raise triggered an anti-dilution clause in the Articles of Association which resulted in 151 Series A Preferred Shares being issued to HBM IV, Inc. with $Nil consideration.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a $1 million loan due to a related company, Diginex Holdings Limited, a company controlled by Rhino Ventures Limited, was converted into $1 million convertible loan notes, of which Rhino Ventures Limited holds $517,535 of the principal amount of the convertible loan note and Working Capital Innovation Fund II L.P. holds $482,465 of the principal amount of the convertible loan note. The convertible loan notes were converted into ordinary shares on December 20,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474"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ORGANIZATION AND PRINCIPAL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Diginex Limited (the “Company”) was incorporated on January 26, 2024 as an exempted company in the Cayman Islands with limited liability with its registered office at the office of Ogier Global (Cayman) Limited, 89 Nexus Way, Camana Bay, Grand Cayman, KY1-9099, Cayman Islands and principal place of business at 25 Wilton Road, Victoria, London, SW1V 1LM, United Kingdom. The Company is a listed company under the symbol “DGNX” since January 2025 and are cross-listed on the Frankfurt Stock Exchange (Open Market) and the Tradegate Exchange under the symbol “I0Q” since February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an investment holding company. Together with its subsidiaries (collectively referred to as the “Group”), the Group is a sustainable RegTech business that empowers businesses and governments to streamline ESG, climate, and supply chain data collection and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are presented in US dollars (“USD”), which is the same as the functional currency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the six months ended September 30, 2025 and 2024 were authorized for issue by the Board of Directors on December 8, 2025. The Board of Directors has the power to amend these interim condensed consolidated financial statements after issue.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Summary of significant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undertook the following transactions that significantly affected the financial position and performance of the Group:</w:t>
      </w:r>
    </w:p>
    <w:p>
      <w:pPr>
        <w:spacing w:after="0" w:line="225"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Rhino Ventures exercised tranche 1 of the IPO Warrants (as defined in note 19.2), with an exercise price of $5.13 per share, to purchase 2,250,000 ordinary shares of the Company. The total exercise price of US$11,542,500 has been delivered in full to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2025, the Company completed the distribution of a bonus shares issuance, whereby seven bonus ordinary shares were issued for every one ordinary share held (the “Stock Bonus”).</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the Company’s issued and outstanding ordinary shares increased proportionately by issuing 176,706,341 ordinary shares. As of September 8, 2025, the Company has 201,950,104 ordinary shares issued and outstanding. The securities held by the holders of the Company’s warrants and options outstanding as of September 5, 2025, were adjusted for the Stock Bonus. The Company’s authorized share capital and the par value per ordinary share remained unchanged.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Group reorganization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incorporated on January 26, 2024. On July 15, 2024, the Company completed a transaction pursuant to a share exchange agreement, whereby the then existing shareholders (the “Original Shareholders”) of Diginex Solutions (HK) Limited (“DSL”) transferred all of their shares in DSL to the Company, in consideration for the Company’s issuance of substantially the same securities to the Original Shareholders in exchange for the securities of DSL held by them (the “Exchange”). Prior to the Exchange, there were 16,756 ordinary shares of DSL issued and outstanding, 3,151 series A preferred shares of DSL issued and outstanding and 10,172 warrants of DSL (“DSL Private Warrants) issued and outstanding. In the Exchange, each of the securities of DSL were exchanged for substantially the same securities of the Company at an exchange ratio of one (1) ordinary share of DSL for four hundred and ten (410) Ordinary Shares of the Company (“Ordinary Shares”), one (1) series A preferred share of DSL for four hundred and ten (410) Preferred Shares of the Company (“Preferred Shares”) and one (1) warrant of DSL for four hundred and ten (410) warrants of the Company (“Private Warrants”). Within these unaudited interim condensed consolidated financial statements, the terms “Series A Preferred Shares” and “Preferred Shares” are used interchangeably.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connection with the Exchange, the Company and security holders of DSL consummated the following transactions (the “Ancillary Transactions”):</w:t>
      </w:r>
    </w:p>
    <w:p>
      <w:pPr>
        <w:spacing w:after="0" w:line="225" w:lineRule="exact"/>
        <w:rPr>
          <w:sz w:val="20"/>
          <w:szCs w:val="20"/>
          <w:color w:val="auto"/>
        </w:rPr>
      </w:pPr>
    </w:p>
    <w:p>
      <w:pPr>
        <w:jc w:val="both"/>
        <w:ind w:left="980" w:hanging="648"/>
        <w:spacing w:after="0" w:line="25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$4,350,000 new convertible loan notes (the “Notes”) to certain Original Shareholders in consideration for the cancellation of the then existing convertible loan notes issued by DSL and held by such Original Shareholders. The convertible loan notes automatically converted into Ordinary Shares upon the effectiveness of the Company’s registration statement on December 20, 2024;</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certain share option awards under a new share option plan that was adopted by the Company to the holders of the unexercised share options granted by DSL (the “Original DSL Awards”), in consideration for the cancellation of the Original DSL Awards held by such holders. There was no automatic vesting of any unvested Awards upon completion of an initial public offering, the board of directors, at their discretion, do have the ability to accelerate vesting at any point; and</w:t>
      </w:r>
    </w:p>
    <w:p>
      <w:pPr>
        <w:spacing w:after="0" w:line="1" w:lineRule="exact"/>
        <w:rPr>
          <w:rFonts w:ascii="Times New Roman" w:cs="Times New Roman" w:eastAsia="Times New Roman" w:hAnsi="Times New Roman"/>
          <w:sz w:val="18"/>
          <w:szCs w:val="18"/>
          <w:color w:val="auto"/>
        </w:rPr>
      </w:pPr>
    </w:p>
    <w:p>
      <w:pPr>
        <w:ind w:left="980" w:hanging="648"/>
        <w:spacing w:after="0" w:line="26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certain Private Warrants to purchase Ordinary Shares of the Company to the holders of the then existing DSL Private Warrants to purchase ordinary shares of DSL, in consideration for the cancellation of the DSL Private Warrants held by such holders.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upon consummation of the Exchange and the Ancillary Transactions (collectively the “Recapitalization”), DSL became a wholly owned subsidiary of the Company, and the Original Shareholders became shareholders of the Company. The remaining DSL security holders became security holders of the Company, in that they held the Company’s convertible loan notes, Awards and Private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Recapitalization,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of US$0.00005 par value each.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the Recapitalization, the Company became the holding company of the companies now comprising the Group, where both the Company and DSL operated under the common control of Rhino Ventures. The Group comprising of the Company and its subsidiaries resulting from the Recapitalization is regarded as a continuing entity, accordingly, these interim condensed consolidated financial statements for the six months ended September 30, 2025 and 2024 have been prepared as if the Company had always been the holding company of the Group with the reserves being retrospectively adjusted to reflect the Recapitalization.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the six months ended September 30, 2025 and 2024 have been prepared in accordance with the International Accounting Standards (“IAS”) 34 Interim Financial Reporting issued by the International Accounting Standards Board (“IASB”).</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do not include all the information and disclosures required in the annual financial statements and should be read in conjunction with the audited consolidated financial statements of the Company for the year ended March 31,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six months ended September 30, 2025 are not necessarily indicative of the results that may be expected for the year ending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unaudited interim condensed consolidated financial statements include all adjustments necessary to make the financial statements not misleading, and all adjustments are of a normal recurring nature.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at the time of approving these unaudited interim condensed consolidated financial statements, a reasonable expectation that the Group has adequate resources to continue in operational existence for at least 12 months from the date approving these unaudited interim condensed consolidated financial statements. Thus, they continue to adopt the going concern basis of accounting in preparing the unaudited interim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Application of new and amendments to IFRSs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adopted in the preparation of these unaudited interim condensed consolidated financial statements are consistent with those followed in the preparation of the Group’s annual financial statements as of and for the year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POLICY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these unaudited interim condensed consolidated financial statements requires management to make judgements,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these unaudited interim condensed consolidated financial statements, the accounting policies and methods of computation used are the same as those applied to the audited consolidated financial statements as at and for the year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KEY SOURCES OF JUDGEMENTS AND ESTIMATION UNCERTAINTY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these unaudited interim condensed consolidated financial statements, the Group’s key sources of judgements and estimation uncertainty are the same as those applied to the audited consolidated financial statements as at and for the year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REVENUE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An analysis of the Group’s revenue for the reporting periods are as follows: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191"/>
        </w:trPr>
        <w:tc>
          <w:tcPr>
            <w:tcW w:w="5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point-in-time: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license fees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1,624,000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Customization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38,152</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Advisory service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93,325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72,800</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1,755,477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subscription fees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289,931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211,806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289,931</w:t>
            </w:r>
          </w:p>
        </w:tc>
        <w:tc>
          <w:tcPr>
            <w:tcW w:w="32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2,045,408</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520,795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GENERAL AND ADMINISTRATIVE EXPENSES</w:t>
            </w: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Notes</w:t>
            </w:r>
          </w:p>
        </w:tc>
        <w:tc>
          <w:tcPr>
            <w:tcW w:w="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191"/>
        </w:trPr>
        <w:tc>
          <w:tcPr>
            <w:tcW w:w="58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3,063,757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(b)</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2,964,810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w:t>
            </w: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823,592</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Travelling expenses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(d)</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362,781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(e)</w:t>
            </w: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249,727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Audit fee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170,825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 right-of-use assets</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5"/>
              </w:rPr>
              <w:t>(g)</w:t>
            </w: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90,773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63,036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expenses on anti-dilution issuance of preferred shares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(h)</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3"/>
              </w:rPr>
              <w:t>(i)</w:t>
            </w:r>
          </w:p>
        </w:tc>
        <w:tc>
          <w:tcPr>
            <w:tcW w:w="2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366,773</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208,910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8,093,038</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4,717,260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by-nature classification of general and administrative expenses for the six months ended September 30, 2024 has been represented to conform with the presentation for the six months ended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64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4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1"/>
        </w:trPr>
        <w:tc>
          <w:tcPr>
            <w:tcW w:w="6480" w:type="dxa"/>
            <w:vAlign w:val="bottom"/>
          </w:tcPr>
          <w:p>
            <w:pPr>
              <w:spacing w:after="0"/>
              <w:rPr>
                <w:sz w:val="16"/>
                <w:szCs w:val="16"/>
                <w:color w:val="auto"/>
              </w:rPr>
            </w:pPr>
          </w:p>
        </w:tc>
        <w:tc>
          <w:tcPr>
            <w:tcW w:w="1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78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r>
      <w:tr>
        <w:trPr>
          <w:trHeight w:val="234"/>
        </w:trPr>
        <w:tc>
          <w:tcPr>
            <w:tcW w:w="64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2,402,216</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1,792,793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72,122</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49,805</w:t>
            </w: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589,419</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320,533</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3,063,757</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2,163,131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above includes the cost of both employees and contractors. At September 30, 2025, the Company had 27 employees and 11 contractors (2024: 19 employees and 10 contractors). The Company also contracted with 3 paid non-executive directors during the period ended September 30, 2025. During the period ended September 30, 2025 the Company contracted with 2 non-paid non-executive directors.</w:t>
      </w:r>
    </w:p>
    <w:p>
      <w:pPr>
        <w:spacing w:after="0" w:line="176" w:lineRule="exact"/>
        <w:rPr>
          <w:sz w:val="20"/>
          <w:szCs w:val="20"/>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September 30, 2025, professional fees primarily consisted of the legal fees and due diligence costs, and other professional expenses incurred in connection with the acquisition of Matter DK Aps, which completed on October 3, 2025 (see note 25). These fees also included costs associated with evaluating and preparing for other proposed merger and acquisition transactions (“M&amp;A”), such as financial, tax, and legal reviews, as well as strategic assessments to support other potential business combinations and growth opportunities.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September 30, 2024, professional fees were primarily attributable to legal and professional services relating to the preparation of the Form F-1 of the Company and the Initial Public Offering (the “IPO”), which is successfully closed in January 2025.</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development and maintenance support costs relate, primarily, to those associated with a third party that contributes to offer research, development and maintenance services for the Group’s commercial products. The costs also include server expenses for hosting the products. Included in IT development and maintenance support, the Group incurred research and development expenses of $405,330 for the six months ended September 30, 2025 (2024: $515,493) and no research and development expenditure is recognized as an internally generated intangible asset for both the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542" w:gutter="0" w:footer="0" w:header="0"/>
        </w:sectPr>
      </w:pPr>
    </w:p>
    <w:bookmarkStart w:id="13" w:name="page14"/>
    <w:bookmarkEnd w:id="13"/>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Travelling expenses increased as the Group met with investors, engaged in M&amp;A activity and sought business opportunities.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September 30, 2025, investor relations expenses primarily included costs related to media relations, investor engagement activities, and promotional content creation. These expenses reflect the Company’s efforts to maintain strong investor communications and enhance its visibility in global markets.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fees primarily represent the fees accrued for the Public Company Accounting Oversight Board (“PCAOB”) audits of the Company’s consolidated financial statements.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September 30, 2024, the amount is represented the amortization expense in connection with the office lease in Monaco entered into by the Group in July 2023.</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during the six months ended September 30, 2025 is due to the additional amortization expenses recognized in connection with the new office lease in UK that commenced in April 2025.</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Group completed an $8.0 million capital raise with Rhino Ventures (the “Capital Raise”), which triggered an anti-dilution clause in the Articles of Association of DSL and resulted in 151 Series A Preferred Shares of DSL being issued to HBM IV, Inc. for $Nil consideration. In connection with the issuance, share-based payments expenses of $369,648 were recognized during the period (September 30, 2025: $Nil).</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recruitment fees, insurance, bank charges, general office expenses, marketing and others.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INCOME, GAINS OR (LOSSES)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8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Notes</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1"/>
        </w:trPr>
        <w:tc>
          <w:tcPr>
            <w:tcW w:w="58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3,539,648</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211,438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Subsidies from government authorities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12,806</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259,958</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the Group allotted 3,000 Preferred Shares to a shareholder for a consideration of $6,000,000. Preferred Shares were fair valued, using an equity allocation model at the end of each reporting period, which resulted in a gain of $3,539,648 for the six months ended September 30, 2024.</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following the Company’s registration statement Form F-1 being declared effective by the SEC, the outstanding Preferred Shares were converted into Ordinary Shares. No Preferred Shares were outstanding as of March 31, 2025 and no fair value change was recognized for the six months ended September 30, 2025 accordingly.</w:t>
      </w:r>
    </w:p>
    <w:p>
      <w:pPr>
        <w:spacing w:after="0" w:line="175"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issued 8% convertible loan notes with an aggregate face value of $4,350,000. The Notes were fair valued, using binomial option pricing model, at the end of each reporting period, resulting in a loss of $274,000 for the six months ended September 30, 2024.</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following the Company’s registration statement Form F-1 being declared effective by the SEC, all the outstanding Notes were converted into Ordinary Shares. No Notes were outstanding as of March 31, 2025 and no fair value change was recognized for the six months ended September 30, 2025 accordingly.</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interest income represents the interest earned from loans to Matter DK ApS and advances to Resulticks Group Companies Pte Ltd. For details of the loans and the advance, see note 12.3.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FINANCE COSTS, NET</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151,245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58,077</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24,548</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9,667</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income tax expense of the Group represented withholding tax paid following a sale of a software license to a client based in India. There was no other current tax expense or deferred tax expense for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current or deferred tax expense for the six months ended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Current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income tax expense for the period can be reconciled to the loss for the period per the unaudited interim condensed consolidated statement of profit or loss and other comprehensive loss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Notional tax calculated at the rates applicable to profits in the tax jurisdictions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 of expenses that are not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effect of tax losses not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paid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Deferred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Six Months Ended</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September 30, 2025</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40" w:type="dxa"/>
            <w:vAlign w:val="bottom"/>
          </w:tcPr>
          <w:p>
            <w:pPr>
              <w:spacing w:after="0"/>
              <w:rPr>
                <w:sz w:val="16"/>
                <w:szCs w:val="16"/>
                <w:color w:val="auto"/>
              </w:rPr>
            </w:pPr>
          </w:p>
        </w:tc>
      </w:tr>
      <w:tr>
        <w:trPr>
          <w:trHeight w:val="216"/>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(Unaudited)</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(Unaudited)</w:t>
            </w:r>
          </w:p>
        </w:tc>
      </w:tr>
      <w:tr>
        <w:trPr>
          <w:trHeight w:val="261"/>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(5,795,016)</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(1,161,471)</w:t>
            </w: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(405,900)</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(576,164)</w:t>
            </w:r>
          </w:p>
        </w:tc>
      </w:tr>
      <w:tr>
        <w:trPr>
          <w:trHeight w:val="216"/>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81,644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131,484</w:t>
            </w:r>
          </w:p>
        </w:tc>
        <w:tc>
          <w:tcPr>
            <w:tcW w:w="40" w:type="dxa"/>
            <w:vAlign w:val="bottom"/>
          </w:tcPr>
          <w:p>
            <w:pPr>
              <w:spacing w:after="0"/>
              <w:rPr>
                <w:sz w:val="18"/>
                <w:szCs w:val="18"/>
                <w:color w:val="auto"/>
              </w:rPr>
            </w:pPr>
          </w:p>
        </w:tc>
      </w:tr>
      <w:tr>
        <w:trPr>
          <w:trHeight w:val="216"/>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324,256</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444,680</w:t>
            </w:r>
          </w:p>
        </w:tc>
        <w:tc>
          <w:tcPr>
            <w:tcW w:w="40" w:type="dxa"/>
            <w:vAlign w:val="bottom"/>
          </w:tcPr>
          <w:p>
            <w:pPr>
              <w:spacing w:after="0"/>
              <w:rPr>
                <w:sz w:val="18"/>
                <w:szCs w:val="18"/>
                <w:color w:val="auto"/>
              </w:rPr>
            </w:pPr>
          </w:p>
        </w:tc>
      </w:tr>
      <w:tr>
        <w:trPr>
          <w:trHeight w:val="248"/>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420" w:space="560"/>
            <w:col w:w="4260"/>
          </w:cols>
          <w:pgMar w:left="320" w:top="657"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has accumulated tax losses of $24,651,515 at September 30, 2025 (March 31, 2025: $22,775,852) that are available indefinitely for offsetting against future taxable profits of the respective group companies in which the losses arose. No deferred tax asset has been recognized in respect of the tax losses.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make profits in the future, utilization is still not considered probable and as such, no deferred tax asset has been recognized.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 for the purpose of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Effect of dilutive potential 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Fair value change of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 for the purpose of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1217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USD</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(5,805,766)</w:t>
      </w:r>
    </w:p>
    <w:p>
      <w:pPr>
        <w:spacing w:after="0" w:line="23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(5,805,766)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40005</wp:posOffset>
            </wp:positionV>
            <wp:extent cx="12172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00" w:firstLine="104"/>
        <w:spacing w:after="0" w:line="268" w:lineRule="auto"/>
        <w:rPr>
          <w:sz w:val="20"/>
          <w:szCs w:val="20"/>
          <w:color w:val="auto"/>
        </w:rPr>
      </w:pPr>
      <w:r>
        <w:rPr>
          <w:rFonts w:ascii="Times New Roman" w:cs="Times New Roman" w:eastAsia="Times New Roman" w:hAnsi="Times New Roman"/>
          <w:sz w:val="18"/>
          <w:szCs w:val="18"/>
          <w:color w:val="auto"/>
        </w:rPr>
        <w:t>Six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wp:posOffset>
            </wp:positionV>
            <wp:extent cx="1208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USD</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(1,161,471)</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(3,539,648)</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(4,701,119)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40005</wp:posOffset>
            </wp:positionV>
            <wp:extent cx="12084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3">
            <w:col w:w="6740" w:space="720"/>
            <w:col w:w="1500" w:space="720"/>
            <w:col w:w="156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Weighted average number of ordinary shares for the purpose of basic loss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potential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number of ordinary shares for the purpose of diluted loss per share</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191,456,817</w:t>
      </w:r>
      <w:r>
        <w:rPr>
          <w:sz w:val="20"/>
          <w:szCs w:val="20"/>
          <w:color w:val="auto"/>
        </w:rPr>
        <w:tab/>
      </w:r>
      <w:r>
        <w:rPr>
          <w:rFonts w:ascii="Times New Roman" w:cs="Times New Roman" w:eastAsia="Times New Roman" w:hAnsi="Times New Roman"/>
          <w:sz w:val="18"/>
          <w:szCs w:val="18"/>
          <w:color w:val="auto"/>
        </w:rPr>
        <w:t>101,946,491</w:t>
      </w:r>
    </w:p>
    <w:p>
      <w:pPr>
        <w:spacing w:after="0" w:line="220" w:lineRule="exact"/>
        <w:rPr>
          <w:sz w:val="20"/>
          <w:szCs w:val="20"/>
          <w:color w:val="auto"/>
        </w:rPr>
      </w:pPr>
    </w:p>
    <w:p>
      <w:pPr>
        <w:jc w:val="both"/>
        <w:ind w:left="600"/>
        <w:spacing w:after="0"/>
        <w:tabs>
          <w:tab w:leader="none" w:pos="2300" w:val="left"/>
        </w:tabs>
        <w:rPr>
          <w:sz w:val="20"/>
          <w:szCs w:val="20"/>
          <w:color w:val="auto"/>
        </w:rPr>
      </w:pP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8"/>
          <w:szCs w:val="18"/>
          <w:color w:val="auto"/>
        </w:rPr>
        <w:t>20,362,024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17145</wp:posOffset>
            </wp:positionV>
            <wp:extent cx="2631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191,456,817</w:t>
      </w:r>
      <w:r>
        <w:rPr>
          <w:sz w:val="20"/>
          <w:szCs w:val="20"/>
          <w:color w:val="auto"/>
        </w:rPr>
        <w:tab/>
      </w:r>
      <w:r>
        <w:rPr>
          <w:rFonts w:ascii="Times New Roman" w:cs="Times New Roman" w:eastAsia="Times New Roman" w:hAnsi="Times New Roman"/>
          <w:sz w:val="18"/>
          <w:szCs w:val="18"/>
          <w:color w:val="auto"/>
        </w:rPr>
        <w:t>122,308,515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17145</wp:posOffset>
            </wp:positionV>
            <wp:extent cx="263144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657" w:right="339" w:bottom="1440" w:gutter="0" w:footer="0" w:header="0"/>
          <w:type w:val="continuous"/>
        </w:sectPr>
      </w:pPr>
    </w:p>
    <w:p>
      <w:pPr>
        <w:spacing w:after="0" w:line="66"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used in the calculation of basic and diluted loss per share for the six months ended September 30, 2024 have been restated to incorporate the impact of the Stock Bonus in September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the losses during the six months ended September 30, 2025 and 2024, certain anti-dilutive instruments were excluded from the calculation of diluted loss per share. The excluded instruments, which are determined as anti-dilutive, include:</w:t>
      </w:r>
    </w:p>
    <w:p>
      <w:pPr>
        <w:sectPr>
          <w:pgSz w:w="11900" w:h="16838" w:orient="portrait"/>
          <w:cols w:equalWidth="0" w:num="1">
            <w:col w:w="11240"/>
          </w:cols>
          <w:pgMar w:left="320" w:top="657" w:right="339" w:bottom="1440" w:gutter="0" w:footer="0" w:header="0"/>
          <w:type w:val="continuous"/>
        </w:sectPr>
      </w:pP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awards of 6,905,608 at September 30, 2025 (2024: 665,646 (pre-Stock Bonus)), see note 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with aggregate face values of $4,350,000 at September 30,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Warrants and IPO Warrants at September 30, 2025 and 2024, see note 18.2.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RIGHT-OF-USE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relate to office space leased by the Group. The amount in respect of lease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Modification adjustment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March 31, 2025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Exchange realignment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September 30, 2025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17145</wp:posOffset>
            </wp:positionV>
            <wp:extent cx="1208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USD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357,202</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(125,575)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1208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225,672</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84,233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(90,773)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1208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222,637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17145</wp:posOffset>
            </wp:positionV>
            <wp:extent cx="12084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34290</wp:posOffset>
            </wp:positionV>
            <wp:extent cx="1208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80" w:space="720"/>
            <w:col w:w="840"/>
          </w:cols>
          <w:pgMar w:left="320" w:top="657" w:right="339" w:bottom="1440" w:gutter="0" w:footer="0" w:header="0"/>
          <w:type w:val="continuous"/>
        </w:sectPr>
      </w:pPr>
    </w:p>
    <w:p>
      <w:pPr>
        <w:spacing w:after="0" w:line="66" w:lineRule="exact"/>
        <w:rPr>
          <w:sz w:val="20"/>
          <w:szCs w:val="20"/>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rent reviews relating to the Monaco office in February 2025 and modification adjustments were made to account for the change in monthly rent.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Group entered into a new lease agreement in the UK which expires September 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12 TRADE RECEIVABLES, CONTRACT ASSETS, OTHER RECEIVABLES, DEPOSITS AND PREPAYMENT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12.1 Trade receivables, net</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2,513,696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1,394,545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(18,394)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 receivables are non-interest bearing and generally have credit terms of 30 days.</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the trade receivables at the end of the reporting period, based on the invoice date and net of loss allowance,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month</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1,866,294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1,219,953</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Between 1 month and 3 months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158,350</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months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607,508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16,242</w:t>
            </w: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2,495,302</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loss allowance for impairment of trade receivables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beginning of the period/year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the period/year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off for the period/year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 for the period/year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period/year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31, 2025</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60" w:type="dxa"/>
            <w:vAlign w:val="bottom"/>
          </w:tcPr>
          <w:p>
            <w:pPr>
              <w:spacing w:after="0"/>
              <w:rPr>
                <w:sz w:val="16"/>
                <w:szCs w:val="16"/>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60" w:type="dxa"/>
            <w:vAlign w:val="bottom"/>
          </w:tcPr>
          <w:p>
            <w:pPr>
              <w:spacing w:after="0"/>
              <w:rPr>
                <w:sz w:val="18"/>
                <w:szCs w:val="18"/>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18,394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48"/>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-736600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trade receivables of $Nil (2024: $4,314) were written off due to uncollectible as assessed by management. The carrying amounts of trade receivables are approximate their fair values.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12.2 Contract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relate to client contracts that have been completed, revenue recognized but is yet to be invoiced.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 Other receivables, deposits and prepayment</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608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Notes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r>
      <w:tr>
        <w:trPr>
          <w:trHeight w:val="191"/>
        </w:trPr>
        <w:tc>
          <w:tcPr>
            <w:tcW w:w="60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57,285</w:t>
            </w: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63,914</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245,811</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fund-raising costs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Matter DK ApS</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764,141</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to Resulticks Group Companies Pte Ltd</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8,206,301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shd w:val="clear" w:color="auto" w:fill="CCEEFF"/>
          </w:tcPr>
          <w:p>
            <w:pPr>
              <w:spacing w:after="0"/>
              <w:rPr>
                <w:sz w:val="19"/>
                <w:szCs w:val="19"/>
                <w:color w:val="auto"/>
              </w:rPr>
            </w:pPr>
          </w:p>
        </w:tc>
      </w:tr>
      <w:tr>
        <w:trPr>
          <w:trHeight w:val="263"/>
        </w:trPr>
        <w:tc>
          <w:tcPr>
            <w:tcW w:w="60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10,073,821</w:t>
            </w:r>
          </w:p>
        </w:tc>
        <w:tc>
          <w:tcPr>
            <w:tcW w:w="320" w:type="dxa"/>
            <w:vAlign w:val="bottom"/>
            <w:tcBorders>
              <w:bottom w:val="single" w:sz="8" w:color="CCEEFF"/>
            </w:tcBorders>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1,066,191</w:t>
            </w: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59,247</w:t>
            </w: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45,463</w:t>
            </w:r>
          </w:p>
        </w:tc>
        <w:tc>
          <w:tcPr>
            <w:tcW w:w="60" w:type="dxa"/>
            <w:vAlign w:val="bottom"/>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080"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deposits represent amounts paid to an employment agency in Germany and deposit for investor relations services. Non-current deposit of $59,247 (March 31, 2025: $45,463) represents the deposits for leases of office space in Monaco and the UK.</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consist of the advance payment of the Directors and Officers liability insurance premium, covering the 12 months period from January 2025, and prepaid software or license subscriptions. The decrease is primarily due to amortization of these items during the six months period ended September 30, 2025.</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deferred fund-raising costs represent payments of $400,000 and $250,000 under the Nomas MOU (as defined in note 24) and the Al Noor MOU (as defined in note 24), respectively. The increase during the six months ended September 30, 2025 is due to an additional payment of $150,000 under the Al Noor MOU in June 2025.</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loans to Matter DK ApS with a total amount of EUR650,000 (equivalent to $759,004) and the accrued interest of $5,137. The loan principal accrues interest at a rate of 5% per annum.</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the acquisition of Matter DK ApS on October 3, 2025 (see note 25).</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2025, the Company entered into a funding agreement (“FA”) with Resulticks Group Companies Pte Ltd (“Resulticks”), under which the Company agreed to provide Resulticks with funding of up to $11,000,000, to be disbursed in tranches as mutually agreed, with funding intended to be completed by July 11, 2025, and to be offset against the proposed $200 million post-acquisition funding, if the proposed acquisition proceeds.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original FA, if (a) the parties determined not to proceed with the acquisition, or (b) failed to enter into a definitive agreement by July 28, 2025 (or such later date as may be mutually agreed) (each a “Deal Failure”), any amounts disbursed were repayable within 45 calendar days and accrued interest at a rate of 10% per annum, effective from the date of initial disbursement until repayment.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the parties amended the FA to make all disbursed funding immediately due on September 30, 2025 (or a mutually agreed later date) and extended the memorandum of understanding deadlines to October 31, 2025.</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if Resulticks raises capital or draws down from a debt facility prior to the acquisition or a Deal Failure, the proceeds from such funding must be applied to repay any amounts disbursed by the Company under the funding arrangement.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2025 the Company has disbursed $8 million to Resulticks.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TRADE PAYABLES, OTHER PAYABLES AND ACCRUALS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08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191"/>
        </w:trPr>
        <w:tc>
          <w:tcPr>
            <w:tcW w:w="60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637,680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200,660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12,118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2,712,794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695,022</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3,362,592</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accruals from March 31, 2025 is primarily due to the legal fees, due diligence costs, and other professional expenses incurred in connection with the acquisition of Matter DK ApS and other proposed merger and acquisition transactions. Other accruals relate to audit fees, holiday pay and other costs associated with the on-going running of the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DEFERRED REVENUES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104,710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145,760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Customization income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81,600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42,600</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424,950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317,064</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611,260</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1, 2024, deferred revenues amounted to $322,826.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relate to revenues that have been invoiced to the client but not yet earned. The deferred revenues are expected to be recognized as revenue in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those related party transactions and balances disclosed elsewhere in the unaudited interim condensed consolidated financial statements,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had the following transactions with its related parties during the reporting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08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Notes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1"/>
        </w:trPr>
        <w:tc>
          <w:tcPr>
            <w:tcW w:w="60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 income</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16,070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23,639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Consultancy fee</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expenses on anti-dilution issuance of Preferred Shares</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369,648</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charges 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24,548</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58,077</w:t>
            </w:r>
          </w:p>
        </w:tc>
      </w:tr>
      <w:tr>
        <w:trPr>
          <w:trHeight w:val="24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(f)</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151,245</w:t>
            </w:r>
          </w:p>
        </w:tc>
        <w:tc>
          <w:tcPr>
            <w:tcW w:w="100" w:type="dxa"/>
            <w:vAlign w:val="bottom"/>
            <w:shd w:val="clear" w:color="auto" w:fill="CCEEFF"/>
          </w:tcPr>
          <w:p>
            <w:pPr>
              <w:spacing w:after="0"/>
              <w:rPr>
                <w:sz w:val="21"/>
                <w:szCs w:val="2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2025, the Group entered into sales agreements with certain shareholders amounting to $16,070 in revenue generated (2024: $23,639).</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September 30, 2025, Miles Pelham, controller of Rhino Ventures, engaged as a contractor to provide management services in return for a fee of $125,000 (2024: $125,000).</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151 Preferred Shares of DSL triggered by the Capital Raise, share-based payments expenses of $369,648 were recognized during the six months ended September 30, 2024 (2025: $Nil).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a loan from a related company, Diginex (Holdings) Limited, with a principal of $1,000,000. The loan bore an 8% annual interest charge and interest of $24,548 was accrued during the six months ended September 30, 2024.</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Recapitalization in July 2025, the loan was converted into convertible loan notes. The convertible loan notes were converted into Ordinary Shares on December 20, 2025.</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loans outstanding from the immediate holding company, Rhino Ventures. The loans bore an 8% annual interest charge and interest of $58,077 was accrued during the six months ended September 30, 2024.</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2025, pursuant to a triparty loan agreements entered into between the Company, DSL, and Rhino Ventures dated September 30, 2024, the loans were fully settled through the capitalization by issuing Ordinary Shares and cash settlement. At March 31, 2025, there was no balance outstanding, and no interest was accrued for the six months ended September 30, 2025 accordingly.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issued 8% convertible loan notes to the shareholders of the Company. Interest of $151,245 was accrued during the six months ended September 30, 2024.</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December 20, 2024, all the outstanding convertible loan notes were converted into Ordinary Shares. No convertible loan notes were outstanding as of March 31, 2025 and no interest was accrued for the six months ended September 30, 2025 accordingly.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15.2 Due to a related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amount due to a related company, Compass Limited, of $34,579 related to the deposit for the office lease in Monaco. Compass Limited is a company controlled by Rhino Ventures. The balance was repaid during the period and there was no outstanding balance as of September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amount was unsecured, interest-free and repayable on demand.</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15.3 Key management compensation</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813,713</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282,965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274,497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1,103,602</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Senior representatives are considered as key management personnel of the Group.</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15.4 Amounts due to key management</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expense reimbursement of $25,778 (March 31, 2025: $68,724) were outstanding to key management personnel and were included in accruals.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15.5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2024, Rhino Ventures was issued with warrants in DSL in connection with the $8 million Capital Raise. Following the Group restructure, there were 4,170,520 warrants issued and outstanding and exercisable for a period of three years from the date they were issued and are exercisable at a price of US$6.13 per warrant. The warrants, if fully exercised, will result in the issuance of shares equal to 51% of the Company’s outstanding Ordinary Shares at the time the warrants are exercised. This amount will be prorated in the event of partial exercise of the warrants. See note 18.2 for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2025, the Company issued Rhino Ventures the IPO Warrants in connection with the IPO. See note 18.2 for details.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2025, Rhino Ventures exercised tranche 1 of the IPO Warrants, with an exercise price of $5.13 per share, to purchase 2,250,000 Ordinary Shares. The total exercise price of $11,542,500 has been delivered in full to the Company following non-interest bearing advances from Rhino Ventures in both June and July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15.6 Convertible Loan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$4,350,000 convertible loan notes with an 8% coupon, of which all were held by related parties due to their shareholding in the Company. Rhino Ventures held $517,535, HBM IV, Inc. held $2,000,000 and Nalimz Holdings Limited held $1,000,000, Working Capital Innovation Fund II held $582,465 and Hafnia Pte Ltd held $250,000.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2024, following the Company’s registration statement being declared effective by the SEC, all the outstanding convertible loan notes with an aggregate face value of $4,350,000 and accrued interest of $751,781, totaling $5,101,781, were converted into Ordinary Shares at a conversion price of $2.17 resulting in the issuance of 2,347,134 Ordinary Shares. Subsequent to the conversion, there were no convertible loan notes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LEASE LIABILITIES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lease liability is as follows: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beginning of the period/year</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237,675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lease liability</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84,233</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(note 8)</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7,344</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17,236</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modification adjustment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lease liability</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(103,373)</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(138,962)</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realignment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end of the period/year</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Classified in the unaudited interim condensed consolidated statements of financial position as follows: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181,091</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48,293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110,867</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of lease liabilities is as follows: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191,563</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one year and not later than five years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113,058</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236,786</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(7,402)</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(11,053)</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 deemed reverse acquisition (as discussed in note 3), the historical shareholders’ equity of DSL, being the accounting acquirer (legal acquiree) prior to the Transaction is retrospectively adjusted to reflect the legal capital structure of the accounting acquiree (legal acquirer) and the Share Subdivision. This is calculated by using the exchange ratio as determined on the completion of the Transaction being 410 shares in the Company for each DSL share and multiplying by 2 for the impact of Share Subdivision. The difference in value of the share capital arising from this conversion versus the share capital amount in DSL is recorded in equity under the capital reserve.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the Company have a par value of $0.00005 after the Share Subdivision.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 capital</w:t>
            </w:r>
          </w:p>
        </w:tc>
      </w:tr>
      <w:tr>
        <w:trPr>
          <w:trHeight w:val="216"/>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of capital</w:t>
            </w:r>
          </w:p>
        </w:tc>
      </w:tr>
      <w:tr>
        <w:trPr>
          <w:trHeight w:val="216"/>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reserve and</w:t>
            </w:r>
          </w:p>
        </w:tc>
      </w:tr>
      <w:tr>
        <w:trPr>
          <w:trHeight w:val="234"/>
        </w:trPr>
        <w:tc>
          <w:tcPr>
            <w:tcW w:w="3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Share capital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Warrant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r>
      <w:tr>
        <w:trPr>
          <w:trHeight w:val="210"/>
        </w:trPr>
        <w:tc>
          <w:tcPr>
            <w:tcW w:w="39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premium</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reserve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reserve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reserve</w:t>
            </w:r>
          </w:p>
        </w:tc>
      </w:tr>
      <w:tr>
        <w:trPr>
          <w:trHeight w:val="209"/>
        </w:trPr>
        <w:tc>
          <w:tcPr>
            <w:tcW w:w="39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USD</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2024 (audited)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11,626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3,752,669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3,752,669</w:t>
            </w: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 awards (pre-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recapitalization)</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27,368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27,368</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Raise</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1,346,800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6,653,200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Pre-recapitalized balance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5,126,837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 of DSL (1:410 exchange ratio)</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6,853,204</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(5,126,150)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5,126,150</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Founding share of the Company</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6,869,961</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6,869,961</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Recapitalized balance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13,739,922</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 awards (post-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1,003,680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1,768,661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1,768,711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Shares</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2,583,820</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5,610,871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5,611,000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2,347,134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6,133,664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6,133,781</w:t>
            </w: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Capitalization of loan from immediate holding</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731,707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2,999,963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and Exercise of overallotment option</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2,587,500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9,176,277</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9,176,407</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IPO Warrants</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72,610,000</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 (audited)</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22,993,763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25,689,436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79,263,200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110,079,936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2025 (audited)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22,993,763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25,689,436</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5,126,150</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79,263,200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110,079,936</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the IPO Warrants (Tranche 1)</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2,250,000</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28,919,387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(17,377,000)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11,542,500</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25,243,763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54,608,823</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61,886,200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121,622,436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Bonus split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176,706,341</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8,835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8,835</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 (unaudited)</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201,950,104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54,608,823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61,886,200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121,631,271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3" w:name="page24"/>
    <w:bookmarkEnd w:id="23"/>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DSL issued 44 shares to an employee via the exercising of vested employee share options. These shares rank pari passu with the existing ordinary shares of DSL in all respects. These shares equate to 36,080 shares post the Recapitalization.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2024, DSL and its subsidiaries (collectively referred to as the “DSL Group”) completed the Capital Raise and DSL allotted 5,086 ordinary shares and 10,172 warrants to Rhino Ventures. The warrants have a fair value of $6,653,200 and $1,346,800 being allocated to share capital with a total value recognized in reserves of $8,000,000. These shares equate to 4,170,520 shares post the Recapitalization.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15, 2024, the Company completed the Recapitalization. Prior to the Recapitalization, the Company had issued one founding share with a par value of USD 0.0001 and was a newly incorporated entity without material business activities, while DSL was the parent of the DSL Group. The Transaction resulted in the Company becoming the immediate holding company of DSL and DSL became a wholly owned subsidiary of the Company. The Recapitalization resulted in one share in DSL being exchanged for four hundred and ten (410) Ordinary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2024, the authorized share capital of the Company changed to USD50,000 divided into 960,000,000 Ordinary Shares of USD0.00005 par value each and 40,000,000 Preferred Shares of USD0.00005 par value each. The Share Subdivision resulted in the shareholding of each Company shareholder increasing by a multiple of two.</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issued 1,003,680 shares to certain employees via the exercising of vested employee share options. These shares rank pari passu with the Ordinary Shares in all respects.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the Company’s registration statement Form F-1 being declared effective by the SEC. This resulted in outstanding Preferred Shares converting into 2,583,820 Ordinary Shares on a 1:1 basis. All the outstanding convertible loan notes with an aggregate face value of $4,350,000 and accrued interest of $751,781, totalling $5,101,781, also converted into Ordinary Shares at a conversion price of $2.17 resulting in the issuance of 2,347,134 Ordinary Shares.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triparty loan agreement dated September 30, 2024, $3.0 million loan from Rhino Ventures was capitalized through the issuance of 731,707 Ordinary Shares.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closed on its IPO of 2,250,000 Ordinary Shares, par value $0.00005 per share, at a public offering price of $4.10 per ordinary share, for total gross proceeds of $9,225,000, before deducting underwriting discounts, commissions, and other related expenses. The net proceeds amounted to $7,747,756.</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the Company also closed on the underwriter’s exercise of the Over-Allotment Option to purchase 337,500 Ordinary Shares pursuant to the Underwriting Agreement. Pursuant to the Over-Allotment Option, the underwriters purchased an additional 337,500 Ordinary Shares at the public offering price of $4.10 per share, resulting in additional gross proceeds of $1.38 million, before deducting underwriting discounts and other related expenses. The net proceeds amounted to $1,261,969.</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full exercise of the Over-Allotment Option, the total number of Ordinary Shares sold by the Company in the IPO increased to 2,587,500 Ordinary Shares and the gross proceeds increased to $10,608,750 million, before deducting underwriting discounts and other related expenses. The total net proceeds amounted to $9,009,725.</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proceeds of $10,608,750 are deducted against the deferred IPO expenses of $1,432,343 upon the successful closing of the IPO and share capital of $130 and share premium of $9,176,277 are recognized.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issued Rhino Ventures six tranches of the IPO Warrants (as defined in note 18.2), with each tranche comprising 2,250,000 warrants, in connection with the IPO. See note 18.2 for details.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Rhino Ventures exercised tranche 1 of the IPO Warrants, with an exercise price of $5.13 per share, to purchase 2,250,000 Ordinary Shares of the Company. The total exercise price of US$11,542,500 has been delivered in full to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2025, the Company completed the Stock Bonus. Each shareholder received seven bonus Ordinary Shares for every one ordinary share held. The Stock Bonus resulted in the issuance of 176,706,341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18 OTHER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 Capital reserve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reserve of $5,126,150 arose from the recapitalization of the Group with the Company’s share capital issued as part of the Recapitalization and the impact of the Share Subdivision. This reserve ensures that the total shareholders equity both pre- and post- Recapitalization and the Share Subdivision remains the same as that of the DSL Group immediately before the Recapitalization and Share Subdivision.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18.2 Warrant reserve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Group completed the Capital Raise with its immediate holding company, Rhino Venture. As part of this transaction, DSL allotted 5,086 ordinary shares and 10,172 DSL Private Warrants to Rhino Venture, with an exercise price of $2,512 per warrant. If fully exercised, the DSL Private Warrants will result in the issuance of such number of ordinary shares equal to 51% of the total issued and outstanding shares of the Company at the time of exercise. For partial exercise, the number of shares to be issued will be determined on a prorated basis at the time of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Recapitalization in July 2024, the DSL Private Warrants were cancelled and the Company issued 4,170,520 Private Warrants as a replacement with an exercise price of $6.13. The Private Warrants were issued on identical terms and with the same economic benefits as the DSL Private Warrants. Post the completion of the Restructuring, there was no change to the economic position of the shareholders or warrant 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Private Warrants and the DSL Private Warrants (collectively, “Both Private Warrants”) are classified as an equity instrument on the basis that they do not include contractual obligation to deliver cash to the warrant holder, and Both Private Warrants meet the fixed-for-fixed condition by preserving the relative economic interests of both the warrant holder and the Company’s shareholders. The DSL Private Warrants were initially recognized at their fair value on the date of issuance and no subsequent remeasurement is required. The binomial option-pricing model was used to determine the fair value of the DSL Private Warrants, with key inputs and assumption set out as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392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May 28, 2024</w:t>
            </w:r>
          </w:p>
        </w:tc>
      </w:tr>
      <w:tr>
        <w:trPr>
          <w:trHeight w:val="22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expiry (year)</w:t>
            </w:r>
          </w:p>
        </w:tc>
        <w:tc>
          <w:tcPr>
            <w:tcW w:w="39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Spot price (pre-recapitalization)</w:t>
            </w:r>
          </w:p>
        </w:tc>
        <w:tc>
          <w:tcPr>
            <w:tcW w:w="3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9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9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9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Private Warrants were issued as a replacement on identical terms, no additional valuation or remeasurement was required. No Private Warrants had been exercised since the date of issuance.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2025, the Company issued Rhino Ventures the warrants identified below in connection with the IPO. The IPO Warrants are classified as an equity instrument on the basis that they do not include contractual obligation to deliver cash to the warrant holder, and the IPO Warrants meet the fixed-for-fixed condition by preserving the relative economic interests of both the warrant holder and the Company’s shareholders. The IPO Warrants were initially recognized at their fair value on the date of issuance and no subsequent remeasurement is required.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Pre-Stock Bonus</w:t>
            </w:r>
          </w:p>
        </w:tc>
        <w:tc>
          <w:tcPr>
            <w:tcW w:w="264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Post-Stock Bonus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Exercise</w:t>
            </w: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Tranche</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Price</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Duration from</w:t>
            </w:r>
          </w:p>
        </w:tc>
        <w:tc>
          <w:tcPr>
            <w:tcW w:w="0" w:type="dxa"/>
            <w:vAlign w:val="bottom"/>
          </w:tcPr>
          <w:p>
            <w:pPr>
              <w:spacing w:after="0"/>
              <w:rPr>
                <w:sz w:val="1"/>
                <w:szCs w:val="1"/>
                <w:color w:val="auto"/>
              </w:rPr>
            </w:pPr>
          </w:p>
        </w:tc>
      </w:tr>
      <w:tr>
        <w:trPr>
          <w:trHeight w:val="234"/>
        </w:trPr>
        <w:tc>
          <w:tcPr>
            <w:tcW w:w="1260" w:type="dxa"/>
            <w:vAlign w:val="bottom"/>
            <w:gridSpan w:val="2"/>
            <w:vMerge w:val="continue"/>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(per share)</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Expiration Date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January 23, 2025</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July 23, 2025</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 months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0.77</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23, 2025</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 months</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0.09</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23, 2026</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 months</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1.03</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23, 2026</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15 months</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1.28</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23, 2026</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 months</w:t>
            </w:r>
          </w:p>
        </w:tc>
        <w:tc>
          <w:tcPr>
            <w:tcW w:w="0" w:type="dxa"/>
            <w:vAlign w:val="bottom"/>
          </w:tcPr>
          <w:p>
            <w:pPr>
              <w:spacing w:after="0"/>
              <w:rPr>
                <w:sz w:val="1"/>
                <w:szCs w:val="1"/>
                <w:color w:val="auto"/>
              </w:rPr>
            </w:pPr>
          </w:p>
        </w:tc>
      </w:tr>
      <w:tr>
        <w:trPr>
          <w:trHeight w:val="23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1.54</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23, 2027</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24 months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of the IPO Warrants were exercised before the Stock Bonus.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binomial option-pricing model was used to determine the fair value of the IPO Warrants, with key inputs and assumptions set out as follow:</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Tranche</w:t>
            </w:r>
          </w:p>
        </w:tc>
        <w:tc>
          <w:tcPr>
            <w:tcW w:w="8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21"/>
                <w:szCs w:val="21"/>
                <w:color w:val="auto"/>
              </w:rPr>
            </w:pPr>
          </w:p>
        </w:tc>
      </w:tr>
      <w:tr>
        <w:trPr>
          <w:trHeight w:val="20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expiry (year)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Closing spot price on January 23, 2025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2025, Rhino Ventures exercised tranche 1 of the IPO Warrants, with an exercise price of $5.13 per share, to purchase 2,250,000 Ordinary Shares. The total exercise price of US$11,542,500 has been delivered in full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Subsequently, on October 23, 2025, Rhino Ventures exercised the tranche 2 of the IPO Warrants, with an exercise price of $0.77 per share, to purchase 18,000,000 Ordinary Shares. The total exercise price of US$13,837,500 has been delivered in full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18.3 Share option reserve</w:t>
      </w:r>
    </w:p>
    <w:p>
      <w:pPr>
        <w:sectPr>
          <w:pgSz w:w="11900" w:h="16838" w:orient="portrait"/>
          <w:cols w:equalWidth="0" w:num="1">
            <w:col w:w="11240"/>
          </w:cols>
          <w:pgMar w:left="320" w:top="657"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share option reserve comprises of the fair value of share option awards that have yet to vest or to be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18.4 Exchange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reserve comprises all foreign exchange differences arising from the translation of the financial statement of foreign operation.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18.5 Accumulated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losses are the cumulative net loss of the Group sustained by the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declared or paid during each of the six months ended September 30, 2025 and 2024.</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20 SHARE-BASED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DSL’s Share Option Award Scheme (the “DSL Scheme”)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DSL (the “DSL Board”) approved and adopted the DSL Scheme which outlines the grant of share option award (the “DSL Award”) to selected employees and/or consultants of the DSL Group (the “DSL Participant”) to subscribe ordinary shares of DSL (the “DSL Share”). The DSL Board may determine the DSL Participant and grant DSL Shares under the DSL Scheme not exceeding 15% of issued shares in the Company on a fully diluted basis. Purpose of the DSL Scheme is to attract and retain the best available talent for the DSL Group to benefit its business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DSL may grant the DSL Participant an DSL Award consisting in the right to acquire or receive a certain number, or a percentage, of DSL Shares (the “DSL Ownership Stake”) determined in the DSL Scheme (each event being an “DSL Award Grant”). The DSL Award Grant shall vest after thirty-six (36) calendar months of continuous employment with, or service to, DSL or of any of its affiliates (the “DSL Vesting Date”). Unless exercised, the Award will lapse and expire after six (6) calendar months from the Vesting Date (“DSL Long Stop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DSL Shares the DSL Participant is entitled to under an DSL Award Grant shall be determined at the DSL Vesting Date. The vesting of the DSL Award Grant shall confer to the DSL Participant the same shareholding percentage in DSL as the DSL Ownership Stake. Unless determined at the time of the DSL Award Grant, such shareholding shall be calculated based on the total number of DSL Shares issued at the DSL Vesting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DSL Long Stop Date, should DSL give notice of: 1) merger or acquisition or similar event involving change of control of DSL; or 2) listing of its shares on a recognized and regulated stock exchange, all DSL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DSL Award Grant, which will be locked-up for a period of 15 months from the date of change of control or listing, respectively, (the “DSL Lock-up Period”) and will be released in three (3) equal instalments over a period of six (6) months following the expiration of such DSL Lock-up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DSL Award Grant shall be forfeited and cancelled if before the DSL Vesting Date: (a) the DSL Participant hands in a notice of resignation; (b) the DSL Participant gives notice of termination of service; or (c) the DSL Participant’s employment or service with DSL is terminated for any reason, unless otherwise determined by the DSL Board in its sole and absolute discretion.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Diginex Limited 2024 Omnibus Incentive Plan (the “Scheme”)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28, 2024, the board of directors of the Company (the “Board”) approved and adopted the Diginex Limited 2024 Omnibus Incentive Plan (the “Scheme”), which replaced the DSL Scheme, which outlines the grant of share option award (the “Award”) to selected employees and/or consultants of the Group (the “Participant”) to subscribe Ordinary Shares. The Board may determine the Participant and grant Shares under the Scheme not exceeding 5,400,000 Ordinary Shares (before the Stock Bonus). Purpose of the Scheme is to attract and retain the best available talent for the Company to benefit its business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the Participant an Award consisting of the right to acquire or receive a certain number, or a percentage, of Shares (the “Ownership Stake”) determined in the Scheme (each event being an “Award Grant”). The exercise price of Shares purchasable under an Award shall be determined at the time of grant, provided that the exercise price per Share for the Shares to be issued pursuant to the exercise of an Award shall be no less than the par value of such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vest and become exercisable in accordance with the terms and conditions specified in the applicable Award Agreement, which may include the achievement of pre-established performance goals, if applicable. For Awards granted prior to the Company’s listing on the NASDAQ Capital Market or any other stock exchange, vesting occurs on (i) the date(s) specified in the Award Agreement, (ii) after 36 months of continuous employment or service with the Company or its affiliates, or (iii) an earlier date if determined at the discretion of the Board to accelerate the vesting schedule.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termination of employment or service, the treatment of stock options depends on the circumstances of the termination. If the termination occurs for reasons other than cause, retirement, disability, or death, vested options remain exercisable for 90 days following the termination date. This period is extended to one year if the participant passes away during the 90-day period. Unvested options, however, are forfeited immediately upon termination. In all cases, options cannot be exercised beyond their original expiration date. For terminations due to retirement, disability, or death, vested options remain exercisable for one year from the termination date, subject to their original expiration date. Unvested options are forfeited immediately upon termination. If the termination is for cause, all options, whether vested or unvested, are forfeited immediately.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Details of the Awards granted during the six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Number of/% of</w:t>
            </w:r>
          </w:p>
        </w:tc>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9"/>
              </w:rPr>
              <w:t>share option</w:t>
            </w:r>
          </w:p>
        </w:tc>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Fair value per option at grant date</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Before the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 the Stock</w:t>
            </w: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 dates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award to vest</w:t>
            </w:r>
          </w:p>
        </w:tc>
        <w:tc>
          <w:tcPr>
            <w:tcW w:w="1420" w:type="dxa"/>
            <w:vAlign w:val="bottom"/>
          </w:tcPr>
          <w:p>
            <w:pPr>
              <w:spacing w:after="0"/>
              <w:rPr>
                <w:sz w:val="20"/>
                <w:szCs w:val="20"/>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periods</w:t>
            </w:r>
          </w:p>
        </w:tc>
        <w:tc>
          <w:tcPr>
            <w:tcW w:w="4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 Bonus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Bonus</w:t>
            </w:r>
          </w:p>
        </w:tc>
      </w:tr>
      <w:tr>
        <w:trPr>
          <w:trHeight w:val="209"/>
        </w:trPr>
        <w:tc>
          <w:tcPr>
            <w:tcW w:w="13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From</w:t>
            </w:r>
          </w:p>
        </w:tc>
        <w:tc>
          <w:tcPr>
            <w:tcW w:w="304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9"/>
              </w:rPr>
              <w:t>To</w:t>
            </w:r>
          </w:p>
        </w:tc>
        <w:tc>
          <w:tcPr>
            <w:tcW w:w="4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31-Jul-2024</w:t>
            </w:r>
          </w:p>
        </w:tc>
        <w:tc>
          <w:tcPr>
            <w:tcW w:w="4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65,426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31-Jul-2024</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27-Aug-2026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2.098</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31-Jul-2024</w:t>
            </w:r>
          </w:p>
        </w:tc>
        <w:tc>
          <w:tcPr>
            <w:tcW w:w="460" w:type="dxa"/>
            <w:vAlign w:val="bottom"/>
          </w:tcPr>
          <w:p>
            <w:pPr>
              <w:spacing w:after="0"/>
              <w:rPr>
                <w:sz w:val="18"/>
                <w:szCs w:val="18"/>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303,400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31-Jul-2024</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31-Jul-2027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21-Aug-2024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21-Aug-2024</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30-Apr-2026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2.098</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1-Sep-2025</w:t>
            </w:r>
          </w:p>
        </w:tc>
        <w:tc>
          <w:tcPr>
            <w:tcW w:w="460" w:type="dxa"/>
            <w:vAlign w:val="bottom"/>
          </w:tcPr>
          <w:p>
            <w:pPr>
              <w:spacing w:after="0"/>
              <w:rPr>
                <w:sz w:val="20"/>
                <w:szCs w:val="20"/>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1-Sep-2025</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18-May-2026/2027/2028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7.563</w:t>
            </w:r>
          </w:p>
        </w:tc>
      </w:tr>
    </w:tbl>
    <w:p>
      <w:pPr>
        <w:spacing w:after="0" w:line="17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Awards as of August 21, 2024 is with reference to the fair values determined on July 31,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Number of shares options. Re-capitalization takes into account the impact of the share exchange between the Company and DSL at a ratio of 410:1 and the subsequent share subdivision on the Company at a ratio of 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 options</w:t>
            </w: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April 1, 2024, based on number of DSL’s shares-in-issue (audited)</w:t>
            </w:r>
          </w:p>
        </w:tc>
        <w:tc>
          <w:tcPr>
            <w:tcW w:w="1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(note a)</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Pre-recapitalized balance</w:t>
            </w:r>
          </w:p>
        </w:tc>
        <w:tc>
          <w:tcPr>
            <w:tcW w:w="1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Post-recapitalized balance</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566,119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(note b)</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(1,003,680)</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(352,600)</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2025, based on number of Diginex Limited’s shares-in-issue (audited) (note c)</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weighted average exercise price</w:t>
            </w:r>
          </w:p>
        </w:tc>
        <w:tc>
          <w:tcPr>
            <w:tcW w:w="128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0.00005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number of share options exercisable</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April 1, 2025 (audited)</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780,058</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83,143</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Stock Bonus</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6,042,407</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2025 (unaudited) (note c)</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weighted average exercise price</w:t>
            </w:r>
          </w:p>
        </w:tc>
        <w:tc>
          <w:tcPr>
            <w:tcW w:w="128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0.00005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number of share options exercisable</w:t>
            </w: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335,560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exercise date was $2.746 (recapitalized).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exercise date was $2.098.</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remaining contractual life of the outstanding share options is 2.03 years as of September 30, 2025 (March 31, 2025: 2.57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fair value of the Awards granted is estimated at the grant date using the discounted cash flow (“DCF”) and equity allocation model (“EAM”)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Binomial Model. The following table lists the inputs to those models at respective grant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Dates of fair value</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1, 2025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1, 2025</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1, 2025</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approach</w:t>
            </w:r>
          </w:p>
        </w:tc>
        <w:tc>
          <w:tcPr>
            <w:tcW w:w="19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DCF &amp; EAM*</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Binomial Model</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Binomial Model</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Binomial Model</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19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Lack of marketability discount</w:t>
            </w:r>
          </w:p>
        </w:tc>
        <w:tc>
          <w:tcPr>
            <w:tcW w:w="1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Lack of control discount</w:t>
            </w:r>
          </w:p>
        </w:tc>
        <w:tc>
          <w:tcPr>
            <w:tcW w:w="19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36.49%</w:t>
            </w:r>
          </w:p>
        </w:tc>
        <w:tc>
          <w:tcPr>
            <w:tcW w:w="120" w:type="dxa"/>
            <w:vAlign w:val="bottom"/>
          </w:tcPr>
          <w:p>
            <w:pPr>
              <w:spacing w:after="0"/>
              <w:rPr>
                <w:sz w:val="18"/>
                <w:szCs w:val="18"/>
                <w:color w:val="auto"/>
              </w:rPr>
            </w:pP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3.66%</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3.58%</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3.62%</w:t>
            </w:r>
          </w:p>
        </w:tc>
        <w:tc>
          <w:tcPr>
            <w:tcW w:w="100" w:type="dxa"/>
            <w:vAlign w:val="bottom"/>
            <w:shd w:val="clear" w:color="auto" w:fill="CCEEFF"/>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 life (year)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1.72</w:t>
            </w:r>
          </w:p>
        </w:tc>
        <w:tc>
          <w:tcPr>
            <w:tcW w:w="120" w:type="dxa"/>
            <w:vAlign w:val="bottom"/>
          </w:tcPr>
          <w:p>
            <w:pPr>
              <w:spacing w:after="0"/>
              <w:rPr>
                <w:sz w:val="20"/>
                <w:szCs w:val="20"/>
                <w:color w:val="auto"/>
              </w:rPr>
            </w:pP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at 100% basis is determined using DCF method based on the estimates of cash flows as of the grant date discounted using an appropriate discount rate, having considered relevant risk factors. Volatility is determined based on the average annualized standard deviation of the historical stock prices of listed comparable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RECONCILIATION OF LIABILITIES ARISING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Amount due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from</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Loan from</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immediate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due to</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immediate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Loan from a</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Preferred</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Convertible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holding</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 related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holding</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related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loan notes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company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company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company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company</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April 1, 2024 (audited)</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9,359,000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4,090,342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5,345,929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1,930,993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1,140,931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21,901,774</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713,719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2,335,461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3,418,828</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369,648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1,165,479</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(6,059,142)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(1,940,858)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(1,165,479)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(8,000,000)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151,245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58,077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233,870</w:t>
            </w:r>
          </w:p>
        </w:tc>
        <w:tc>
          <w:tcPr>
            <w:tcW w:w="80" w:type="dxa"/>
            <w:vAlign w:val="bottom"/>
            <w:shd w:val="clear" w:color="auto" w:fill="CCEEFF"/>
          </w:tcPr>
          <w:p>
            <w:pPr>
              <w:spacing w:after="0"/>
              <w:rPr>
                <w:sz w:val="18"/>
                <w:szCs w:val="18"/>
                <w:color w:val="auto"/>
              </w:rPr>
            </w:pP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Fair value/other adjustments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(3,539,648)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274,000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(3,266,154)</w:t>
            </w: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2024 (unaudited)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5,681,066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14,288,318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April 1, 2025 (audited)</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(34,579)</w:t>
            </w: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2025 (unaudited)</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22 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subsidiaries on September 30, 2025 are set out below. Unless otherwise stated, they have share capital consisting solely of ordinary shares that are held directly by the Group. The country of incorporation or registration is also their principal place of business. Particulars of the subsidiaries as of September 30, 2025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Places of</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Particulars of</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Percentage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Incorporation and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issued/registered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ownership</w:t>
            </w:r>
          </w:p>
        </w:tc>
      </w:tr>
      <w:tr>
        <w:trPr>
          <w:trHeight w:val="23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Name of entities</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operation</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Principal activities</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w:t>
            </w:r>
          </w:p>
        </w:tc>
      </w:tr>
      <w:tr>
        <w:trPr>
          <w:trHeight w:val="191"/>
        </w:trPr>
        <w:tc>
          <w:tcPr>
            <w:tcW w:w="2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19,907 ordinary shares</w:t>
            </w: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issued</w:t>
            </w:r>
          </w:p>
        </w:tc>
        <w:tc>
          <w:tcPr>
            <w:tcW w:w="214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2140" w:type="dxa"/>
            <w:vAlign w:val="bottom"/>
            <w:shd w:val="clear" w:color="auto" w:fill="CCEEFF"/>
          </w:tcPr>
          <w:p>
            <w:pPr>
              <w:spacing w:after="0"/>
              <w:rPr>
                <w:sz w:val="18"/>
                <w:szCs w:val="18"/>
                <w:color w:val="auto"/>
              </w:rPr>
            </w:pPr>
          </w:p>
        </w:tc>
      </w:tr>
      <w:tr>
        <w:trPr>
          <w:trHeight w:val="216"/>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Diginex Solutions (HK)</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Provision of ESG reporting</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19,907 ordinary shares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Direct 100%</w:t>
            </w:r>
          </w:p>
        </w:tc>
      </w:tr>
      <w:tr>
        <w:trPr>
          <w:trHeight w:val="23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solutions services</w:t>
            </w:r>
          </w:p>
        </w:tc>
        <w:tc>
          <w:tcPr>
            <w:tcW w:w="22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issued)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2025: 100%)</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 Class A Units of $10</w:t>
            </w:r>
          </w:p>
        </w:tc>
        <w:tc>
          <w:tcPr>
            <w:tcW w:w="214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each</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2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Provision of ESG reporting</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Class A Units of $10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100%</w:t>
            </w:r>
          </w:p>
        </w:tc>
      </w:tr>
      <w:tr>
        <w:trPr>
          <w:trHeight w:val="23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Diginex USA, LLC</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solutions services</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each)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 100%)</w:t>
            </w:r>
          </w:p>
        </w:tc>
      </w:tr>
      <w:tr>
        <w:trPr>
          <w:trHeight w:val="198"/>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Ordinary shares of 1 pence</w:t>
            </w:r>
          </w:p>
        </w:tc>
        <w:tc>
          <w:tcPr>
            <w:tcW w:w="2140" w:type="dxa"/>
            <w:vAlign w:val="bottom"/>
            <w:shd w:val="clear" w:color="auto" w:fill="CCEEFF"/>
          </w:tcPr>
          <w:p>
            <w:pPr>
              <w:spacing w:after="0"/>
              <w:rPr>
                <w:sz w:val="17"/>
                <w:szCs w:val="17"/>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each</w:t>
            </w:r>
          </w:p>
        </w:tc>
        <w:tc>
          <w:tcPr>
            <w:tcW w:w="214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2140" w:type="dxa"/>
            <w:vAlign w:val="bottom"/>
            <w:shd w:val="clear" w:color="auto" w:fill="CCEEFF"/>
          </w:tcPr>
          <w:p>
            <w:pPr>
              <w:spacing w:after="0"/>
              <w:rPr>
                <w:sz w:val="18"/>
                <w:szCs w:val="18"/>
                <w:color w:val="auto"/>
              </w:rPr>
            </w:pPr>
          </w:p>
        </w:tc>
      </w:tr>
      <w:tr>
        <w:trPr>
          <w:trHeight w:val="216"/>
        </w:trPr>
        <w:tc>
          <w:tcPr>
            <w:tcW w:w="2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Diginex Services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Provision of ESG reporting</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Ordinary shares of 1 pence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Indirect 100%</w:t>
            </w:r>
          </w:p>
        </w:tc>
      </w:tr>
      <w:tr>
        <w:trPr>
          <w:trHeight w:val="23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solutions services</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each)</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2025: 100%)</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 ordinary shares issued of</w:t>
            </w:r>
          </w:p>
        </w:tc>
        <w:tc>
          <w:tcPr>
            <w:tcW w:w="2140" w:type="dxa"/>
            <w:vAlign w:val="bottom"/>
          </w:tcPr>
          <w:p>
            <w:pPr>
              <w:spacing w:after="0"/>
              <w:rPr>
                <w:sz w:val="17"/>
                <w:szCs w:val="17"/>
                <w:color w:val="auto"/>
              </w:rPr>
            </w:pPr>
          </w:p>
        </w:tc>
      </w:tr>
      <w:tr>
        <w:trPr>
          <w:trHeight w:val="216"/>
        </w:trPr>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Diginex MENA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 each. (March 31, 2025:</w:t>
            </w:r>
          </w:p>
        </w:tc>
        <w:tc>
          <w:tcPr>
            <w:tcW w:w="2140" w:type="dxa"/>
            <w:vAlign w:val="bottom"/>
          </w:tcPr>
          <w:p>
            <w:pPr>
              <w:spacing w:after="0"/>
              <w:rPr>
                <w:sz w:val="18"/>
                <w:szCs w:val="18"/>
                <w:color w:val="auto"/>
              </w:rPr>
            </w:pPr>
          </w:p>
        </w:tc>
      </w:tr>
      <w:tr>
        <w:trPr>
          <w:trHeight w:val="23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Limited*</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Abu Dhabi</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Inactive</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100%</w:t>
            </w:r>
          </w:p>
        </w:tc>
      </w:tr>
    </w:tbl>
    <w:p>
      <w:pPr>
        <w:spacing w:after="0" w:line="198" w:lineRule="exact"/>
        <w:rPr>
          <w:sz w:val="20"/>
          <w:szCs w:val="20"/>
          <w:color w:val="auto"/>
        </w:rPr>
      </w:pPr>
    </w:p>
    <w:p>
      <w:pPr>
        <w:ind w:left="5540" w:right="5080" w:hanging="5532"/>
        <w:spacing w:after="0" w:line="409" w:lineRule="auto"/>
        <w:tabs>
          <w:tab w:leader="none" w:pos="3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MENA Limited was incorporated in Abu Dhabi on September 26, 2025.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23 FINANCIAL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 Market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are minimized by the financial management policies and practices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23.1.2 Foreign currency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will formalize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23.1.3 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credit risk arising from deposits in banks as well as trade receivables. Credit risk is managed on a Group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Group’s maximum exposure to credit risk is the amount of the Group’s carrying value of the related financial assets and liabilities as of the end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23.2.1 Deposits with bank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Group’s deposits with banks, the Group limits its exposure to credit risk by placing deposits with financial institutions with high credit ratings and no recent history of default. Given the high credit ratings of the banks, management does not expect any counterparty to fail to meet its obligations. Management will continue to monitor the position and will take appropriate action if their ratings are changed. At September 30, 2025 and March 31, 2025, the Group had a concentration of deposits with one bank but does have additional banking relationships to mitigate any concentration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23.3 Liquidity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23.3.1 Financing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 together with proceeds from the IPO.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23.3.2 Maturities of 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Within</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 year</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 years</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September 30, 2025 (unaudited)</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637,680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637,680</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2,724,912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2,724,912</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611,260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611,260</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181,091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48,293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229,384</w:t>
            </w:r>
          </w:p>
        </w:tc>
        <w:tc>
          <w:tcPr>
            <w:tcW w:w="80" w:type="dxa"/>
            <w:vAlign w:val="bottom"/>
            <w:shd w:val="clear" w:color="auto" w:fill="CCEEFF"/>
          </w:tcPr>
          <w:p>
            <w:pPr>
              <w:spacing w:after="0"/>
              <w:rPr>
                <w:sz w:val="19"/>
                <w:szCs w:val="19"/>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4,154,943</w:t>
            </w:r>
          </w:p>
        </w:tc>
        <w:tc>
          <w:tcPr>
            <w:tcW w:w="36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32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4,203,236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2025 (audited)</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200,660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200,660</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706,874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706,874</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505,424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505,424</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34,579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126,808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110,867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237,675</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1,574,345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23.4 Capital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and to maximize the return to the shareholders through the optimization of the debt and equity balance.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six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23.5 Fair values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23.5.1 Financial assets and financial liabilities measured at amortized cost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2,495,302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9,770,725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bank balance</w:t>
            </w:r>
          </w:p>
        </w:tc>
        <w:tc>
          <w:tcPr>
            <w:tcW w:w="5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383,400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1,850,673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3,111,141</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3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637,680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5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12,118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companies</w:t>
            </w:r>
          </w:p>
        </w:tc>
        <w:tc>
          <w:tcPr>
            <w:tcW w:w="5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229,384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27</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24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2025, the Company signed two binding memoranda of understanding with Nomas Global Investments-LLC-S.P.C. and Al Noor Legal Consultants FZE ( the “MOUs”) to pursue a broad strategic relationship to facilitate the Company with its planned expansion in the UAE and the broader Gulf Cooperation Council region (“GCC”), which includes assisting the Company with a dual listing of the Ordinary Shares on the Abu Dhabi Securities Exchange and a potential capital raise of up to USD$250,000,000 focused on large institutional investors based in the GCC.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Nomas MOU, the Company has agreed to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Al Noor MOU, the Company has agreed to fees in an aggregate amount of $650,000, with a total of $400,000 paid by September 30,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after the balance sheet date, up through the date the Company issued these unaudited interim condensed consolidated financial statements and noted the following events,</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2025 (the “Closing Date”), the Company completed the all share acquisition of Matter. The transaction was executed pursuant to the Share Purchase Agreement dated August 18, 2025 (as amended by the addendum dated August 29, 2025).</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Terms of the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 consideration of USD13.0 million, payable entirely in the Company’s ordinary shares (“Consideration Shares”).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1,241,496 Consideration Shares to be issued in aggregate, of which:</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1,055,272 shares were issued on the Closing Date; and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186,224 shares are deferred and will be issued 12 months after the Closing Date.</w:t>
      </w:r>
    </w:p>
    <w:p>
      <w:pPr>
        <w:spacing w:after="0" w:line="23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are subject to an 18-month lock-up period.</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Shares: In connection with the acquisition, 238,752 of the Company’s ordinary shares were reserved for Matter’s executives and key employees, vesting in two equal tranches at 12 and 24 months after the Closing Date, conditional upon continued employment.</w:t>
      </w: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Shares: 62,074 of the Company’s ordinary shares were issued to an unrelated party as an introductory fee.</w:t>
      </w:r>
    </w:p>
    <w:p>
      <w:pPr>
        <w:spacing w:after="0" w:line="23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 is in the process of preparing the purchase price allocation (“PPA”) in accordance with IFRS 3 and has not yet finalized the acquisition-date fair values of the identifiable assets and liabilities of Matter. The PPA is expected to be completed and disclosed in the Group’s next reporting period.</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Rhino Ventures exercised the tranche 2 of the IPO Warrants, with an exercise price of $0.77 per share, to purchase 18,000,000 ordinary shares of the Company. The total exercise price of US$13,837,500 has been delivered in full to the Company.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2025, the Company granted 98,101 Performance Share Units (the “PSUs”) and 203,743 Restrictive Share Units (the “RSUs”) to certain employees and contractors pursuant to the Company’s amended and restated 2024 Omnibus Incentive Plan adopted on July 28, 2024.</w:t>
      </w:r>
    </w:p>
    <w:p>
      <w:pPr>
        <w:spacing w:after="0" w:line="16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based on the performance of the Company’s share price compared against the movement of S&amp;P Software &amp; Services Industry Index over a three-year measurement period ending March 31, 2028.</w:t>
      </w:r>
    </w:p>
    <w:p>
      <w:pPr>
        <w:ind w:left="1300" w:right="20" w:hanging="320"/>
        <w:spacing w:after="0" w:line="250"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over a two-and-a-half-year period with equal vesting on 31 March 2026, 2027 and 2028 subject to achievement of individual KPI’s.</w:t>
      </w: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PSU and RSU entitled the holder to subscribe one Ordinary Share upon vesting.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is in the process of assessing the impact of these grants on the Group’s consolidated financial performance.</w:t>
      </w:r>
    </w:p>
    <w:p>
      <w:pPr>
        <w:spacing w:after="0" w:line="252"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the Company signed a memorandum of understanding to acquire Kindred OS, a company engaged in innovation Edge Artificial Intelligence. The completion of the acquisition is subject to the completion of satisfactory due diligence.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2025, the Company signed a memorandum of understanding to acquire The Remedy Project Limited, an entity specializing in data-driven human rights risk assessment and worker-centered remediation protocols for global supply chains. The completion of the acquisition is subject to the completion of satisfactory due diligence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2025, the Company signed a memorandum of understanding to acquire PlanA.earth GmbH a business focused on corporate carbon accounting, decarbonization and ESG reporting. The completion of the acquisition is subject to the finalization of the definitive agreement and completion of satisfactory due diligence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014"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 Discussion and Analysis should be read in conjunction with its unaudited interim condensed consolidated financial statements and the related notes of Diginex Limited (“Diginex”) for the year ended March 31, 2025. This discussion contains forward-looking statements that involve risks and uncertainties. Diginex’s actual results and the timing of events could differ materially from those anticipated in these forward- looking statements as a result of various factors, including those set forth under “Risk Factors” in the Company’s filings with the Securities and Exchange Commission.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gains</w:t>
            </w: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1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license/subscription fees</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service income</w:t>
            </w: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for the six months ended September 30, 2025 increased to $2.0 million from $0.5 million for the six months ended September 30, 2024.</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material component of the revenue increase relates to a significant white label sale of the diginexESG platform a categorized under software license/subscription fees. Revenues from advisory services remained flat whilst revenues from customization projects dropped as Diginex continues to focus on revenues from recurring software license/subscription and advisory sales rather than bespoke customization requests.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10"/>
        </w:trPr>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226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200" w:type="dxa"/>
            <w:vAlign w:val="bottom"/>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26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22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226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22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2260" w:type="dxa"/>
            <w:vAlign w:val="bottom"/>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226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$3.4 million to $8.1 million for the six months ended September 30, 2025 when compared to the six months ended September 30, 2024. This increase was due, in part, to increased professional fees related to M&amp;A activity including fees for due diligence services and legal advice. Employee benefits also increased as Diginex expanded in headcount, particularly in sales and business development. Other costs also increased which included, amongst other, increased travel, associated with M&amp;A, investor relations to aid with the needs of a listed company and insurance.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Employee related expenses were $3.1 million for the six months ended September 30, 2025 an increase of $0.9 million when compared to the expense of $2.2 million for the six months ended September 30, 2024.</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Salaries and employee benefits increased by $0.6 million to $2.4 million for the six months ended September 30, 2025 when compared to the six months ended September 30, 2024. At September 30, 2025 the employee headcount was 27 which compared to 19 at September 30,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 also hired contractors during both periods. Diginex hired 11 contractors at September 30, 2025, compared to 10 at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contractors are included within the salaries and benefits.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Limited created a new Employee Shares Option Plan (“ESOP”) during the six months ended September 30, 2024 and all outstanding options in the former plan issued by Diginex Solutions (HK) Limited were cancelled and replaced with proportionate share options of Diginex Limited. The ESOP is fair valued at each reporting period using an equity allocation model and at September 30, 2025 resulted in an expense of $0.6 million compared to $0.3 million for the six months ended September 30,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IT Development and maintenance support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development and maintenance support costs decreased to $0.8 million for the six months ended September 30, 2025 compared to $0.9 for the six months ended September 30, 2024. This expense consists primarily of costs associated with the engagement of third-party IT engineers to drive the performance of the diginexESG, diginexLUMEN and Apprise platforms. At September 30, 2025 the Company engaged 27 engineers compared to 21 at September 30,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IT development and maintenance support are research and development expenses of $0.4 million for the six months ended September 30, 2025 compared to $0.5 million for the six months ended September 30,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incurred professional fees of $3.0 million during the six months ended September 30, 2025 compared to $0.8 million for the six months ended September 30, 2024. The increase is primarily related to professional services fees associated with M&amp;A activity. For the six months ended September 30, 2025 Diginex incurred M&amp;A associated fees of $2.2 million. There were no such fees incurred during the six months ended September 30,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based payments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incurred a share based payment expense of $0.4 million during the six months ended September 30, 2024 compared to zero for the six months ended September 30, 2025. In May 2024, the Diginex completed an $8.0 million capital raise which triggered an anti-dilution clause in the Articles of Association and resulted in 151 preferred shares being issued to our preferred share holder. This award resulted in a share based payment expense of $0.4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fee</w:t>
      </w:r>
    </w:p>
    <w:p>
      <w:pPr>
        <w:spacing w:after="0" w:line="22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Audit fees remained flat at $0.2 million for the six months ended September 30, 2025 and the six months ended September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of $1.0 million for the six months end September 30, 2025 increased by $0.8 million from $0.2 million for the six months ended September 30, 2024. Other expenses increased due to increased spend on travel (associated with the M&amp;A activity) and investor relations following the listing of Diginex in January 2025. Other expenses also include office rent, insurance and general office expenses.</w:t>
      </w:r>
    </w:p>
    <w:p>
      <w:pPr>
        <w:sectPr>
          <w:pgSz w:w="11900" w:h="16838" w:orient="portrait"/>
          <w:cols w:equalWidth="0" w:num="1">
            <w:col w:w="11240"/>
          </w:cols>
          <w:pgMar w:left="320" w:top="657" w:right="339" w:bottom="1440" w:gutter="0" w:footer="0" w:header="0"/>
        </w:sectPr>
      </w:pP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gains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USD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290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fair value gains of financial liabilities at fair value through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5700395"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5715</wp:posOffset>
            </wp:positionV>
            <wp:extent cx="2099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19685</wp:posOffset>
            </wp:positionV>
            <wp:extent cx="2099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900"/>
        <w:spacing w:after="0"/>
        <w:tabs>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w:t>
      </w:r>
    </w:p>
    <w:p>
      <w:pPr>
        <w:spacing w:after="0" w:line="239" w:lineRule="exact"/>
        <w:rPr>
          <w:sz w:val="20"/>
          <w:szCs w:val="20"/>
          <w:color w:val="auto"/>
        </w:rPr>
      </w:pPr>
    </w:p>
    <w:p>
      <w:pPr>
        <w:jc w:val="right"/>
        <w:ind w:right="2340"/>
        <w:spacing w:after="0"/>
        <w:tabs>
          <w:tab w:leader="none" w:pos="40" w:val="left"/>
        </w:tabs>
        <w:rPr>
          <w:sz w:val="20"/>
          <w:szCs w:val="20"/>
          <w:color w:val="auto"/>
        </w:rPr>
      </w:pP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17145</wp:posOffset>
            </wp:positionV>
            <wp:extent cx="2099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6" w:lineRule="exact"/>
        <w:rPr>
          <w:sz w:val="20"/>
          <w:szCs w:val="20"/>
          <w:color w:val="auto"/>
        </w:rPr>
      </w:pPr>
    </w:p>
    <w:p>
      <w:pPr>
        <w:jc w:val="right"/>
        <w:ind w:right="2340"/>
        <w:spacing w:after="0"/>
        <w:tabs>
          <w:tab w:leader="none" w:pos="200" w:val="left"/>
        </w:tabs>
        <w:rPr>
          <w:sz w:val="20"/>
          <w:szCs w:val="20"/>
          <w:color w:val="auto"/>
        </w:rPr>
      </w:pP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17145</wp:posOffset>
            </wp:positionV>
            <wp:extent cx="209994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994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60"/>
          </w:cols>
          <w:pgMar w:left="320" w:top="657" w:right="339" w:bottom="1440" w:gutter="0" w:footer="0" w:header="0"/>
          <w:type w:val="continuous"/>
        </w:sectPr>
      </w:pPr>
    </w:p>
    <w:p>
      <w:pPr>
        <w:spacing w:after="0" w:line="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recognized total other gains of $0.3 million for the six months ended September 30, 2025 which compared to total other gains of $3.3 million for the six months ended September 30, 2024. The gains incurred in the six months ended September 30, 2025 related to interest earned on advances to third parties whilst for the six months ended September 2024 the gains were due to the fair value measurement of preferred shares and convertible loan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Fair Value gains of Financial Liabilities at Fair Value Through Profit and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2021, Diginex raised $6.0 million via the issuance of redeemable preferred shares. At September 30, 2024, the preferred shares were fair valued for reporting purposes using an equity allocation model. The resulting valuation was $6.2 million, which concluded in a $3.5 million gain being recognized in the interim condensed consolidated statement of profit or loss for the six months ended September 30, 2024. The preferred shares were converted into ordinary shares upon the registration statement filed with the SEC being declared effective in December 2024, prior to Diginex’s Initial Public Offering (“IPO”), and hence no fair value adjustments were recognized in the six months ended September 30, 2025.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Diginex had $4.35 million outstanding 8% convertible loan notes. At September 30, 2024, the convertible loan notes were fair valued for reporting purposes using the binominal option pricing model. The resulting valuation was $5.0 million, which concluded in a $0.2 million loss being recognized in the interim condensed consolidated statement of profit or loss. The convertible loan notes were converted into ordinary shares upon the registration statement filed with the SEC being declared effective in December 2024, prior to Diginex’s IPO, and hence no fair value adjustments recognized in the six months ended September 30, 2025.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Diginex generated interest from advances to third parties that were involved in M&amp;A discussions. No such advances were made in the six months ended September 30,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 incurred minimal finance costs for the six months ended September 30, 2025 compared to $0.2 million financing costs for the six months ended September 30,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2024, $0.1 million of the finance cost related to the 8% convertible loan notes. A loan from the immediate holding company which charged an 8% coupon resulted in a further finance cost of $0.1 million for the six months ended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operating activities of Diginex in the six months ended September 30, 2025 and 2024 did not generate a taxable charge due to operating losses incurred. There was, however, a minimal tax charge in relations to withholding tax on a sale to a client in India.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Diginex had operations in United Kingdom and USA during the reporting periods, the majority of its operations have been in Hong Kong. The Group is subject to Hong Kong profits tax at 16.5%.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commencing operations, Diginex has not been materially impacted by changes in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Fluctuations on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Diginex’s main operating currencies have historically been the US Dollar and Hong Kong Dollar. As the Hong Kong Dollar is pegged to the US Dollar, Diginex has not been overly exposed to foreign currency fluctuations in prior years. As the business grows, Diginex will be exposed to more foreign currencies and their fluctuations, such as the British Pound and Euro.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Judgments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Diginex Limited’s interim condensed consolidated financial statements requires management to make judgements,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accounting policies and methods of computation used in the interim condensed consolidated financial statements for the six months ended 30 September 2025 are the same as those applied to the audited combined financial statements as at and for the year ended 31 March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accounting policies and methods of computation used in the interim condensed consolidated financial statements for the six months ended 30 September 2025 are the same as those applied to the audited combined financial statements as at and for the year ended 31 March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application of the Diginex’s accounting policies,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areas of estimates and judgements are the same as those applied to the audited financial statements for the year ended 31 March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Released Accounting Standards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audited financial statements for the year ended 31 March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Diginex’s ability to fund its operations is based on its ability to generate revenue, its ability to attract investors, the exercise of outstanding warrants and , historically, its ability to borrow funds on reasonable economic terms. In January 2025, Diginex completed its with gross proceeds of $10.6 million after accounting for the issuance of the over-allotment.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 September 30, 2025, tranche 1 (of six) IPO Warrants were exercised resulting in the receipt of $11.5 million. During the same the period, Diginex advanced $8 million to an acquisition target, Resulticks Group Companies Pte Ltd (“Resulticks”). If the acquisition is completed the funds be converted into an inter-company balance, otherwise they will be returned upon confirmation that the acquisition will not complete, together with accrued interest.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six months ended September 30, 2024, Diginex raised capital via the advance of $0.7 million to complete an $8.0 million capital raise. The $8.0 million raise completed in May 2024 and included the conversion of $1.9 million of debt into equity. Post the capital raise, Diginex continued to be funded via a loan from Rhino Ventures Limited which carried an 8% annual interest charge. At September 30, 2024 there was $2.3 million outstanding. Upon completion of the IPO in January 2025 the loan was $3.5 million with $3.0 million being converted into shares at the IPO price of $4.10 and the balance repaid in cash. At September 30, 2024, Diginex also had $4.35 million convertible loan notes outstanding with a charge of 8% per annum. During the six months ended September 30, 2024 a $1 million loan with a related party was converted into a convertible loan note. All convertible loan notes were automatically converted into ordinary shares of Diginex Limited upon the registration statement being declared effective on December 20,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is of the opinion that the capital of the Group is sufficient to meet present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is not aware of any legal or economic restrictions on the ability of its subsidiaries to transfer funds to Diginex Limited in the form of cash dividends, loans or advances. Diginex Limited is also not aware of any material restrictions that impact the transfer of funds between subsidiaries to enable the operating of the business in various jurisdictions.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the Group held cash and cash equivalents of $1.9 million. The majority was held in USD. Diginex held all balances in bank accounts and had not hedged any foreign exchange exposures given the dominant use of USD and Hong Kong dollars. However, given the increased use of British Pounds for salaries, Diginex is looking to implement a Treasury Policy to manage foreign exchange requirements going forward.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group held cash and cash equivalents of $1.9 million and $0.1 million at September 30, 2024, as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69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outflows from operating activities were $3.9 million in the six month ended September 30, 2025, compared to an outflow of $2.9 million for the six months ended September 30, 2024. Of the operating expenditure incurred in the six months ended September 30, 2025, $2.4 million related to employees and contractors and $0.8 million on third party IT engineers. In the six months ended September 30, 2024, $1.8 million of spend related to employees and contractors and $0.9 million on third party IT engineers.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outflows from investing activities were $8.8 million in the six months ended September 30, 2025 compared to minimal movements in the six months ended September 30, 2024. During the six months ended September 30, 2025 Diginex advanced $8 million to Resulticks, that charges a fee of 10% per annum. Diginex also advanced $0,8 million to Matter DK ApS during the six months ended September 30, 2025. This advance carries and interest of 5%. In October 2025, Diginex completed the acquisition of Matter for all share transaction valued at $13 million. Post the acquisition the amount is treated as an intercompany loan.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cash inflows from financing activities were $11.4 million in the six months ended September 30, 2025, compared to an inflow of $2.9 million for the six months ended September 30,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outstanding warrants were exercised that results in the receipt of $11.5 million and 2,250,000 Diginex shares being issued (18,000,000 after the share bonus distribution on September 8,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2024, Diginex collected $0.7 million as an advance payment on the completion of an $8.0 million capital raise from Rhino Ventures Limited. The $8.0 million raise completed in May 2024 and included the converting of $1.9 million of debt into equity. In addition, Rhino Ventures Limited continued to fund Diginex via a loan arrangement that carries an 8% annual interest charge. During the six months ended September 2024, Rhino Ventures had funded $2.3 million via this loan arrangement.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September 2024, 1,039,760 Diginex Limited shares were issued following the exercise of employee share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share options in Diginex Limited were exercised at an exercise price of $0.0005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Diginex has not capitalized any expenditure. Capital expenditure would typically relate to the purchase of computing equipment such as laptops which are expensed as they fall under the capitalization policy. Diginex has not recognized any research and development expenditure as an internally generated intangible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Diginex has accounts payable outstanding and accruals primarily related to M&amp;A services yet to be invoiced.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customers subscribe for a software license/subscription they typically pay for an annual subscription in advance. For advisory and customizations projects, the clients will typically pay during the course of the project with revenue being recognized upon completion. As such the Group accounts for deferred revenues which relates to the balances of invoices raised that have yet to be recognized as revenue. At September 30, 2025 the Diginex accounted for $0.6 million of deferred revenue and $0.5 million at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At September 30, 2025 the Group contracted the below office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 lease:</w:t>
      </w:r>
    </w:p>
    <w:p>
      <w:pPr>
        <w:spacing w:after="0" w:line="225" w:lineRule="exact"/>
        <w:rPr>
          <w:sz w:val="20"/>
          <w:szCs w:val="20"/>
          <w:color w:val="auto"/>
        </w:rPr>
      </w:pPr>
    </w:p>
    <w:p>
      <w:pPr>
        <w:ind w:left="340" w:right="1060" w:hanging="332"/>
        <w:spacing w:after="0" w:line="50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Monaco, France: lease with an annual break clause that expires on January 31, 2027. The quarterly rent is 32,328 Euros (c. USD 33,917) On 1 April 2025 Diginex entered into an 18 month lease in the United Kingdom, The monthly rent is GBP 3,782.</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On April 17, 2025 Diginex entered into a 12 month lease in Hong Kong. The monthly rent is HK$52,000 (c.USD 6,625) with a one month rent free period was agreed. On May 31, 2025, Diginex terminated its prior lease in Hong Kong which has a monthly cost of HKD26,680 (c.USD 3,420)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July 22, 2025 Diginex entered into a 12 month lease for a one seat office in Abu Dhabi. The monthly rent is AED 2,556 plus 5% VAT (c.USD 730).</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26, 2025, Diginex incorporated a 100% owned subsidiary in Abu Dhabi, Diginex MENA Limited. The legal entity is not yet active.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local laws a lease needs to be entered into prior to the incorporation of a legal entity in Abu Dhabi.</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illustrates the indebtedness as at September 30, 2025 and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30,2025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5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0.6</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0.2</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9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0.6</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2.7</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70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w w:val="88"/>
              </w:rPr>
              <w:t>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 has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illustrates a summary of the Group’s contractual obligations and commitments as at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00" w:type="dxa"/>
            <w:vAlign w:val="bottom"/>
            <w:tcBorders>
              <w:bottom w:val="single" w:sz="8" w:color="CCEEFF"/>
            </w:tcBorders>
            <w:gridSpan w:val="2"/>
          </w:tcPr>
          <w:p>
            <w:pPr>
              <w:spacing w:after="0"/>
              <w:rPr>
                <w:sz w:val="19"/>
                <w:szCs w:val="19"/>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Developments, Patents and Licenses, Etc.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own and control a variety of intellectual property, including but not limited to trademarks, know-how and proprietary software and applications that, in the aggregate, are material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Matter DkS APS acquisition</w:t>
      </w:r>
    </w:p>
    <w:p>
      <w:pPr>
        <w:spacing w:after="0" w:line="22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2025 (the “Closing Date”), the Company completed an all share acquisition of Matter. The transaction was executed pursuant to the Share Purchase Agraneement dated August 18, 2025 (as amended by the addendum dated August 29, 2025).</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Terms of the Transaction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purchase consideration of USD13.0 million, payable entirely in the Company’s ordinary shares (“Consideration Shares”).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left="648" w:hanging="324"/>
        <w:spacing w:after="0"/>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1,241,496 Consideration Shares to be issued in aggregate, of which:</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1,055,272 shares were issued on the Closing Date; and</w:t>
      </w:r>
    </w:p>
    <w:p>
      <w:pPr>
        <w:spacing w:after="0" w:line="2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186,224 shares are deferred and will be issued 12 months after the Closing Date.</w:t>
      </w:r>
    </w:p>
    <w:p>
      <w:pPr>
        <w:spacing w:after="0" w:line="206"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are subject to an 18-month lock-up period.</w:t>
      </w:r>
    </w:p>
    <w:p>
      <w:pPr>
        <w:spacing w:after="0" w:line="27" w:lineRule="exact"/>
        <w:rPr>
          <w:rFonts w:ascii="Times New Roman" w:cs="Times New Roman" w:eastAsia="Times New Roman" w:hAnsi="Times New Roman"/>
          <w:sz w:val="18"/>
          <w:szCs w:val="18"/>
          <w:color w:val="auto"/>
        </w:rPr>
      </w:pPr>
    </w:p>
    <w:p>
      <w:pPr>
        <w:ind w:left="648" w:hanging="324"/>
        <w:spacing w:after="0" w:line="250"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Shares: In connection with the acquisition, 238,752 the Company’s ordinary shares were reserved for Matter’s executives and key employees, vesting in two equal tranches at 12 and 24 months after the Closing Date, conditional upon continued employment.</w:t>
      </w:r>
    </w:p>
    <w:p>
      <w:pPr>
        <w:ind w:left="648" w:hanging="324"/>
        <w:spacing w:after="0"/>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Shares: 62,074 Diginex ordinary shares were issued to an unrelated party as an introductory fee.</w:t>
      </w:r>
    </w:p>
    <w:p>
      <w:pPr>
        <w:spacing w:after="0" w:line="207"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Management is in the process of preparing the purchase price allocation (“PPA”) in accordance with IFRS 3 and has not yet finalized the acquisition-date fair values of the identifiable assets and liabilities of Matter. The PPA is expected to be completed and disclosed in the Group’s next reporting period.</w:t>
      </w:r>
    </w:p>
    <w:p>
      <w:pPr>
        <w:spacing w:after="0" w:line="17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227" w:lineRule="exact"/>
        <w:rPr>
          <w:sz w:val="20"/>
          <w:szCs w:val="20"/>
          <w:color w:val="auto"/>
        </w:rPr>
      </w:pPr>
    </w:p>
    <w:p>
      <w:pPr>
        <w:ind w:left="328"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Rhino Ventures exercised the tranche 2 of the IPO Warrants, with an exercise price of $0.77 per share, to purchase 18,000,000 ordinary shares of the Company. The total exercise price of US$13,837,500 has been delivered in full to the Company.</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 of PSUs and RSUs</w:t>
      </w:r>
    </w:p>
    <w:p>
      <w:pPr>
        <w:spacing w:after="0" w:line="22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2025, the Company granted 98,101 Performance Share Units (the “PSUs”) and 203,743 Restrictive Share Units (the “RSUs”) to certain employees and contractors pursuant to the Company’s amended and restated 2024 Omnibus Incentive Plan adopted on July 28, 2024.</w:t>
      </w:r>
    </w:p>
    <w:p>
      <w:pPr>
        <w:spacing w:after="0" w:line="188" w:lineRule="exact"/>
        <w:rPr>
          <w:rFonts w:ascii="Times New Roman" w:cs="Times New Roman" w:eastAsia="Times New Roman" w:hAnsi="Times New Roman"/>
          <w:sz w:val="18"/>
          <w:szCs w:val="18"/>
          <w:color w:val="auto"/>
        </w:rPr>
      </w:pPr>
    </w:p>
    <w:p>
      <w:pPr>
        <w:ind w:left="968" w:right="20" w:hanging="320"/>
        <w:spacing w:after="0" w:line="261"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based on the performance of the Company’s share price compared against the movement of S&amp;P Software &amp; Services Industry Index over a three-year measurement period ending March 31, 2028.</w:t>
      </w:r>
    </w:p>
    <w:p>
      <w:pPr>
        <w:ind w:left="968" w:right="20" w:hanging="320"/>
        <w:spacing w:after="0" w:line="250"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over a two-and-a-half-year period with equal vesting on 31 March 2026, 2027 and 2028 subject to achievement of individual KPI’s.</w:t>
      </w:r>
    </w:p>
    <w:p>
      <w:pPr>
        <w:ind w:left="968" w:hanging="320"/>
        <w:spacing w:after="0"/>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PSU and RSU entitled the holder to subscribe one Ordinary Share upon vesting.</w:t>
      </w:r>
    </w:p>
    <w:p>
      <w:pPr>
        <w:spacing w:after="0" w:line="23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Management is in the process of assessing the impact of these grants on the Group’s consolidated financial performance.</w:t>
      </w:r>
    </w:p>
    <w:p>
      <w:pPr>
        <w:spacing w:after="0" w:line="22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Signed MOU to acquire Kindred OS</w:t>
      </w:r>
    </w:p>
    <w:p>
      <w:pPr>
        <w:spacing w:after="0" w:line="254" w:lineRule="exact"/>
        <w:rPr>
          <w:sz w:val="20"/>
          <w:szCs w:val="20"/>
          <w:color w:val="auto"/>
        </w:rPr>
      </w:pPr>
    </w:p>
    <w:p>
      <w:pPr>
        <w:ind w:left="328" w:hanging="328"/>
        <w:spacing w:after="0" w:line="282"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the Company signed a memorandum of understanding to acquire Kindred OS, an innovation Edge Artificial Intelligence. The completion of the acquisition is subject to the finalization of the definitive agreement and completion of satisfactory due diligence.</w:t>
      </w:r>
    </w:p>
    <w:p>
      <w:pPr>
        <w:spacing w:after="0" w:line="18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Signed MOU to acquire the Remedy Project Limited</w:t>
      </w:r>
    </w:p>
    <w:p>
      <w:pPr>
        <w:spacing w:after="0" w:line="254"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2025, the Company signed a memorandum of understanding to acquire The Remedy Project Limited, an entity specializing in data-driven human rights risk assessment and worker-centered remediation protocols for global supply chains. The completion of the acquisition is subject to the finalization of the definitive agreement and the completion of satisfactory due diligence.</w:t>
      </w:r>
    </w:p>
    <w:p>
      <w:pPr>
        <w:spacing w:after="0" w:line="17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Signed MOU to acquire PlanA earth GmbH</w:t>
      </w:r>
    </w:p>
    <w:p>
      <w:pPr>
        <w:spacing w:after="0" w:line="22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2025, the Company signed a memorandum of understanding to acquire PlanA.earth GmbH a business focused on corporate carbon accounting, decarbonization and ESG reporting. The completion of the acquisition is subject to the finalization of the definitive agreement and completion of satisfactory due diligence</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 Announces Robust 293% Revenue Growth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Enhanced Balance Sheet for Six Months Ended September 30, 2025</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Dec. 9, 2025 (GLOBE NEWSWIRE) </w:t>
      </w:r>
      <w:r>
        <w:rPr>
          <w:rFonts w:ascii="Times New Roman" w:cs="Times New Roman" w:eastAsia="Times New Roman" w:hAnsi="Times New Roman"/>
          <w:sz w:val="18"/>
          <w:szCs w:val="18"/>
          <w:color w:val="auto"/>
        </w:rPr>
        <w:t>– Diginex Limited (“Diginex” or the “Company”) (NASDAQ: DGNX), a recognized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RegTech solutions, today announced its unaudited financial results for the six months ended September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September 30, 2025 Key Highlights:</w:t>
      </w:r>
    </w:p>
    <w:p>
      <w:pPr>
        <w:spacing w:after="0" w:line="229"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 ramp-up as half-year revenue increases 293% to $2.0 million, compared to $0.5 million in prior-year period, driven primarily by higher subscription and license fees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M&amp;A drive increases costs contributing to a net operating loss of $6.0 million, compared with $4.2 million in the first half of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increased to $10.9 million as of September 30, 2025, from $4.6 million at March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evaluated hundreds of different strategic growth/M&amp;A initiatives through new collaboration discussions, business combinations and partnership opportunities that support the expansion of the Company’s sustainability, compliance and risk intelligence ecosystem.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debt-free balance sheet with no interest-bearing borrowings, preserving financial flexibility to fund strategic initiatives and operational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Highlights Subsequent to September 30, 2025</w:t>
      </w:r>
    </w:p>
    <w:p>
      <w:pPr>
        <w:spacing w:after="0" w:line="229"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Matter DK ApS in an all-share transaction valued at approximately US$13 million, strengthening the Company’s AI-driven ESG data and analytics capabilities.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approximately US$13.8 million through the exercise of outstanding warrants, further improving the Company’s capital base and liquidity position to pursue our active M&amp;A push for diversified revenues streams.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an AI powered ISSB Disclosure Tool, a solution designed to help organizations rapidly align with the International Sustainability Standards Board (ISSB)S1 and S2 disclosure requirements partly funded by the Hong Kong Monetary Authority (“HKMA”).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Blick, Chief Executive Officer of Diginex Limited, commented: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half of fiscal 2025 has been transformative for Diginex. We delivered 293% revenue growth, driven by strong organic demand for our ESG reporting and supply chain solutions as well as a landmark licensing agreement. At the same time, we significantly strengthened our financial position through the successful IPO in January, the subsequent warrant exercise, and the completion of the strategic acquisition of Matter DK ApS in October.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these achievements give us a solid foundation to accelerate both organic growth and our planned disciplined M&amp;A strategy. We continue to enhance our AI-powered platforms, most notably with fully automated regulatory gap analysis and advanced data visualization capabilities, while expanding our sales channels to capitalize on rising global demand for transparent, compliant sustainability data. We are excited about the opportunities ahead and remain committed to delivering long-term value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and license fees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 fees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2025, total revenue rose $1.5 million (293%) to $2.0 million from $0.5 million in the prior-year period. The increase was driven primarily by subscription and license fees, which grew from $0.2 million to $1.9 million, including a significant one-time license fee for a white-label version of diginexESG. Advisory fees remained stable at $0.1 million, while customization revenue declined as expected as the Company focused resources on core product development and scaling its SaaS platforms, diginexESG and diginexLUMEN.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644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$3.4 million to $8.1 million for the six months ended September 30, 2025, from $4.7 million in the prior-year period. The rise was largely attributable to a $2.2 million increase in professional fees related to extensive M&amp;A due diligence and legal work. Employee benefit expenses rose by $0.9 million, reflecting continued investment in sales and business development talent. Other notable increases included travel and investor relations costs as the Company expanded its public-market presence following the January 2025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assets strengthened to $10.9 million as of September 30, 2025, up from $4.6 million as of March 31, 2025. The Company continues to operate with no interest-bearing debt. Subsequent to period-end, the October 23, 2025 warrant exercise that generated $13.8 million in cash through the issuance of 18 million ordinary shares has further bolstered the balance sheet and provided additional flexibility to pursue growth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Diginex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Diginex Limited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award-winning diginexESG platform supports 19 global frameworks, including GRI (the “Global Reporting Initiative”), SASB (the “Sustainability Accounting Standards Board”), and ISSB (IFRS Sustainability Disclosure Standards.). Clients benefit from end-to-end support, ranging from materiality assessments and data management to stakeholder engagement, report generation and an ESG Ratings Support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https://www.diginex.com/.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ir@diginex.com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 - Europe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Höffken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+49.40.609186.0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diginex@kirchhoff.de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 -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Lambert by LLYC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 717-4593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jian.lin@llyc.global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PROFIT OR LOSS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2,045,408</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520,795</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(8,093,038)</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(4,717,260)</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(6,047,630)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(4,196,465)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or gains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259,958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3,278,531</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net</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(7,344)</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(243,537)</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(5,795,016)</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Exchange (loss) gain on translation of foreign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jc w:val="both"/>
        <w:ind w:left="1140"/>
        <w:spacing w:after="0"/>
        <w:tabs>
          <w:tab w:leader="none" w:pos="3360" w:val="left"/>
        </w:tabs>
        <w:rPr>
          <w:sz w:val="20"/>
          <w:szCs w:val="20"/>
          <w:color w:val="auto"/>
        </w:rPr>
      </w:pPr>
      <w:r>
        <w:rPr>
          <w:rFonts w:ascii="Times New Roman" w:cs="Times New Roman" w:eastAsia="Times New Roman" w:hAnsi="Times New Roman"/>
          <w:sz w:val="18"/>
          <w:szCs w:val="18"/>
          <w:color w:val="auto"/>
        </w:rPr>
        <w:t>(5,805,766)</w:t>
      </w:r>
      <w:r>
        <w:rPr>
          <w:sz w:val="20"/>
          <w:szCs w:val="20"/>
          <w:color w:val="auto"/>
        </w:rPr>
        <w:tab/>
      </w:r>
      <w:r>
        <w:rPr>
          <w:rFonts w:ascii="Times New Roman" w:cs="Times New Roman" w:eastAsia="Times New Roman" w:hAnsi="Times New Roman"/>
          <w:sz w:val="18"/>
          <w:szCs w:val="18"/>
          <w:color w:val="auto"/>
        </w:rPr>
        <w:t>(1,161,471)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(2,259)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(5,808,025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(1,157,060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6"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6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September 30, 2025 and March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(Unaudited)</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222,637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59,247</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45,463</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281,884</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2,495,302</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10,073,821</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bank balance</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383,400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1,850,673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3,111,141</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14,803,196</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(637,680)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(200,660)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(2,724,912)</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(706,874)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(611,260)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(505,424)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(181,091)</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(126,808)</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(4,154,943)</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(1,574,345)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(48,293)</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(110,867)</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10,648,253</w:t>
            </w:r>
          </w:p>
        </w:tc>
        <w:tc>
          <w:tcPr>
            <w:tcW w:w="3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4,397,682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10,881,844</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10,098</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54,608,823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25,689,436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5,126,150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Warrant reserve</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61,886,200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79,263,200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reserve</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(3,910)</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reserve</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1,730,804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(112,476,321)</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(106,596,680)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10,881,844</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2025 and 2024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Six Months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(5,795,016)</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(1,161,471)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 right-of-use assets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90,773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63,036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recognized in respect of trade receivables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17,649</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(211,438)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7,344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243,537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589,419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320,533</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expenses on anti-dilution issuance of preferred shares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369,648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loss of convertible loan notes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274,000</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gain of preferred shares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(3,539,648)</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(5,301,269)</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(3,420,347)</w:t>
            </w:r>
          </w:p>
        </w:tc>
        <w:tc>
          <w:tcPr>
            <w:tcW w:w="10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(1,118,406)</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87,552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(37,188)</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(210,466)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(18,028)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2,468,799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589,091</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105,836</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51,885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(3,881,478)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(3,892,228)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Resulticks Group Companies Pte Ltd</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(8,000,000)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 to Matter DK ApS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(759,004)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rental deposit</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(13,784)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(8,772,788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the IPO Warrants (Tranche 1)</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11,542,500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2,335,461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immediate holding company</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713,719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to a related company</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(34,579)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(103,373)</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(104,715)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11,404,548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(1,260,468)</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24,202</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3,111,141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76,620</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1,850,673</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4"/>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
      <w:numFmt w:val="bullet"/>
      <w:start w:val="1"/>
    </w:lvl>
  </w:abstractNum>
  <w:abstractNum w:abstractNumId="25">
    <w:nsid w:val="71F32454"/>
    <w:multiLevelType w:val="hybridMultilevel"/>
    <w:lvl w:ilvl="0">
      <w:lvlJc w:val="left"/>
      <w:lvlText w:val="●"/>
      <w:numFmt w:val="bullet"/>
      <w:start w:val="1"/>
    </w:lvl>
    <w:lvl w:ilvl="1">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2025-12-09T07:39:51Z</dcterms:created>
  <dcterms:modified xsi:type="dcterms:W3CDTF">2025-12-09T07:39:51Z</dcterms:modified>
</cp:coreProperties>
</file>