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REPORT OF FOREIGN PRIVATE ISSUER PURSUANT TO RULE 13a-16 OR 15d-16 UNDER THE</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 the month of May 2026</w:t>
      </w:r>
    </w:p>
    <w:p>
      <w:pPr>
        <w:spacing w:after="0" w:line="22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001-42459</w:t>
      </w:r>
    </w:p>
    <w:p>
      <w:pPr>
        <w:spacing w:after="0" w:line="20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DIGINEX LIMITED</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25 Wilton Road, Victoria</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London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Greater London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SW1V 1LW</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i w:val="1"/>
          <w:iCs w:val="1"/>
          <w:color w:val="auto"/>
        </w:rPr>
        <w:t>Extension of Long Stop Date for Proposed Acquisition of Resulticks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disclosed, Diginex Limited (“Diginex”) entered into a Sale and Purchase Agreement, dated April 16, 2026 (the “SPA”) with the several sellers party thereto (collectively, the “Sellers” and collectively with Diginex the “Parties”), pursuant to which Diginex agreed to acquire from the Sellers all of the issued and outstanding share capital of Resulticks Global Companies Pte. Limited and its subsidiaries (“Resulticks”) in an all-share acquisition of Resulticks (the “Acquisition”). The SPA provided that the Acquisition was required to close on or before May 29, 2026 (the “Long Stop Date”).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Parties today agreed to extend the Long Stop Date in the SPA from May 29, 2026 to June 12, 2026. The extension is intended to provide the Parties additional time to satisfy the remaining closing conditions related to the Acquisition.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Acquisition remains subject to the satisfaction or waiver of applicable closing conditions contained in the SPA. There can be no assurance that the Acquisition will ultimately be completed.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Report on Form 6-K is hereby incorporated by reference into the Company’s registration statement on Form S-8 (File No. 333-292968), filed with the Securities and Exchange Commission on January 27, 2026, and shall be a part thereof from the date on which this Report is furnished,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color w:val="auto"/>
              </w:rPr>
              <w:t>DIGINEX LIMITED</w:t>
            </w:r>
          </w:p>
        </w:tc>
      </w:tr>
      <w:tr>
        <w:trPr>
          <w:trHeight w:val="432"/>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Date: May 29, 2026</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Lubomila Jordanova</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Lubomila Jordanova</w:t>
            </w:r>
          </w:p>
        </w:tc>
      </w:tr>
      <w:tr>
        <w:trPr>
          <w:trHeight w:val="216"/>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2026-05-29T18:23:22Z</dcterms:created>
  <dcterms:modified xsi:type="dcterms:W3CDTF">2026-05-29T18:23:22Z</dcterms:modified>
</cp:coreProperties>
</file>