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 PURSUANT TO RULE 13a-16 OR 15d-16 UNDER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DIGINEX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Wilton Road, Victoria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Greater 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SW1V 1LW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Diginex Limited (the “Company”) has scheduled an Extraordinary General Meeting (the “Extraordinary General Meeting” or the “Meeting”) of the shareholders of Diginex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on Thursday, October 8, 2026 at 10:00 a.m. (Eastern Time) via webcast and teleconference using the following access information:</w:t>
      </w:r>
    </w:p>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325"/>
        <w:gridCol w:w="5855"/>
      </w:tblGrid>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Webcast:</w:t>
            </w:r>
          </w:p>
        </w:tc>
        <w:tc>
          <w:tcPr>
            <w:tcW w:w="5855" w:type="dxa"/>
            <w:tcBorders/>
            <w:vAlign w:val="center"/>
          </w:tcPr>
          <w:p>
            <w:pPr>
              <w:pStyle w:val="TableContents"/>
              <w:bidi w:val="0"/>
              <w:spacing w:before="0" w:after="283"/>
              <w:jc w:val="both"/>
              <w:rPr>
                <w:rFonts w:ascii="Times New Roman;Times;Serif" w:hAnsi="Times New Roman;Times;Serif"/>
                <w:i/>
                <w:sz w:val="20"/>
                <w:u w:val="single"/>
              </w:rPr>
            </w:pPr>
            <w:r>
              <w:rPr>
                <w:rFonts w:ascii="Times New Roman;Times;Serif" w:hAnsi="Times New Roman;Times;Serif"/>
                <w:i/>
                <w:sz w:val="20"/>
                <w:u w:val="single"/>
              </w:rPr>
              <w:t>https://www.cstproxy.com/diginex/egm2026</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pPr>
            <w:r>
              <w:rPr/>
              <w:t> </w:t>
            </w:r>
          </w:p>
        </w:tc>
        <w:tc>
          <w:tcPr>
            <w:tcW w:w="58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Teleconference:</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Telephone access (listen-only):</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Within the U.S. and Canada: 1 800-450-7155 (toll-free)</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Outside of the U.S. and Canada: +1 857-999-9155 (standard rates apply)</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Conference ID: 0374507#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of Extraordinary General Meeting, the proxy statement and the proxy card accompany this notice are also available at </w:t>
      </w:r>
      <w:r>
        <w:rPr>
          <w:rFonts w:ascii="Times New Roman;Times;Serif" w:hAnsi="Times New Roman;Times;Serif"/>
          <w:b w:val="false"/>
          <w:i/>
          <w:caps w:val="false"/>
          <w:smallCaps w:val="false"/>
          <w:sz w:val="20"/>
          <w:u w:val="single"/>
        </w:rPr>
        <w:t>https://www.cstproxy.com/diginex/egm2026</w:t>
      </w:r>
      <w:r>
        <w:rPr>
          <w:rFonts w:ascii="Times New Roman;Times;Serif" w:hAnsi="Times New Roman;Times;Serif"/>
          <w:b w:val="false"/>
          <w:i w:val="false"/>
          <w:caps w:val="false"/>
          <w:smallCaps w:val="false"/>
          <w:sz w:val="20"/>
        </w:rPr>
        <w:t>. We expect to mail these materials on or about September 24, 2026, to our shareholders of record as of the close of business on August 14, 2026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Company’s shareholders will be asked to consider and vote upon, and if thought fit, approve the following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xml:space="preserve"> Transaction and Consideration Shares Proposal (the “</w:t>
      </w:r>
      <w:r>
        <w:rPr>
          <w:rFonts w:ascii="Times New Roman;Times;Serif" w:hAnsi="Times New Roman;Times;Serif"/>
          <w:b/>
          <w:i w:val="false"/>
          <w:caps w:val="false"/>
          <w:smallCaps w:val="false"/>
          <w:sz w:val="20"/>
        </w:rPr>
        <w:t>Transaction Proposal</w:t>
      </w:r>
      <w:r>
        <w:rPr>
          <w:rFonts w:ascii="Times New Roman;Times;Serif" w:hAnsi="Times New Roman;Times;Serif"/>
          <w:b w:val="false"/>
          <w:i w:val="false"/>
          <w:caps w:val="false"/>
          <w:smallCaps w:val="false"/>
          <w:sz w:val="20"/>
        </w:rPr>
        <w:t xml:space="preserve">”) – a proposal to resolve, by ordinary resolution, that: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entry into the Amended and Restated Sale and Purchase Agreement dated August 14, 2026 (the “</w:t>
      </w:r>
      <w:r>
        <w:rPr>
          <w:rFonts w:ascii="Times New Roman;Times;Serif" w:hAnsi="Times New Roman;Times;Serif"/>
          <w:b/>
          <w:i w:val="false"/>
          <w:caps w:val="false"/>
          <w:smallCaps w:val="false"/>
          <w:sz w:val="20"/>
        </w:rPr>
        <w:t>A&amp;R SPA</w:t>
      </w:r>
      <w:r>
        <w:rPr>
          <w:rFonts w:ascii="Times New Roman;Times;Serif" w:hAnsi="Times New Roman;Times;Serif"/>
          <w:b w:val="false"/>
          <w:i w:val="false"/>
          <w:caps w:val="false"/>
          <w:smallCaps w:val="false"/>
          <w:sz w:val="20"/>
        </w:rPr>
        <w:t>”) among the Company and the sellers named therein, pursuant to which the Company has agreed to acquire the entire issued and outstanding share capital of Resulticks Global Companies Pte. Limited (“</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 together with the transactions contemplated thereby (collectively,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xml:space="preserve">”), be and hereby is authorized, approved and ratified in all respects. A copy of the A&amp;R SPA is attached hereto as Annex 1;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acquisition by the Company of all of the issued and outstanding share capital of Resulticks pursuant to the A&amp;R SPA, be and hereby is authorized, approved and ratified in all respects;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Changes of Authorized Share Capital (as defined below), the allotment and issuance by the Company to the sellers under the A&amp;R SPA of an aggregate of 600,000,000 ordinary shares of the Company, subject to such proportionate adjustment as may be required pursuant to the A&amp;R SPA as a result of any consolidation, subdivision or other reorganization of the Company’s share capital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xml:space="preserve">”), credited as fully paid, be and hereby is authorized and approved; and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Directors of the Company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or any one or more of them, be and hereby are authorized to take any and all actions and to execute, deliver and perform any and all agreements, certificates, instruments and other documents that they consider necessary, advisable or desirable to consummate the Transaction and give effect to this Transaction Proposal, including agreeing to such non-material amendments to the A&amp;R SPA and related transaction documents as they may consider appropriate.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xml:space="preserve"> Change of Control (the “</w:t>
      </w:r>
      <w:r>
        <w:rPr>
          <w:rFonts w:ascii="Times New Roman;Times;Serif" w:hAnsi="Times New Roman;Times;Serif"/>
          <w:b/>
          <w:i w:val="false"/>
          <w:caps w:val="false"/>
          <w:smallCaps w:val="false"/>
          <w:sz w:val="20"/>
        </w:rPr>
        <w:t>Change of Control Proposal</w:t>
      </w:r>
      <w:r>
        <w:rPr>
          <w:rFonts w:ascii="Times New Roman;Times;Serif" w:hAnsi="Times New Roman;Times;Serif"/>
          <w:b w:val="false"/>
          <w:i w:val="false"/>
          <w:caps w:val="false"/>
          <w:smallCaps w:val="false"/>
          <w:sz w:val="20"/>
        </w:rPr>
        <w:t>”) – a proposal, to resolve, by ordinary resolution, that the change of control of the Company resulting from the Transaction and the issuance of the Consideration Shares and other securities to be issued in connection therewith, including, to the extent applicable, for purposes of Nasdaq Listing Rule 5635(b), be and hereby is authorized and approved provided that nothing in this proposal shall constitute a waiver of or election not to rely upon any foreign-private-issuer home-country practice available to the Company under Nasdaq Listing Rule 5615(a)(3).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xml:space="preserve"> Changes of Authorized Share Capital (the “</w:t>
      </w:r>
      <w:r>
        <w:rPr>
          <w:rFonts w:ascii="Times New Roman;Times;Serif" w:hAnsi="Times New Roman;Times;Serif"/>
          <w:b/>
          <w:i w:val="false"/>
          <w:caps w:val="false"/>
          <w:smallCaps w:val="false"/>
          <w:sz w:val="20"/>
        </w:rPr>
        <w:t>Changes of Authorized Share Capital Proposal</w:t>
      </w:r>
      <w:r>
        <w:rPr>
          <w:rFonts w:ascii="Times New Roman;Times;Serif" w:hAnsi="Times New Roman;Times;Serif"/>
          <w:b w:val="false"/>
          <w:i w:val="false"/>
          <w:caps w:val="false"/>
          <w:smallCaps w:val="false"/>
          <w:sz w:val="20"/>
        </w:rPr>
        <w:t>”) - a proposal, to resolve by ordinary resolution that, subject to and conditional upon the closing of the Transaction (other than the issuance of the Consideration Shares), the authorized share capital of the Company be increased and changed from US$200,000 divided into 495,000,000 ordinary shares of a par value of US$0.0004 each and 5,000,000 preferred shares of a par value of US$0.0004 each to US$520,000 divided into 1,300,000,000 ordinary shares of a par value of US$0.0004 each, by (i) the creation of 800,000,000 additional authorized ordinary shares of a par value of US$0.0004 each and (ii) the redesignation of 5,000,000 authorized but unissued preferred shares of US$0.0004 each as 5,000,000 authorized but unissued ordinary shares of a par value of US$0.0004 each (the “</w:t>
      </w:r>
      <w:r>
        <w:rPr>
          <w:rFonts w:ascii="Times New Roman;Times;Serif" w:hAnsi="Times New Roman;Times;Serif"/>
          <w:b/>
          <w:i w:val="false"/>
          <w:caps w:val="false"/>
          <w:smallCaps w:val="false"/>
          <w:sz w:val="20"/>
        </w:rPr>
        <w:t>Changes of Authorized Share Capital</w:t>
      </w:r>
      <w:r>
        <w:rPr>
          <w:rFonts w:ascii="Times New Roman;Times;Serif" w:hAnsi="Times New Roman;Times;Serif"/>
          <w:b w:val="false"/>
          <w:i w:val="false"/>
          <w:caps w:val="false"/>
          <w:smallCaps w:val="false"/>
          <w:sz w:val="20"/>
        </w:rPr>
        <w:t>”), each ranking pari passu in all respects with the existing shares of the same class.</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xml:space="preserve"> Share Consolidation (the “</w:t>
      </w:r>
      <w:r>
        <w:rPr>
          <w:rFonts w:ascii="Times New Roman;Times;Serif" w:hAnsi="Times New Roman;Times;Serif"/>
          <w:b/>
          <w:i w:val="false"/>
          <w:caps w:val="false"/>
          <w:smallCaps w:val="false"/>
          <w:sz w:val="20"/>
        </w:rPr>
        <w:t>Share Consolidation Proposal</w:t>
      </w:r>
      <w:r>
        <w:rPr>
          <w:rFonts w:ascii="Times New Roman;Times;Serif" w:hAnsi="Times New Roman;Times;Serif"/>
          <w:b w:val="false"/>
          <w:i w:val="false"/>
          <w:caps w:val="false"/>
          <w:smallCaps w:val="false"/>
          <w:sz w:val="20"/>
        </w:rPr>
        <w:t>”) - a proposal to resolve, by ordinary resolution that, immediately after the Changes of Authorized Share Capital takes effect, and subject to compliance with applicable law and the requirements of The Nasdaq Stock Market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every ten (10) then issued and unissued ordinary shares of the Company of a par value of US$0.0004 each be consolidated into one (1) ordinary share of a par value of US$0.004 each (each, a “</w:t>
      </w:r>
      <w:r>
        <w:rPr>
          <w:rFonts w:ascii="Times New Roman;Times;Serif" w:hAnsi="Times New Roman;Times;Serif"/>
          <w:b/>
          <w:i w:val="false"/>
          <w:caps w:val="false"/>
          <w:smallCaps w:val="false"/>
          <w:sz w:val="20"/>
        </w:rPr>
        <w:t>Consolidated Ordinary Share</w:t>
      </w:r>
      <w:r>
        <w:rPr>
          <w:rFonts w:ascii="Times New Roman;Times;Serif" w:hAnsi="Times New Roman;Times;Serif"/>
          <w:b w:val="false"/>
          <w:i w:val="false"/>
          <w:caps w:val="false"/>
          <w:smallCaps w:val="false"/>
          <w:sz w:val="20"/>
        </w:rPr>
        <w:t>”), with such Consolidated Ordinary Shares ranking pari passu in all respects with one another and having the same rights and being subject to the same restrictions as the existing ordinary shares as set out in the existing memorandum and articles of association of the Company, save as to par value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fractional Consolidated Ordinary Shares shall be issued and any fractional entitlement otherwise arising shall be rounded up to the next whole Consolidated Ordinary Share, such that the authorized share capital of the Company shall become US$520,000 divided into 130,000,000 ordinary shares of a par value of US$0.004 each; and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number of ordinary shares, warrants, options, restricted share units, performance share units and other securities or rights exercisable for, convertible into or otherwise referencing ordinary shares of the Company, together with the applicable exercise, conversion or subscription prices thereof, shall be adjusted to reflect the Share Consolidation to the extent required by their terms and, in the case of securities issued or issuable pursuant to the A&amp;R SPA, in accordance with the terms of the A&amp;R SPA.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5.</w:t>
      </w:r>
      <w:r>
        <w:rPr>
          <w:rFonts w:ascii="Times New Roman;Times;Serif" w:hAnsi="Times New Roman;Times;Serif"/>
          <w:b w:val="false"/>
          <w:i w:val="false"/>
          <w:caps w:val="false"/>
          <w:smallCaps w:val="false"/>
          <w:sz w:val="20"/>
        </w:rPr>
        <w:t xml:space="preserve"> Amended and Restated Memorandum and Articles of Association Proposal (the “</w:t>
      </w:r>
      <w:r>
        <w:rPr>
          <w:rFonts w:ascii="Times New Roman;Times;Serif" w:hAnsi="Times New Roman;Times;Serif"/>
          <w:b/>
          <w:i w:val="false"/>
          <w:caps w:val="false"/>
          <w:smallCaps w:val="false"/>
          <w:sz w:val="20"/>
        </w:rPr>
        <w:t>M&amp;AA Amendment Proposa</w:t>
      </w:r>
      <w:r>
        <w:rPr>
          <w:rFonts w:ascii="Times New Roman;Times;Serif" w:hAnsi="Times New Roman;Times;Serif"/>
          <w:b w:val="false"/>
          <w:i w:val="false"/>
          <w:caps w:val="false"/>
          <w:smallCaps w:val="false"/>
          <w:sz w:val="20"/>
        </w:rPr>
        <w:t>l”) - a proposal to resolve, by special resolution, that subject to the Changes of Authorized Share Capital and Share Consolidation taking effect, the third amended and restated memorandum and articles of association of the Company in the substantial form attached as Annex 2 to the Notice of Extraordinary General Meeting and the accompanying proxy statement, be and hereby are approved and adopted in their entirety, in substitution for and to the exclusion of the existing second amended and restated memorandum and articles of association of the Company and the Directors, be and hereby are authorized to take all actions and make all filings with the Registrar of Companies of the Cayman Islands and any other governmental or regulatory authority that they consider necessary, advisable or desirable.</w:t>
      </w:r>
    </w:p>
    <w:p>
      <w:pPr>
        <w:pStyle w:val="TextBody"/>
        <w:bidi w:val="0"/>
        <w:spacing w:before="0" w:after="0"/>
        <w:ind w:left="0" w:right="0" w:firstLine="72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6.</w:t>
      </w:r>
      <w:r>
        <w:rPr>
          <w:rFonts w:ascii="Times New Roman;Times;Serif" w:hAnsi="Times New Roman;Times;Serif"/>
          <w:b w:val="false"/>
          <w:i w:val="false"/>
          <w:caps w:val="false"/>
          <w:smallCaps w:val="false"/>
          <w:sz w:val="20"/>
        </w:rPr>
        <w:t xml:space="preserve"> Equity Incentive Plan Proposal (the “</w:t>
      </w:r>
      <w:r>
        <w:rPr>
          <w:rFonts w:ascii="Times New Roman;Times;Serif" w:hAnsi="Times New Roman;Times;Serif"/>
          <w:b/>
          <w:i w:val="false"/>
          <w:caps w:val="false"/>
          <w:smallCaps w:val="false"/>
          <w:sz w:val="20"/>
        </w:rPr>
        <w:t>EIP Proposa</w:t>
      </w:r>
      <w:r>
        <w:rPr>
          <w:rFonts w:ascii="Times New Roman;Times;Serif" w:hAnsi="Times New Roman;Times;Serif"/>
          <w:b w:val="false"/>
          <w:i w:val="false"/>
          <w:caps w:val="false"/>
          <w:smallCaps w:val="false"/>
          <w:sz w:val="20"/>
        </w:rPr>
        <w:t>l”) – a proposal to resolve, by ordinary resolution, that the second amended and restated 2024 Omnibus Incentive Plan of the Company, substantially in the form attached as Annex 3 to the Notice of Extraordinary General Meeting and the accompanying proxy statement be and hereby is approved and adopted in its entirety and in substitution for and to the exclusion of the existing Amended and Restated 2024 Omnibus Incentive Plan of the Company, such that (i) the aggregate number of shares that are available for issuance thereunder shall be increased from 5,400,000 ordinary shares to 9,000,000 ordinary shares (after factoring in the adjustment to be made as a result of the Share Consolidation), and (ii) all references to the par value of the ordinary shares of the Company shall be updated to reflect the revised par value as adjusted as a result of the Share Consolidation, and the Directors be and hereby are authorized to administer and implement such plan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7.</w:t>
      </w:r>
      <w:r>
        <w:rPr>
          <w:rFonts w:ascii="Times New Roman;Times;Serif" w:hAnsi="Times New Roman;Times;Serif"/>
          <w:b w:val="false"/>
          <w:i w:val="false"/>
          <w:caps w:val="false"/>
          <w:smallCaps w:val="false"/>
          <w:sz w:val="20"/>
        </w:rPr>
        <w:t xml:space="preserve"> Ancillary Transaction Agreements Proposal (the “</w:t>
      </w:r>
      <w:r>
        <w:rPr>
          <w:rFonts w:ascii="Times New Roman;Times;Serif" w:hAnsi="Times New Roman;Times;Serif"/>
          <w:b/>
          <w:i w:val="false"/>
          <w:caps w:val="false"/>
          <w:smallCaps w:val="false"/>
          <w:sz w:val="20"/>
        </w:rPr>
        <w:t>Ancillary Agreements Proposal</w:t>
      </w:r>
      <w:r>
        <w:rPr>
          <w:rFonts w:ascii="Times New Roman;Times;Serif" w:hAnsi="Times New Roman;Times;Serif"/>
          <w:b w:val="false"/>
          <w:i w:val="false"/>
          <w:caps w:val="false"/>
          <w:smallCaps w:val="false"/>
          <w:sz w:val="20"/>
        </w:rPr>
        <w:t>”) - a proposal to resolve, by ordinary resolution, that to the extent not previously validly issued or approved and subject to the terms described in the Notice of Extraordinary General Meeting and accompanying proxy statement, the following transactions be and hereby are approved and, where appropriate, ratified and confirmed: (a) the Amended and Restated Deed of Undertaking dated August 14, 2026, including the termination and cancellation of the Diginex Founder Warrants, Outstanding IPO Warrants and applicable restricted stock units and performance stock units issued to Miles Pelham and the allotment and issuance of up to 40,000,000 ordinary shares to Rhino Ventures Limited, subject to the forfeiture / treasury-share or alternative security arrangements contemplated by the Transaction documents; (b) the Resulticks Additional Investment (as defined in the A&amp;R SPA), including up to approximately 58,823,530 ordinary shares; and (c) up to 15,000,000 ordinary shares payable to the transaction introducer, in each case subject to proportionate adjustment for the Share Consolidation; provided that nothing in this proposal shall constitute a waiver of or election not to rely upon any foreign-private-issuer home-country practice available to the Company under Nasdaq Listing Rule 5615(a)(3). A copy of the Amended and Restated Deed of Undertaking dated August 14, 2026 is attached hereto as Annex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8.</w:t>
      </w:r>
      <w:r>
        <w:rPr>
          <w:rFonts w:ascii="Times New Roman;Times;Serif" w:hAnsi="Times New Roman;Times;Serif"/>
          <w:b w:val="false"/>
          <w:i w:val="false"/>
          <w:caps w:val="false"/>
          <w:smallCaps w:val="false"/>
          <w:sz w:val="20"/>
        </w:rPr>
        <w:t xml:space="preserve"> Adjournment Proposal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 – a proposal to resolve, by ordinary resolution, that the chairman of the Extraordinary General Meeting be and hereby is authorized to adjourn the Meeting to a later date or dates, on one or more occasions, if necessary or advisable (a) to permit any required or advisable supplement or amendment to this Notice of Extraordinary General Meeting and accompanying proxy statement to be furnished to shareholders, (b) to permit the Company to solicit additional proxies in favor of any proposal submitted at the Meeting or (c) if the chairman otherwise determines that an adjournment is necessary or advisable to facilitate the orderly conduct of the Extraordinary General Meeting or completion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Notice of Extraordinary General Meeting and Proxy Statement (the “Notice”) and the Proxy Card are attached hereto as Exhibit 99.1 and Exhibit 99.2, respectively. Shareholders of the Company on the Record Date are entitled to vote on the matters presented at the Meeting. Shareholders are urged to carefully read the Notice, because it contains important information about the Company and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foreign private issuer. As such, the Notice is not subject to review and comment by the U.S.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Notice and other documents filed or submitted by the Company will be available at </w:t>
      </w:r>
      <w:r>
        <w:rPr>
          <w:rFonts w:ascii="Times New Roman;Times;Serif" w:hAnsi="Times New Roman;Times;Serif"/>
          <w:b w:val="false"/>
          <w:i w:val="false"/>
          <w:caps w:val="false"/>
          <w:smallCaps w:val="false"/>
          <w:sz w:val="20"/>
          <w:u w:val="single"/>
        </w:rPr>
        <w:t>https://www.cstproxy.com/diginex/egm2026</w:t>
      </w:r>
      <w:r>
        <w:rPr>
          <w:rFonts w:ascii="Times New Roman;Times;Serif" w:hAnsi="Times New Roman;Times;Serif"/>
          <w:b w:val="false"/>
          <w:i w:val="false"/>
          <w:caps w:val="false"/>
          <w:smallCaps w:val="false"/>
          <w:sz w:val="20"/>
        </w:rPr>
        <w:t xml:space="preserve"> and at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Shareholders may also obtain a copy of the Notice, free of charge, from the Company or on the Company’s website at https://www.diginex.com.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may be deemed to be participants in the solicitation of proxies from the shareholders of the Company in connection with the Meeting. Information regarding certain directors and executive officers of the Company is available in the Company’s documents filed with or submitted to the SEC. Other information regarding the participants in the proxy solicitation and descriptions of their direct and indirect interests, by security holdings or otherwise, are set forth in the Notice filed herewith.</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110" w:type="dxa"/>
        <w:jc w:val="left"/>
        <w:tblInd w:w="0" w:type="dxa"/>
        <w:tblLayout w:type="fixed"/>
        <w:tblCellMar>
          <w:top w:w="0" w:type="dxa"/>
          <w:left w:w="0" w:type="dxa"/>
          <w:bottom w:w="0" w:type="dxa"/>
          <w:right w:w="0" w:type="dxa"/>
        </w:tblCellMar>
      </w:tblPr>
      <w:tblGrid>
        <w:gridCol w:w="2135"/>
        <w:gridCol w:w="590"/>
        <w:gridCol w:w="138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19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Miles Pelham</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980"/>
        <w:gridCol w:w="60"/>
        <w:gridCol w:w="639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9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Notice of Extraordinary General Meeting of Shareholders and Proxy Statement</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95" w:type="dxa"/>
            <w:tcBorders/>
            <w:tcMar>
              <w:bottom w:w="0" w:type="dxa"/>
            </w:tcMar>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Form of Proxy Card</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under the laws of the Cayman Islands)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DGNX)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 OF THE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NOTICE IS HEREBY GIVEN </w:t>
      </w:r>
      <w:r>
        <w:rPr>
          <w:rFonts w:ascii="Times New Roman;Times;Serif" w:hAnsi="Times New Roman;Times;Serif"/>
          <w:b w:val="false"/>
          <w:i w:val="false"/>
          <w:caps w:val="false"/>
          <w:smallCaps w:val="false"/>
          <w:sz w:val="20"/>
        </w:rPr>
        <w:t>that an Extraordinary General Meeting (the “</w:t>
      </w:r>
      <w:r>
        <w:rPr>
          <w:rFonts w:ascii="Times New Roman;Times;Serif" w:hAnsi="Times New Roman;Times;Serif"/>
          <w:b/>
          <w:i w:val="false"/>
          <w:caps w:val="false"/>
          <w:smallCaps w:val="false"/>
          <w:sz w:val="20"/>
        </w:rPr>
        <w:t>Extraordinary General Meeting</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the shareholders of Diginex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on Thursday, October 8, 2026 at 10:00 a.m. (Eastern Time) via webcast and teleconference using the following access information:</w:t>
      </w:r>
    </w:p>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325"/>
        <w:gridCol w:w="585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w:t>
            </w:r>
          </w:p>
        </w:tc>
        <w:tc>
          <w:tcPr>
            <w:tcW w:w="5855" w:type="dxa"/>
            <w:tcBorders/>
            <w:vAlign w:val="center"/>
          </w:tcPr>
          <w:p>
            <w:pPr>
              <w:pStyle w:val="TableContents"/>
              <w:bidi w:val="0"/>
              <w:spacing w:before="0" w:after="283"/>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https://www.cstproxy.com/diginex/egm2026</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both"/>
              <w:rPr>
                <w:caps w:val="false"/>
                <w:smallCaps w:val="false"/>
              </w:rPr>
            </w:pPr>
            <w:r>
              <w:rPr>
                <w:caps w:val="false"/>
                <w:smallCaps w:val="false"/>
              </w:rPr>
              <w:t> </w:t>
            </w:r>
          </w:p>
        </w:tc>
        <w:tc>
          <w:tcPr>
            <w:tcW w:w="5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Teleconference:</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access (listen-only):</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U.S. and Canada: 1 800-450-7155 (toll-free)</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of the U.S. and Canada: +1 857-999-9155 (standard rates apply)</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ID: 0374507#</w:t>
            </w:r>
          </w:p>
        </w:tc>
      </w:tr>
    </w:tbl>
    <w:p>
      <w:pPr>
        <w:pStyle w:val="TextBody"/>
        <w:bidi w:val="0"/>
        <w:spacing w:before="0" w:after="0"/>
        <w:ind w:left="3909"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of Extraordinary General Meeting, the proxy statement and the proxy card accompany this Notice are also available at </w:t>
      </w:r>
      <w:r>
        <w:rPr>
          <w:rFonts w:ascii="Times New Roman;Times;Serif" w:hAnsi="Times New Roman;Times;Serif"/>
          <w:b w:val="false"/>
          <w:i/>
          <w:caps w:val="false"/>
          <w:smallCaps w:val="false"/>
          <w:sz w:val="20"/>
          <w:u w:val="single"/>
        </w:rPr>
        <w:t>https://www.cstproxy.com/diginex/egm2026</w:t>
      </w:r>
      <w:r>
        <w:rPr>
          <w:rFonts w:ascii="Times New Roman;Times;Serif" w:hAnsi="Times New Roman;Times;Serif"/>
          <w:b w:val="false"/>
          <w:i w:val="false"/>
          <w:caps w:val="false"/>
          <w:smallCaps w:val="false"/>
          <w:sz w:val="20"/>
        </w:rPr>
        <w:t>. We are mailing these materials to our shareholders on or about September 24,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the enclosed Proxy Statement, the purpose of the Extraordinary General Meeting is to consider and vote upon, and if thought fit, approve the following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xml:space="preserve"> Transaction and Consideration Shares Proposal (the “</w:t>
      </w:r>
      <w:r>
        <w:rPr>
          <w:rFonts w:ascii="Times New Roman;Times;Serif" w:hAnsi="Times New Roman;Times;Serif"/>
          <w:b/>
          <w:i w:val="false"/>
          <w:caps w:val="false"/>
          <w:smallCaps w:val="false"/>
          <w:sz w:val="20"/>
        </w:rPr>
        <w:t>Transaction Proposal</w:t>
      </w:r>
      <w:r>
        <w:rPr>
          <w:rFonts w:ascii="Times New Roman;Times;Serif" w:hAnsi="Times New Roman;Times;Serif"/>
          <w:b w:val="false"/>
          <w:i w:val="false"/>
          <w:caps w:val="false"/>
          <w:smallCaps w:val="false"/>
          <w:sz w:val="20"/>
        </w:rPr>
        <w:t xml:space="preserve">”) – a proposal to resolve, by ordinary resolution, that: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entry into the Amended and Restated Sale and Purchase Agreement dated August 14, 2026 (the “</w:t>
      </w:r>
      <w:r>
        <w:rPr>
          <w:rFonts w:ascii="Times New Roman;Times;Serif" w:hAnsi="Times New Roman;Times;Serif"/>
          <w:b/>
          <w:i w:val="false"/>
          <w:caps w:val="false"/>
          <w:smallCaps w:val="false"/>
          <w:sz w:val="20"/>
        </w:rPr>
        <w:t>A&amp;R SPA</w:t>
      </w:r>
      <w:r>
        <w:rPr>
          <w:rFonts w:ascii="Times New Roman;Times;Serif" w:hAnsi="Times New Roman;Times;Serif"/>
          <w:b w:val="false"/>
          <w:i w:val="false"/>
          <w:caps w:val="false"/>
          <w:smallCaps w:val="false"/>
          <w:sz w:val="20"/>
        </w:rPr>
        <w:t>”) among the Company and the sellers named therein, pursuant to which the Company has agreed to acquire the entire issued and outstanding share capital of Resulticks Global Companies Pte. Limited (“</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 together with the transactions contemplated thereby (collectively,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xml:space="preserve">”), be and hereby is authorized, approved and ratified in all respects. A copy of the A&amp;R SPA is attached hereto as Annex 1; </w:t>
      </w:r>
    </w:p>
    <w:p>
      <w:pPr>
        <w:pStyle w:val="TextBody"/>
        <w:bidi w:val="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acquisition by the Company of all of the issued and outstanding share capital of Resulticks pursuant to the A&amp;R SPA, be and hereby is authorized, approved and ratified in all respects; </w:t>
      </w:r>
    </w:p>
    <w:p>
      <w:pPr>
        <w:pStyle w:val="TextBody"/>
        <w:bidi w:val="0"/>
        <w:spacing w:before="0" w:after="0"/>
        <w:ind w:left="72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Changes of Authorized Share Capital (as defined below), the allotment and issuance by the Company to the sellers under the A&amp;R SPA of an aggregate of 600,000,000 ordinary shares of the Company, subject to such proportionate adjustment as may be required pursuant to the A&amp;R SPA as a result of any consolidation, subdivision or other reorganization of the Company’s share capital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xml:space="preserve">”), credited as fully paid, be and hereby is authorized and approved; and </w:t>
      </w:r>
    </w:p>
    <w:p>
      <w:pPr>
        <w:pStyle w:val="TextBody"/>
        <w:bidi w:val="0"/>
        <w:spacing w:before="0" w:after="0"/>
        <w:ind w:left="72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Directors of the Company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or any one or more of them, be and hereby are authorized to take any and all actions and to execute, deliver and perform any and all agreements, certificates, instruments and other documents that they consider necessary, advisable or desirable to consummate the Transaction and give effect to this Transaction Proposal, including agreeing to such non-material amendments to the A&amp;R SPA and related transaction documents as they may consider appropriate. </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xml:space="preserve"> Change of Control (the “</w:t>
      </w:r>
      <w:r>
        <w:rPr>
          <w:rFonts w:ascii="Times New Roman;Times;Serif" w:hAnsi="Times New Roman;Times;Serif"/>
          <w:b/>
          <w:i w:val="false"/>
          <w:caps w:val="false"/>
          <w:smallCaps w:val="false"/>
          <w:sz w:val="20"/>
        </w:rPr>
        <w:t>Change of Control Proposal</w:t>
      </w:r>
      <w:r>
        <w:rPr>
          <w:rFonts w:ascii="Times New Roman;Times;Serif" w:hAnsi="Times New Roman;Times;Serif"/>
          <w:b w:val="false"/>
          <w:i w:val="false"/>
          <w:caps w:val="false"/>
          <w:smallCaps w:val="false"/>
          <w:sz w:val="20"/>
        </w:rPr>
        <w:t xml:space="preserve">”) – a proposal, to resolve, by ordinary resolution, that the change of control of the Company resulting from the Transaction and the issuance of the Consideration Shares and other securities to be issued in connection therewith, including, to the extent applicable, for purposes of Nasdaq Listing Rule 5635(b), be and hereby is authorized and approved provided that nothing in this proposal shall constitute a waiver of or election not to rely upon any foreign-private-issuer home-country practice available to the Company under Nasdaq Listing Rule 5615(a)(3).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xml:space="preserve"> Changes of Authorized Share Capital (the “</w:t>
      </w:r>
      <w:r>
        <w:rPr>
          <w:rFonts w:ascii="Times New Roman;Times;Serif" w:hAnsi="Times New Roman;Times;Serif"/>
          <w:b/>
          <w:i w:val="false"/>
          <w:caps w:val="false"/>
          <w:smallCaps w:val="false"/>
          <w:sz w:val="20"/>
        </w:rPr>
        <w:t>Changes of Authorized Share Capital Proposal</w:t>
      </w:r>
      <w:r>
        <w:rPr>
          <w:rFonts w:ascii="Times New Roman;Times;Serif" w:hAnsi="Times New Roman;Times;Serif"/>
          <w:b w:val="false"/>
          <w:i w:val="false"/>
          <w:caps w:val="false"/>
          <w:smallCaps w:val="false"/>
          <w:sz w:val="20"/>
        </w:rPr>
        <w:t>”) - a proposal, to resolve by ordinary resolution that, subject to and conditional upon the closing of the Transaction (other than the issuance of the Consideration Shares), the authorized share capital of the Company be increased and changed from US$200,000 divided into 495,000,000 ordinary shares of a par value of US$0.0004 each and 5,000,000 preferred shares of a par value of US$0.0004 each to US$520,000 divided into 1,300,000,000 ordinary shares of a par value of US$0.0004 each, by (i) the creation of 800,000,000 additional authorized ordinary shares of a par value of US$0.0004 each and (ii) the redesignation of 5,000,000 authorized but unissued preferred shares of US$0.0004 each as 5,000,000 authorized but unissued ordinary shares of a par value of US$0.0004 each (the “</w:t>
      </w:r>
      <w:r>
        <w:rPr>
          <w:rFonts w:ascii="Times New Roman;Times;Serif" w:hAnsi="Times New Roman;Times;Serif"/>
          <w:b/>
          <w:i w:val="false"/>
          <w:caps w:val="false"/>
          <w:smallCaps w:val="false"/>
          <w:sz w:val="20"/>
        </w:rPr>
        <w:t>Changes of Authorized Share Capital</w:t>
      </w:r>
      <w:r>
        <w:rPr>
          <w:rFonts w:ascii="Times New Roman;Times;Serif" w:hAnsi="Times New Roman;Times;Serif"/>
          <w:b w:val="false"/>
          <w:i w:val="false"/>
          <w:caps w:val="false"/>
          <w:smallCaps w:val="false"/>
          <w:sz w:val="20"/>
        </w:rPr>
        <w:t xml:space="preserve">”), each ranking pari passu in all respects with the existing shares of the same class.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xml:space="preserve"> Share Consolidation (the “</w:t>
      </w:r>
      <w:r>
        <w:rPr>
          <w:rFonts w:ascii="Times New Roman;Times;Serif" w:hAnsi="Times New Roman;Times;Serif"/>
          <w:b/>
          <w:i w:val="false"/>
          <w:caps w:val="false"/>
          <w:smallCaps w:val="false"/>
          <w:sz w:val="20"/>
        </w:rPr>
        <w:t>Share Consolidation Proposal</w:t>
      </w:r>
      <w:r>
        <w:rPr>
          <w:rFonts w:ascii="Times New Roman;Times;Serif" w:hAnsi="Times New Roman;Times;Serif"/>
          <w:b w:val="false"/>
          <w:i w:val="false"/>
          <w:caps w:val="false"/>
          <w:smallCaps w:val="false"/>
          <w:sz w:val="20"/>
        </w:rPr>
        <w:t xml:space="preserve">”) - a proposal to resolve, by ordinary resolution that, immediately after the Changes of Authorized Share Capital takes effect, and subject to compliance with applicable law and the requirements of The Nasdaq Stock Market LLC: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every ten (10) then issued and unissued ordinary shares of the Company of a par value of US$0.0004 each be consolidated into one (1) ordinary share of a par value of US$0.004 each (each, a “</w:t>
      </w:r>
      <w:r>
        <w:rPr>
          <w:rFonts w:ascii="Times New Roman;Times;Serif" w:hAnsi="Times New Roman;Times;Serif"/>
          <w:b/>
          <w:i w:val="false"/>
          <w:caps w:val="false"/>
          <w:smallCaps w:val="false"/>
          <w:sz w:val="20"/>
        </w:rPr>
        <w:t>Consolidated Ordinary Share</w:t>
      </w:r>
      <w:r>
        <w:rPr>
          <w:rFonts w:ascii="Times New Roman;Times;Serif" w:hAnsi="Times New Roman;Times;Serif"/>
          <w:b w:val="false"/>
          <w:i w:val="false"/>
          <w:caps w:val="false"/>
          <w:smallCaps w:val="false"/>
          <w:sz w:val="20"/>
        </w:rPr>
        <w:t>”), with such Consolidated Ordinary Shares ranking pari passu in all respects with one another and having the same rights and being subject to the same restrictions as the existing ordinary shares as set out in the existing memorandum and articles of association of the Company, save as to par value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xml:space="preserve">”); </w:t>
      </w:r>
    </w:p>
    <w:p>
      <w:pPr>
        <w:pStyle w:val="TextBody"/>
        <w:bidi w:val="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fractional Consolidated Ordinary Shares shall be issued and any fractional entitlement otherwise arising shall be rounded up to the next whole Consolidated Ordinary Share, such that the authorized share capital of the Company shall become US$520,000 divided into 130,000,000 ordinary shares of a par value of US$0.004 each; and </w:t>
      </w:r>
    </w:p>
    <w:p>
      <w:pPr>
        <w:pStyle w:val="TextBody"/>
        <w:bidi w:val="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number of ordinary shares, warrants, options, restricted share units, performance share units and other securities or rights exercisable for, convertible into or otherwise referencing ordinary shares of the Company, together with the applicable exercise, conversion or subscription prices thereof, shall be adjusted to reflect the Share Consolidation to the extent required by their terms and, in the case of securities issued or issuable pursuant to the A&amp;R SPA, in accordance with the terms of the A&amp;R SPA.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5.</w:t>
      </w:r>
      <w:r>
        <w:rPr>
          <w:rFonts w:ascii="Times New Roman;Times;Serif" w:hAnsi="Times New Roman;Times;Serif"/>
          <w:b w:val="false"/>
          <w:i w:val="false"/>
          <w:caps w:val="false"/>
          <w:smallCaps w:val="false"/>
          <w:sz w:val="20"/>
        </w:rPr>
        <w:t xml:space="preserve"> Amended and Restated Memorandum and Articles of Association Proposal (the “</w:t>
      </w:r>
      <w:r>
        <w:rPr>
          <w:rFonts w:ascii="Times New Roman;Times;Serif" w:hAnsi="Times New Roman;Times;Serif"/>
          <w:b/>
          <w:i w:val="false"/>
          <w:caps w:val="false"/>
          <w:smallCaps w:val="false"/>
          <w:sz w:val="20"/>
        </w:rPr>
        <w:t>M&amp;AA Amendment Proposa</w:t>
      </w:r>
      <w:r>
        <w:rPr>
          <w:rFonts w:ascii="Times New Roman;Times;Serif" w:hAnsi="Times New Roman;Times;Serif"/>
          <w:b w:val="false"/>
          <w:i w:val="false"/>
          <w:caps w:val="false"/>
          <w:smallCaps w:val="false"/>
          <w:sz w:val="20"/>
        </w:rPr>
        <w:t xml:space="preserve">l”) - a proposal to resolve, by special resolution, that subject to the Changes of Authorized Share Capital and Share Consolidation taking effect, the third amended and restated memorandum and articles of association of the Company in the substantial form attached as Annex 2 to the Notice of Extraordinary General Meeting and the accompanying proxy statement, be and hereby are approved and adopted in their entirety, in substitution for and to the exclusion of the existing second amended and restated memorandum and articles of association of the Company and the Directors, be and hereby are authorized to take all actions and make all filings with the Registrar of Companies of the Cayman Islands and any other governmental or regulatory authority that they consider necessary, advisable or desirable. </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6.</w:t>
      </w:r>
      <w:r>
        <w:rPr>
          <w:rFonts w:ascii="Times New Roman;Times;Serif" w:hAnsi="Times New Roman;Times;Serif"/>
          <w:b w:val="false"/>
          <w:i w:val="false"/>
          <w:caps w:val="false"/>
          <w:smallCaps w:val="false"/>
          <w:sz w:val="20"/>
        </w:rPr>
        <w:t xml:space="preserve"> Equity Incentive Plan Proposal (the “</w:t>
      </w:r>
      <w:r>
        <w:rPr>
          <w:rFonts w:ascii="Times New Roman;Times;Serif" w:hAnsi="Times New Roman;Times;Serif"/>
          <w:b/>
          <w:i w:val="false"/>
          <w:caps w:val="false"/>
          <w:smallCaps w:val="false"/>
          <w:sz w:val="20"/>
        </w:rPr>
        <w:t>EIP Proposa</w:t>
      </w:r>
      <w:r>
        <w:rPr>
          <w:rFonts w:ascii="Times New Roman;Times;Serif" w:hAnsi="Times New Roman;Times;Serif"/>
          <w:b w:val="false"/>
          <w:i w:val="false"/>
          <w:caps w:val="false"/>
          <w:smallCaps w:val="false"/>
          <w:sz w:val="20"/>
        </w:rPr>
        <w:t xml:space="preserve">l”) – a proposal to resolve, by ordinary resolution, that the second amended and restated 2024 Omnibus Incentive Plan of the Company, substantially in the form attached as Annex 3 to the Notice of Extraordinary General Meeting and the accompanying proxy statement be and hereby is approved and adopted in its entirety and in substitution for and to the exclusion of the existing Amended and Restated 2024 Omnibus Incentive Plan of the Company, such that (i) the aggregate number of shares that are available for issuance thereunder shall be increased from 5,400,000 ordinary shares to 9,000,000 ordinary shares (after factoring in the adjustment to be made as a result of the Share Consolidation), and (ii) all references to the par value of the ordinary shares of the Company shall be updated to reflect the revised par value as adjusted as a result of the Share Consolidation, and the Directors be and hereby are authorized to administer and implement such plan in accordance with its terms.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7.</w:t>
      </w:r>
      <w:r>
        <w:rPr>
          <w:rFonts w:ascii="Times New Roman;Times;Serif" w:hAnsi="Times New Roman;Times;Serif"/>
          <w:b w:val="false"/>
          <w:i w:val="false"/>
          <w:caps w:val="false"/>
          <w:smallCaps w:val="false"/>
          <w:sz w:val="20"/>
        </w:rPr>
        <w:t xml:space="preserve"> Ancillary Transaction Agreements Proposal (the “</w:t>
      </w:r>
      <w:r>
        <w:rPr>
          <w:rFonts w:ascii="Times New Roman;Times;Serif" w:hAnsi="Times New Roman;Times;Serif"/>
          <w:b/>
          <w:i w:val="false"/>
          <w:caps w:val="false"/>
          <w:smallCaps w:val="false"/>
          <w:sz w:val="20"/>
        </w:rPr>
        <w:t>Ancillary Agreements Proposal</w:t>
      </w:r>
      <w:r>
        <w:rPr>
          <w:rFonts w:ascii="Times New Roman;Times;Serif" w:hAnsi="Times New Roman;Times;Serif"/>
          <w:b w:val="false"/>
          <w:i w:val="false"/>
          <w:caps w:val="false"/>
          <w:smallCaps w:val="false"/>
          <w:sz w:val="20"/>
        </w:rPr>
        <w:t xml:space="preserve">”) - a proposal to resolve, by ordinary resolution, that to the extent not previously validly issued or approved and subject to the terms described in the Notice of Extraordinary General Meeting and accompanying proxy statement, the following transactions be and hereby are approved and, where appropriate, ratified and confirmed: (a) the Amended and Restated Deed of Undertaking dated August 14, 2026, including the termination and cancellation of the Diginex Founder Warrants, Outstanding IPO Warrants and applicable restricted stock units and performance stock units issued to Miles Pelham and the allotment and issuance of up to 40,000,000 ordinary shares to Rhino Ventures Limited, subject to the forfeiture / treasury-share or alternative security arrangements contemplated by the Transaction documents; (b) the Resulticks Additional Investment (as defined in the A&amp;R SPA), including up to approximately 58,823,530 ordinary shares; and (c) up to 15,000,000 ordinary shares payable to the transaction introducer, in each case subject to proportionate adjustment for the Share Consolidation; provided that nothing in this proposal shall constitute a waiver of or election not to rely upon any foreign-private-issuer home-country practice available to the Company under Nasdaq Listing Rule 5615(a)(3). A copy of the Amended and Restated Deed of Undertaking dated August 14, 2026 is attached hereto as Annex 4.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8.</w:t>
      </w:r>
      <w:r>
        <w:rPr>
          <w:rFonts w:ascii="Times New Roman;Times;Serif" w:hAnsi="Times New Roman;Times;Serif"/>
          <w:b w:val="false"/>
          <w:i w:val="false"/>
          <w:caps w:val="false"/>
          <w:smallCaps w:val="false"/>
          <w:sz w:val="20"/>
        </w:rPr>
        <w:t xml:space="preserve"> Adjournment Proposal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 xml:space="preserve">”) – a proposal to resolve, by ordinary resolution, that the chairman of the Extraordinary General Meeting be and hereby is authorized to adjourn the Meeting to a later date or dates, on one or more occasions, if necessary or advisable (a) to permit any required or advisable supplement or amendment to this Notice of Extraordinary General Meeting and accompanying proxy statement to be furnished to shareholders, (b) to permit the Company to solicit additional proxies in favor of any proposal submitted at the Meeting or (c) if the chairman otherwise determines that an adjournment is necessary or advisable to facilitate the orderly conduct of the Extraordinary General Meeting or completion of the Transaction.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of business, as well as the full text of the resolutions to be proposed, are more fully described in the proxy statement accompanying this Notice. The Board of Directors unanimously recommends that the shareholders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for all the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August 14,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the shareholders entitled to receive notice of and to vote at the Extraordinary General Meeting or any adjournment thereof. Only holders of ordinary shares of the Company on the Record Date are entitled to receive notice of and to vote at the Extraordinary General Meeting or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obtain a copy of the proxy materials from the Company’s website www.diginex.com. This Notice of the Extraordinary General Meeting, the accompanying proxy statement, and the proxy card will be sent or made available to shareholders on or about September 24, 2026.</w:t>
      </w:r>
    </w:p>
    <w:p>
      <w:pPr>
        <w:pStyle w:val="TextBody"/>
        <w:bidi w:val="0"/>
        <w:spacing w:before="0" w:after="0"/>
        <w:ind w:left="0" w:right="0" w:hanging="0"/>
        <w:jc w:val="left"/>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2435"/>
        <w:gridCol w:w="75"/>
      </w:tblGrid>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24,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Miles Pelham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 Pelham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 ABOUT THE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questions and answers are intended to address briefly some commonly asked questions regarding the Extraordinary General Meeting. These questions and answers may not address all of the questions that may be important to you as a shareholder. To better understand these matters, you should carefully read this entire notice to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Why am I receiving this notice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holding the Extraordinary General Meeting to approve, among other things, Proposal 1. the Transaction Proposal; Proposal No. 2. the Change of Control Proposal; Proposal No. 3 the Changes of Authorized Share Capital Proposal; Proposal No. 4 the Share Consolidation Proposal; Proposal No. 5 the M&amp;AA Amendment Proposal; Proposal No. 6 the EIP Proposal; Proposal No. 7 the Ancillary Agreements Proposal; and Proposal No. 8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included in this Notice of Extraordinary General Meeting and the accompanying proxy statement important information about the Extraordinary General Meeting. You should read this information carefully and in its entirety. The enclosed proxy card provides instructions for you to vote your ordinary shares without attending the Extraordinary General Meeting. Your vote is very important and we encourage you to submit your proxy as soon as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What proposals are the shareholders being asked to consider?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shareholders are being asked to consider and vote upon, and if thought fit, approve the following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xml:space="preserve"> Transaction and Consideration Shares Proposal (the “</w:t>
      </w:r>
      <w:r>
        <w:rPr>
          <w:rFonts w:ascii="Times New Roman;Times;Serif" w:hAnsi="Times New Roman;Times;Serif"/>
          <w:b/>
          <w:i w:val="false"/>
          <w:caps w:val="false"/>
          <w:smallCaps w:val="false"/>
          <w:sz w:val="20"/>
        </w:rPr>
        <w:t>Transaction Proposal</w:t>
      </w:r>
      <w:r>
        <w:rPr>
          <w:rFonts w:ascii="Times New Roman;Times;Serif" w:hAnsi="Times New Roman;Times;Serif"/>
          <w:b w:val="false"/>
          <w:i w:val="false"/>
          <w:caps w:val="false"/>
          <w:smallCaps w:val="false"/>
          <w:sz w:val="20"/>
        </w:rPr>
        <w:t xml:space="preserve">”) – a proposal to resolve, by ordinary resolution, that: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entry into the Amended and Restated Sale and Purchase Agreement dated August 14, 2026 (the “</w:t>
      </w:r>
      <w:r>
        <w:rPr>
          <w:rFonts w:ascii="Times New Roman;Times;Serif" w:hAnsi="Times New Roman;Times;Serif"/>
          <w:b/>
          <w:i w:val="false"/>
          <w:caps w:val="false"/>
          <w:smallCaps w:val="false"/>
          <w:sz w:val="20"/>
        </w:rPr>
        <w:t>A&amp;R SPA</w:t>
      </w:r>
      <w:r>
        <w:rPr>
          <w:rFonts w:ascii="Times New Roman;Times;Serif" w:hAnsi="Times New Roman;Times;Serif"/>
          <w:b w:val="false"/>
          <w:i w:val="false"/>
          <w:caps w:val="false"/>
          <w:smallCaps w:val="false"/>
          <w:sz w:val="20"/>
        </w:rPr>
        <w:t>”) among the Company and the sellers named therein, pursuant to which the Company has agreed to acquire the entire issued and outstanding share capital of Resulticks Global Companies Pte. Limited (“</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 together with the transactions contemplated thereby (collectively,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xml:space="preserve">”), be and hereby is authorized, approved and ratified in all respects. A copy of the A&amp;R SPA is attached hereto as Annex 1; </w:t>
      </w:r>
    </w:p>
    <w:p>
      <w:pPr>
        <w:pStyle w:val="TextBody"/>
        <w:bidi w:val="0"/>
        <w:spacing w:before="0" w:after="0"/>
        <w:ind w:left="72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acquisition by the Company of all of the issued and outstanding share capital of Resulticks pursuant to the A&amp;R SPA, be and hereby is authorized, approved and ratified in all respects; </w:t>
      </w:r>
    </w:p>
    <w:p>
      <w:pPr>
        <w:pStyle w:val="TextBody"/>
        <w:bidi w:val="0"/>
        <w:spacing w:before="0" w:after="0"/>
        <w:ind w:left="72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Changes of Authorized Share Capital (as defined below), the allotment and issuance by the Company to the sellers under the A&amp;R SPA of an aggregate of 600,000,000 ordinary shares of the Company, subject to such proportionate adjustment as may be required pursuant to the A&amp;R SPA as a result of any consolidation, subdivision or other reorganization of the Company’s share capital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xml:space="preserve">”), credited as fully paid, be and hereby is authorized and approved; and </w:t>
      </w:r>
    </w:p>
    <w:p>
      <w:pPr>
        <w:pStyle w:val="TextBody"/>
        <w:bidi w:val="0"/>
        <w:spacing w:before="0" w:after="0"/>
        <w:ind w:left="72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Directors of the Company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or any one or more of them, be and hereby are authorized to take any and all actions and to execute, deliver and perform any and all agreements, certificates, instruments and other documents that they consider necessary, advisable or desirable to consummate the Transaction and give effect to this Transaction Proposal, including agreeing to such non-material amendments to the A&amp;R SPA and related transaction documents as they may consider appropriate. </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xml:space="preserve"> Change of Control (the “</w:t>
      </w:r>
      <w:r>
        <w:rPr>
          <w:rFonts w:ascii="Times New Roman;Times;Serif" w:hAnsi="Times New Roman;Times;Serif"/>
          <w:b/>
          <w:i w:val="false"/>
          <w:caps w:val="false"/>
          <w:smallCaps w:val="false"/>
          <w:sz w:val="20"/>
        </w:rPr>
        <w:t>Change of Control Proposal</w:t>
      </w:r>
      <w:r>
        <w:rPr>
          <w:rFonts w:ascii="Times New Roman;Times;Serif" w:hAnsi="Times New Roman;Times;Serif"/>
          <w:b w:val="false"/>
          <w:i w:val="false"/>
          <w:caps w:val="false"/>
          <w:smallCaps w:val="false"/>
          <w:sz w:val="20"/>
        </w:rPr>
        <w:t xml:space="preserve">”) – a proposal, to resolve, by ordinary resolution, that the change of control of the Company resulting from the Transaction and the issuance of the Consideration Shares and other securities to be issued in connection therewith, including, to the extent applicable, for purposes of Nasdaq Listing Rule 5635(b), be and hereby is authorized and approved provided that nothing in this proposal shall constitute a waiver of or election not to rely upon any foreign-private-issuer home-country practice available to the Company under Nasdaq Listing Rule 5615(a)(3).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xml:space="preserve"> Changes of Authorized Share Capital (the “</w:t>
      </w:r>
      <w:r>
        <w:rPr>
          <w:rFonts w:ascii="Times New Roman;Times;Serif" w:hAnsi="Times New Roman;Times;Serif"/>
          <w:b/>
          <w:i w:val="false"/>
          <w:caps w:val="false"/>
          <w:smallCaps w:val="false"/>
          <w:sz w:val="20"/>
        </w:rPr>
        <w:t>Changes of Authorized Share Capital Proposal</w:t>
      </w:r>
      <w:r>
        <w:rPr>
          <w:rFonts w:ascii="Times New Roman;Times;Serif" w:hAnsi="Times New Roman;Times;Serif"/>
          <w:b w:val="false"/>
          <w:i w:val="false"/>
          <w:caps w:val="false"/>
          <w:smallCaps w:val="false"/>
          <w:sz w:val="20"/>
        </w:rPr>
        <w:t>”) - a proposal, to resolve by ordinary resolution that, subject to and conditional upon the closing of the Transaction (other than the issuance of the Consideration Shares), the authorized share capital of the Company be increased and changed from US$200,000 divided into 495,000,000 ordinary shares of a par value of US$0.0004 each and 5,000,000 preferred shares of a par value of US$0.0004 each to US$520,000 divided into 1,300,000,000 ordinary shares of a par value of US$0.0004 each, by (i) the creation of 800,000,000 additional authorized ordinary shares of a par value of US$0.0004 each and (ii) the redesignation of 5,000,000 authorized but unissued preferred shares of US$0.0004 each as 5,000,000 authorized but unissued ordinary shares of a par value of US$0.0004 each (the “</w:t>
      </w:r>
      <w:r>
        <w:rPr>
          <w:rFonts w:ascii="Times New Roman;Times;Serif" w:hAnsi="Times New Roman;Times;Serif"/>
          <w:b/>
          <w:i w:val="false"/>
          <w:caps w:val="false"/>
          <w:smallCaps w:val="false"/>
          <w:sz w:val="20"/>
        </w:rPr>
        <w:t>Changes of Authorized Share Capital</w:t>
      </w:r>
      <w:r>
        <w:rPr>
          <w:rFonts w:ascii="Times New Roman;Times;Serif" w:hAnsi="Times New Roman;Times;Serif"/>
          <w:b w:val="false"/>
          <w:i w:val="false"/>
          <w:caps w:val="false"/>
          <w:smallCaps w:val="false"/>
          <w:sz w:val="20"/>
        </w:rPr>
        <w:t xml:space="preserve">”), each ranking pari passu in all respects with the existing shares of the same class.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xml:space="preserve"> Share Consolidation (the “</w:t>
      </w:r>
      <w:r>
        <w:rPr>
          <w:rFonts w:ascii="Times New Roman;Times;Serif" w:hAnsi="Times New Roman;Times;Serif"/>
          <w:b/>
          <w:i w:val="false"/>
          <w:caps w:val="false"/>
          <w:smallCaps w:val="false"/>
          <w:sz w:val="20"/>
        </w:rPr>
        <w:t>Share Consolidation Proposal</w:t>
      </w:r>
      <w:r>
        <w:rPr>
          <w:rFonts w:ascii="Times New Roman;Times;Serif" w:hAnsi="Times New Roman;Times;Serif"/>
          <w:b w:val="false"/>
          <w:i w:val="false"/>
          <w:caps w:val="false"/>
          <w:smallCaps w:val="false"/>
          <w:sz w:val="20"/>
        </w:rPr>
        <w:t xml:space="preserve">”) - a proposal to resolve, by ordinary resolution that, immediately after the Changes of Authorized Share Capital takes effect, and subject to compliance with applicable law and the requirements of The Nasdaq Stock Market LLC: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every ten (10) then issued and unissued ordinary shares of the Company of a par value of US$0.0004 each be consolidated into one (1) ordinary share of a par value of US$0.004 each (each, a “</w:t>
      </w:r>
      <w:r>
        <w:rPr>
          <w:rFonts w:ascii="Times New Roman;Times;Serif" w:hAnsi="Times New Roman;Times;Serif"/>
          <w:b/>
          <w:i w:val="false"/>
          <w:caps w:val="false"/>
          <w:smallCaps w:val="false"/>
          <w:sz w:val="20"/>
        </w:rPr>
        <w:t>Consolidated Ordinary Share</w:t>
      </w:r>
      <w:r>
        <w:rPr>
          <w:rFonts w:ascii="Times New Roman;Times;Serif" w:hAnsi="Times New Roman;Times;Serif"/>
          <w:b w:val="false"/>
          <w:i w:val="false"/>
          <w:caps w:val="false"/>
          <w:smallCaps w:val="false"/>
          <w:sz w:val="20"/>
        </w:rPr>
        <w:t>”), with such Consolidated Ordinary Shares ranking pari passu in all respects with one another and having the same rights and being subject to the same restrictions as the existing ordinary shares as set out in the existing memorandum and articles of association of the Company, save as to par value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fractional Consolidated Ordinary Shares shall be issued and any fractional entitlement otherwise arising shall be rounded up to the next whole Consolidated Ordinary Share, such that the authorized share capital of the Company shall become US$520,000 divided into 130,000,000 ordinary shares of a par value of US$0.004 each; and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number of ordinary shares, warrants, options, restricted share units, performance share units and other securities or rights exercisable for, convertible into or otherwise referencing ordinary shares of the Company, together with the applicable exercise, conversion or subscription prices thereof, shall be adjusted to reflect the Share Consolidation to the extent required by their terms and, in the case of securities issued or issuable pursuant to the A&amp;R SPA, in accordance with the terms of the A&amp;R SPA.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5.</w:t>
      </w:r>
      <w:r>
        <w:rPr>
          <w:rFonts w:ascii="Times New Roman;Times;Serif" w:hAnsi="Times New Roman;Times;Serif"/>
          <w:b w:val="false"/>
          <w:i w:val="false"/>
          <w:caps w:val="false"/>
          <w:smallCaps w:val="false"/>
          <w:sz w:val="20"/>
        </w:rPr>
        <w:t xml:space="preserve"> Amended and Restated Memorandum and Articles of Association Proposal (the “</w:t>
      </w:r>
      <w:r>
        <w:rPr>
          <w:rFonts w:ascii="Times New Roman;Times;Serif" w:hAnsi="Times New Roman;Times;Serif"/>
          <w:b/>
          <w:i w:val="false"/>
          <w:caps w:val="false"/>
          <w:smallCaps w:val="false"/>
          <w:sz w:val="20"/>
        </w:rPr>
        <w:t>M&amp;AA Amendment Proposa</w:t>
      </w:r>
      <w:r>
        <w:rPr>
          <w:rFonts w:ascii="Times New Roman;Times;Serif" w:hAnsi="Times New Roman;Times;Serif"/>
          <w:b w:val="false"/>
          <w:i w:val="false"/>
          <w:caps w:val="false"/>
          <w:smallCaps w:val="false"/>
          <w:sz w:val="20"/>
        </w:rPr>
        <w:t xml:space="preserve">l”) - a proposal to resolve, by special resolution, that subject to the Changes of Authorized Share Capital and Share Consolidation taking effect, the third amended and restated memorandum and articles of association of the Company in the substantial form attached as Annex 2 to the Notice of Extraordinary General Meeting and the accompanying proxy statement, be and hereby are approved and adopted in their entirety, in substitution for and to the exclusion of the existing second amended and restated memorandum and articles of association of the Company and the Directors, be and hereby are authorized to take all actions and make all filings with the Registrar of Companies of the Cayman Islands and any other governmental or regulatory authority that they consider necessary, advisable or desirable. </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6.</w:t>
      </w:r>
      <w:r>
        <w:rPr>
          <w:rFonts w:ascii="Times New Roman;Times;Serif" w:hAnsi="Times New Roman;Times;Serif"/>
          <w:b w:val="false"/>
          <w:i w:val="false"/>
          <w:caps w:val="false"/>
          <w:smallCaps w:val="false"/>
          <w:sz w:val="20"/>
        </w:rPr>
        <w:t xml:space="preserve"> Equity Incentive Plan Proposal (the “</w:t>
      </w:r>
      <w:r>
        <w:rPr>
          <w:rFonts w:ascii="Times New Roman;Times;Serif" w:hAnsi="Times New Roman;Times;Serif"/>
          <w:b/>
          <w:i w:val="false"/>
          <w:caps w:val="false"/>
          <w:smallCaps w:val="false"/>
          <w:sz w:val="20"/>
        </w:rPr>
        <w:t>EIP Proposa</w:t>
      </w:r>
      <w:r>
        <w:rPr>
          <w:rFonts w:ascii="Times New Roman;Times;Serif" w:hAnsi="Times New Roman;Times;Serif"/>
          <w:b w:val="false"/>
          <w:i w:val="false"/>
          <w:caps w:val="false"/>
          <w:smallCaps w:val="false"/>
          <w:sz w:val="20"/>
        </w:rPr>
        <w:t xml:space="preserve">l”) – a proposal to resolve, by ordinary resolution, that the second amended and restated 2024 Omnibus Incentive Plan of the Company, substantially in the form attached as Annex 3 to the Notice of Extraordinary General Meeting and the accompanying proxy statement be and hereby is approved and adopted in its entirety and in substitution for and to the exclusion of the existing Amended and Restated 2024 Omnibus Incentive Plan of the Company, such that (i) the aggregate number of shares that are available for issuance thereunder shall be increased from 5,400,000 ordinary shares to 9,000,000 ordinary shares (after factoring in the adjustment to be made as a result of the Share Consolidation), and (ii) all references to the par value of the ordinary shares of the Company shall be updated to reflect the revised par value as adjusted as a result of the Share Consolidation, and the Directors be and hereby are authorized to administer and implement such plan in accordance with its terms.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7.</w:t>
      </w:r>
      <w:r>
        <w:rPr>
          <w:rFonts w:ascii="Times New Roman;Times;Serif" w:hAnsi="Times New Roman;Times;Serif"/>
          <w:b w:val="false"/>
          <w:i w:val="false"/>
          <w:caps w:val="false"/>
          <w:smallCaps w:val="false"/>
          <w:sz w:val="20"/>
        </w:rPr>
        <w:t xml:space="preserve"> Ancillary Transaction Agreements Proposal (the “</w:t>
      </w:r>
      <w:r>
        <w:rPr>
          <w:rFonts w:ascii="Times New Roman;Times;Serif" w:hAnsi="Times New Roman;Times;Serif"/>
          <w:b/>
          <w:i w:val="false"/>
          <w:caps w:val="false"/>
          <w:smallCaps w:val="false"/>
          <w:sz w:val="20"/>
        </w:rPr>
        <w:t>Ancillary Agreements Proposal</w:t>
      </w:r>
      <w:r>
        <w:rPr>
          <w:rFonts w:ascii="Times New Roman;Times;Serif" w:hAnsi="Times New Roman;Times;Serif"/>
          <w:b w:val="false"/>
          <w:i w:val="false"/>
          <w:caps w:val="false"/>
          <w:smallCaps w:val="false"/>
          <w:sz w:val="20"/>
        </w:rPr>
        <w:t xml:space="preserve">”) - a proposal to resolve, by ordinary resolution, that to the extent not previously validly issued or approved and subject to the terms described in the Notice of Extraordinary General Meeting and accompanying proxy statement, the following transactions be and hereby are approved and, where appropriate, ratified and confirmed: (a) the Amended and Restated Deed of Undertaking dated August 14, 2026, including the termination and cancellation of the Diginex Founder Warrants, Outstanding IPO Warrants and applicable restricted stock units and performance stock units issued to Miles Pelham and the allotment and issuance of up to 40,000,000 ordinary shares to Rhino Ventures Limited, subject to the forfeiture / treasury-share or alternative security arrangements contemplated by the Transaction documents; (b) the Resulticks Additional Investment (as defined in the A&amp;R SPA), including up to approximately 58,823,530 ordinary shares; and (c) up to 15,000,000 ordinary shares payable to the transaction introducer, in each case subject to proportionate adjustment for the Share Consolidation; provided that nothing in this proposal shall constitute a waiver of or election not to rely upon any foreign-private-issuer home-country practice available to the Company under Nasdaq Listing Rule 5615(a)(3). A copy of the Amended and Restated Deed of Undertaking dated August 14, 2026 is attached hereto as Annex 4.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8.</w:t>
      </w:r>
      <w:r>
        <w:rPr>
          <w:rFonts w:ascii="Times New Roman;Times;Serif" w:hAnsi="Times New Roman;Times;Serif"/>
          <w:b w:val="false"/>
          <w:i w:val="false"/>
          <w:caps w:val="false"/>
          <w:smallCaps w:val="false"/>
          <w:sz w:val="20"/>
        </w:rPr>
        <w:t xml:space="preserve"> Adjournment Proposal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 xml:space="preserve">”) – a proposal to resolve, by ordinary resolution, that the chairman of the Extraordinary General Meeting be and hereby is authorized to adjourn the Meeting to a later date or dates, on one or more occasions, if necessary or advisable (a) to permit any required or advisable supplement or amendment to this Notice of Extraordinary General Meeting and accompanying proxy statement to be furnished to shareholders, (b) to permit the Company to solicit additional proxies in favor of any proposal submitted at the Meeting or (c) if the chairman otherwise determines that an adjournment is necessary or advisable to facilitate the orderly conduct of the Extraordinary General Meeting or completion of the Transaction.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What are the recommendations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THE BOARD OF DIRECTORS HAS DETERMINED THAT THE APPROVAL OF </w:t>
      </w:r>
      <w:r>
        <w:rPr>
          <w:rFonts w:ascii="Times New Roman;Times;Serif" w:hAnsi="Times New Roman;Times;Serif"/>
          <w:b/>
          <w:i w:val="false"/>
          <w:caps/>
          <w:sz w:val="20"/>
        </w:rPr>
        <w:t>Proposal NO. 1. the Transaction Proposal; Proposal No. 2. the Change of Control Proposal; Proposal No. 3 the Changes OF Authorized Share Capital Proposal; Proposal No. 4 the Share Consolidation Proposal; Proposal No. 5 the M&amp;AA Amendment Proposal; Proposal No. 6 the EIP Proposal; Proposal No. 7 the Ancillary Agreements Proposal; and Proposal No. 8 the Adjournment Proposal</w:t>
      </w:r>
      <w:r>
        <w:rPr>
          <w:rFonts w:ascii="Times New Roman;Times;Serif" w:hAnsi="Times New Roman;Times;Serif"/>
          <w:b/>
          <w:i w:val="false"/>
          <w:caps w:val="false"/>
          <w:smallCaps w:val="false"/>
          <w:sz w:val="20"/>
        </w:rPr>
        <w:t xml:space="preserve"> ARE IN THE BEST INTERESTS OF THE COMPANY AND ITS SHAREHOLDERS AND HAS UNANIMOUSLY APPROVED THE PROPOSALS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UNANIMOUSLY RECOMMENDS THAT THE SHAREHOLDERS VOTE “FOR” </w:t>
      </w:r>
      <w:r>
        <w:rPr>
          <w:rFonts w:ascii="Times New Roman;Times;Serif" w:hAnsi="Times New Roman;Times;Serif"/>
          <w:b/>
          <w:i w:val="false"/>
          <w:caps/>
          <w:sz w:val="20"/>
        </w:rPr>
        <w:t>Proposal NO. 1. the Transaction Proposal; Proposal No. 2. the Change of Control Proposal; Proposal No. 3 the Changes OF Authorized Share Capital Proposal; Proposal No. 4 the Share Consolidation Proposal; Proposal No. 5 the M&amp;AA Amendment Proposal; Proposal No. 6 the EIP Proposal; Proposal No. 7 the Ancillary Agreements Proposal; and Proposal No. 8 the Adjournment Proposal</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When and where will the Extraordinary General Meeting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Diginex’s Extraordinary General Meeting will be held on Thursday, October 8, 2026, at 10:00 a.m. Eastern Time as a virtual meeting via webcast and teleconference using the following access information:</w:t>
      </w:r>
    </w:p>
    <w:p>
      <w:pPr>
        <w:pStyle w:val="TextBody"/>
        <w:bidi w:val="0"/>
        <w:spacing w:before="0" w:after="0"/>
        <w:ind w:left="0" w:right="0" w:hanging="0"/>
        <w:jc w:val="both"/>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325"/>
        <w:gridCol w:w="5975"/>
      </w:tblGrid>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Webcast:</w:t>
            </w:r>
          </w:p>
        </w:tc>
        <w:tc>
          <w:tcPr>
            <w:tcW w:w="5975" w:type="dxa"/>
            <w:tcBorders/>
            <w:vAlign w:val="center"/>
          </w:tcPr>
          <w:p>
            <w:pPr>
              <w:pStyle w:val="TableContents"/>
              <w:bidi w:val="0"/>
              <w:spacing w:before="0" w:after="283"/>
              <w:jc w:val="both"/>
              <w:rPr>
                <w:rFonts w:ascii="Times New Roman;Times;Serif" w:hAnsi="Times New Roman;Times;Serif"/>
                <w:i/>
                <w:sz w:val="20"/>
                <w:u w:val="single"/>
              </w:rPr>
            </w:pPr>
            <w:r>
              <w:rPr>
                <w:rFonts w:ascii="Times New Roman;Times;Serif" w:hAnsi="Times New Roman;Times;Serif"/>
                <w:i/>
                <w:sz w:val="20"/>
                <w:u w:val="single"/>
              </w:rPr>
              <w:t>https://www.cstproxy.com/diginex/egm2026</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pPr>
            <w:r>
              <w:rPr/>
              <w:t> </w:t>
            </w:r>
          </w:p>
        </w:tc>
        <w:tc>
          <w:tcPr>
            <w:tcW w:w="5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Teleconference:</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Telephone access (listen-only):</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975" w:type="dxa"/>
            <w:tcBorders/>
            <w:vAlign w:val="center"/>
          </w:tcPr>
          <w:p>
            <w:pPr>
              <w:pStyle w:val="TableContents"/>
              <w:bidi w:val="0"/>
              <w:spacing w:before="0" w:after="283"/>
              <w:jc w:val="left"/>
              <w:rPr/>
            </w:pPr>
            <w:r>
              <w:rPr/>
              <w:t>Within the U.S. and Canada: 1 800-450-7155 (toll-free)</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975" w:type="dxa"/>
            <w:tcBorders/>
            <w:vAlign w:val="center"/>
          </w:tcPr>
          <w:p>
            <w:pPr>
              <w:pStyle w:val="TableContents"/>
              <w:bidi w:val="0"/>
              <w:spacing w:before="0" w:after="283"/>
              <w:jc w:val="left"/>
              <w:rPr/>
            </w:pPr>
            <w:r>
              <w:rPr/>
              <w:t xml:space="preserve">Outside </w:t>
            </w:r>
            <w:r>
              <w:rPr>
                <w:rFonts w:ascii="Times New Roman;Times;Serif" w:hAnsi="Times New Roman;Times;Serif"/>
                <w:sz w:val="20"/>
              </w:rPr>
              <w:t>of the U.S. and Canada: +1 857-999-9155 (standard rates apply)</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975" w:type="dxa"/>
            <w:tcBorders/>
            <w:vAlign w:val="center"/>
          </w:tcPr>
          <w:p>
            <w:pPr>
              <w:pStyle w:val="TableContents"/>
              <w:bidi w:val="0"/>
              <w:spacing w:before="0" w:after="283"/>
              <w:jc w:val="left"/>
              <w:rPr/>
            </w:pPr>
            <w:r>
              <w:rPr/>
              <w:t xml:space="preserve">Conference </w:t>
            </w:r>
            <w:r>
              <w:rPr>
                <w:rFonts w:ascii="Times New Roman;Times;Serif" w:hAnsi="Times New Roman;Times;Serif"/>
                <w:sz w:val="20"/>
              </w:rPr>
              <w:t>ID: 0374507#</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Who is entitled to vote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record date for the Extraordinary General Meeting is August 14,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Only holders of ordinary shares of the Company as of the close of business on the Record Date are entitled to notice of, and to attend and vote at, the Extraordinary General Meeting or any adjournment or postponement thereof. As of the Record Date, there were, 50,130,130 ordinary shares, issued and outstanding. Each ordinary share that you own entitles you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What constitutes a quorum for the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Extraordinary General Meeting, one or more shareholders holding shares that represent not less than one-third of the outstanding shares carrying the right to vote at the Extraordinary General Meeting constitutes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How many votes are required to approve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approval of Proposal No. 5. The M&amp;AA Amendment Proposal requires a special resolution, namely a resolution passed by a majority of not less than two-thirds (2/3) of the votes cast by shareholders as, being entitled to do so, vote in person or, by proxy or, in the case of a shareholder being a corporation, by its duly authorized representative at the Extraordinary General Meeting. A properly executed proxy card marked “Abstain” have no effect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 1. The Transaction Proposal; Proposal No. 2. The Change of Control Proposal; Proposal No. 3 The Changes of Authorized Share Capital Proposal; Proposal No. 4 The Share Consolidation Proposal; Proposal No. 6 The EIP Proposal; Proposal No. 7 The Ancillary Agreements Proposal; and Proposal No. 8 The Adjournment Proposal, respectively, require an ordinary resolution, namely a resolution passed by a simple majority of the votes cast by the shareholders as, being entitled to do so, vote in person or, by proxy or, in the case of a shareholder being a corporation, by its duly authorized representative at the Extraordinary General Meeting. A properly executed proxy card marked “Abstain” with respect to this proposal will have no effect on the voting upon Proposal 1. The Transaction Proposal; Proposal No. 2. The Change of Control Proposal; Proposal No. 3 The Changes of Authorized Share Capital Proposal; Proposal No. 4 The Share Consolidation Proposal; Proposal No. 6 The EIP Proposal; Proposal No. 7 The Ancillary Agreements Proposal; and Proposal No. 8 the Adjournment Proposal, but will be counted as shares present and entitled to vote for Proposal 1. The Transaction Proposal; Proposal No. 2. The Change of Control Proposal; Proposal No. 3 The Changes of Authorized Share Capital Proposal; Proposal No. 4 The Share Consolidation Proposal; Proposal No. 6 The EIP Proposal; Proposal No. 7 The Ancillary Agreements Proposal; or Proposal No. 8 The Adjournment.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How do the shareholders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you are a registered holder of the Company’s shares as of the Record Date wishing to vote in person at the Extraordinary General Meeting, you may cast your votes by completing, signing, dating and returning the enclosed proxy card in the accompanying pre-addressed postage paid envelope or by voting on the Internet at www.cstproxyvote.com or </w:t>
      </w:r>
      <w:r>
        <w:rPr>
          <w:rFonts w:ascii="Times New Roman;Times;Serif" w:hAnsi="Times New Roman;Times;Serif"/>
          <w:b w:val="false"/>
          <w:i w:val="false"/>
          <w:caps w:val="false"/>
          <w:smallCaps w:val="false"/>
          <w:sz w:val="20"/>
          <w:u w:val="single"/>
        </w:rPr>
        <w:t>https://www.cstproxy.com/diginex/egm2026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two voting options. You may vote using one of the following methods: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Internet, which we encourage if you have Internet access, at www.cstproxyvote.com or </w:t>
            </w:r>
            <w:r>
              <w:rPr>
                <w:rFonts w:ascii="Times New Roman;Times;Serif" w:hAnsi="Times New Roman;Times;Serif"/>
                <w:b w:val="false"/>
                <w:i w:val="false"/>
                <w:caps w:val="false"/>
                <w:smallCaps w:val="false"/>
                <w:sz w:val="20"/>
                <w:u w:val="single"/>
              </w:rPr>
              <w:t>https://www.cstproxy.com/diginex/egm2026</w:t>
            </w:r>
            <w:r>
              <w:rPr>
                <w:rFonts w:ascii="Times New Roman;Times;Serif" w:hAnsi="Times New Roman;Times;Serif"/>
                <w:b w:val="false"/>
                <w:i w:val="false"/>
                <w:caps w:val="false"/>
                <w:smallCaps w:val="false"/>
                <w:sz w:val="20"/>
              </w:rPr>
              <w:t>; and</w:t>
            </w:r>
          </w:p>
        </w:tc>
      </w:tr>
    </w:tbl>
    <w:p>
      <w:pPr>
        <w:pStyle w:val="TextBody"/>
        <w:bidi w:val="0"/>
        <w:spacing w:before="0" w:after="0"/>
        <w:ind w:left="720" w:right="0" w:hanging="72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260"/>
        <w:gridCol w:w="825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please complete the Proxy Card and mail it to Vote Processing, using the enclosed envelope.</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How can I attend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Meeting is open to all registered holders of the Company’s ordinary shares as of the Record Date. You may attend Extraordinary General Meeting, which will be held on Thursday, October 8, 2026 at 10:00 a.m. Eastern Time virtually via webcast and teleconference using the following access information:</w:t>
      </w:r>
    </w:p>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325"/>
        <w:gridCol w:w="5855"/>
      </w:tblGrid>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Webcast:</w:t>
            </w:r>
          </w:p>
        </w:tc>
        <w:tc>
          <w:tcPr>
            <w:tcW w:w="5855" w:type="dxa"/>
            <w:tcBorders/>
            <w:vAlign w:val="center"/>
          </w:tcPr>
          <w:p>
            <w:pPr>
              <w:pStyle w:val="TableContents"/>
              <w:bidi w:val="0"/>
              <w:spacing w:before="0" w:after="283"/>
              <w:jc w:val="both"/>
              <w:rPr>
                <w:rFonts w:ascii="Times New Roman;Times;Serif" w:hAnsi="Times New Roman;Times;Serif"/>
                <w:i/>
                <w:sz w:val="20"/>
                <w:u w:val="single"/>
              </w:rPr>
            </w:pPr>
            <w:r>
              <w:rPr>
                <w:rFonts w:ascii="Times New Roman;Times;Serif" w:hAnsi="Times New Roman;Times;Serif"/>
                <w:i/>
                <w:sz w:val="20"/>
                <w:u w:val="single"/>
              </w:rPr>
              <w:t>https://www.cstproxy.com/diginex/egm2026</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pPr>
            <w:r>
              <w:rPr/>
              <w:t> </w:t>
            </w:r>
          </w:p>
        </w:tc>
        <w:tc>
          <w:tcPr>
            <w:tcW w:w="58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Teleconference:</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Telephone access (listen-only):</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Within the U.S. and Canada: 1 800-450-7155 (toll-free)</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Outside of the U.S. and Canada: +1 857-999-9155 (standard rates apply)</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Conference ID: 0374507#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May shareholders ask questions at the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Representatives of the Company will not be answering questions of general interest at the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What if I do not vote on the matters relating to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 fail to vote or fail to instruct your broker or other nominee how to vote, it will be treated as a “non-vote” and, it will have no effect on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May I change my vote after I have delivered my proxy or voting instruction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Yes. You may change your vote at any time before the Extraordinary General Meeting. You may do this in one of two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sending a completed proxy card bearing a later date than your original proxy card and mailing the new proxy card to Continental Stock Transfer, 1 State Street - SC1, NY, NY 10004 so that it is received prior to the Extraordinary General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revising your vote at www.cstproxyvote.com or </w:t>
            </w:r>
            <w:r>
              <w:rPr>
                <w:rFonts w:ascii="Times New Roman;Times;Serif" w:hAnsi="Times New Roman;Times;Serif"/>
                <w:b w:val="false"/>
                <w:i w:val="false"/>
                <w:caps w:val="false"/>
                <w:smallCaps w:val="false"/>
                <w:sz w:val="20"/>
                <w:u w:val="single"/>
              </w:rPr>
              <w:t>https://www.cstproxy.com/diginex/egm2026</w:t>
            </w:r>
            <w:r>
              <w:rPr>
                <w:rFonts w:ascii="Times New Roman;Times;Serif" w:hAnsi="Times New Roman;Times;Serif"/>
                <w:b w:val="false"/>
                <w:i w:val="false"/>
                <w:caps w:val="false"/>
                <w:smallCaps w:val="false"/>
                <w:sz w:val="20"/>
              </w:rPr>
              <w:t xml:space="preserve"> prior to 11:59 p.m. on October 7, 2026.</w:t>
            </w:r>
          </w:p>
        </w:tc>
      </w:tr>
    </w:tbl>
    <w:p>
      <w:pPr>
        <w:pStyle w:val="TextBody"/>
        <w:bidi w:val="0"/>
        <w:spacing w:before="0" w:after="0"/>
        <w:ind w:left="1871"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attendance at the Meeting alone will not revoke any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an account at a broker or other nominee, you should contact your broker or other nominee to change your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Do I have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shareholders do not have appraisal rights with respect to the matters to be voted upon at the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Whom should I call if I have questions about the proxy materials or voting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you have questions about the proposals, or if you need assistance in submitting your proxy or voting your shares or need additional copies of this notice to shareholder or the enclosed proxy card, you should contact </w:t>
      </w:r>
      <w:r>
        <w:rPr>
          <w:rFonts w:ascii="Times New Roman;Times;Serif" w:hAnsi="Times New Roman;Times;Serif"/>
          <w:b w:val="false"/>
          <w:i w:val="false"/>
          <w:caps w:val="false"/>
          <w:smallCaps w:val="false"/>
          <w:sz w:val="20"/>
          <w:u w:val="single"/>
        </w:rPr>
        <w:t>proxy@continentalstock.com</w:t>
      </w:r>
      <w:r>
        <w:rPr>
          <w:rFonts w:ascii="Times New Roman;Times;Serif" w:hAnsi="Times New Roman;Times;Serif"/>
          <w:b w:val="false"/>
          <w:i w:val="false"/>
          <w:caps w:val="false"/>
          <w:smallCaps w:val="false"/>
          <w:sz w:val="20"/>
        </w:rPr>
        <w:t xml:space="preserve"> or call (917) 262-2373. If your shares are held in a stock brokerage account or by a bank or other nominee, you should contact your broker, bank or other nominee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What do I need to do now?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After carefully reading and considering the information contained in this Notice to Shareholders, including the annexes, please vote your shares as soon as possible so that your shares will be represented at the Extraordinary General Meeting. Please follow the instructions set forth on the proxy card or on the voting instruction form provided by the record holder if your shares are held in the name of your broker or other nominee.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Who is paying for the expenses involved in preparing and mailing this Notice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of the expenses involved in preparing, assembling and mailing these proxy materials and all costs of soliciting proxies will be paid for by the Company. In addition to the solicitation by mail, proxies may be solicited by our officers and other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so doing.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What Interest Do Officers and Directors Have in Matters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Members of the Board of Directors and executive officers of the Company do not have any interest in any proposal that has not been disclosed to all other shareholders of the Company. In this regard we note that Miles Pelham, the Chairman of the Company does have an interest in Proposal No. 7, in that Mr. Pelham is the sole owner of Rhino Venture Limited, which will receive 40,000,000 ordinary shares in exchange for canceling his warrants to acquire ordinary shares of the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8, 2026</w:t>
      </w:r>
    </w:p>
    <w:p>
      <w:pPr>
        <w:pStyle w:val="TextBody"/>
        <w:bidi w:val="0"/>
        <w:spacing w:before="0" w:after="0"/>
        <w:ind w:left="1472"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396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of Diginex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soliciting proxies for the extraordinary general meeting of shareholders (the “</w:t>
      </w:r>
      <w:r>
        <w:rPr>
          <w:rFonts w:ascii="Times New Roman;Times;Serif" w:hAnsi="Times New Roman;Times;Serif"/>
          <w:b/>
          <w:i w:val="false"/>
          <w:caps w:val="false"/>
          <w:smallCaps w:val="false"/>
          <w:sz w:val="20"/>
        </w:rPr>
        <w:t>Extraordinary General Meeting</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the Company to be held on Thursday, October 8, 2026 at 10:00 a.m. (Eastern Time) virtually via webcast and teleconference using the following access information:</w:t>
      </w:r>
    </w:p>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325"/>
        <w:gridCol w:w="5855"/>
      </w:tblGrid>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Webcast:</w:t>
            </w:r>
          </w:p>
        </w:tc>
        <w:tc>
          <w:tcPr>
            <w:tcW w:w="5855" w:type="dxa"/>
            <w:tcBorders/>
            <w:vAlign w:val="center"/>
          </w:tcPr>
          <w:p>
            <w:pPr>
              <w:pStyle w:val="TableContents"/>
              <w:bidi w:val="0"/>
              <w:spacing w:before="0" w:after="283"/>
              <w:jc w:val="both"/>
              <w:rPr>
                <w:rFonts w:ascii="Times New Roman;Times;Serif" w:hAnsi="Times New Roman;Times;Serif"/>
                <w:i/>
                <w:sz w:val="20"/>
                <w:u w:val="single"/>
              </w:rPr>
            </w:pPr>
            <w:r>
              <w:rPr>
                <w:rFonts w:ascii="Times New Roman;Times;Serif" w:hAnsi="Times New Roman;Times;Serif"/>
                <w:i/>
                <w:sz w:val="20"/>
                <w:u w:val="single"/>
              </w:rPr>
              <w:t>https://www.cstproxy.com/diginex/egm2026</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pPr>
            <w:r>
              <w:rPr/>
              <w:t> </w:t>
            </w:r>
          </w:p>
        </w:tc>
        <w:tc>
          <w:tcPr>
            <w:tcW w:w="58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Teleconference:</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Telephone access (listen-only):</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Within the U.S. and Canada: 1 800-450-7155 (toll-free)</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Outside of the U.S. and Canada: +1 857-999-9155 (standard rates apply)</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Conference ID: 0374507#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shareholders as of August 14,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and duly appointed proxyholders will be able to attend, participate (proxyholder is not to speak at the Extraordinary General Meeting) and vote at the Meeting or any adjournment thereof in real time. Beneficial shareholders who hold their shares through a broker, investment dealer, bank, trust corporation, custodian, nominee or other intermediary who have not duly appointed themselves as proxyholder will be able to attend as guests, but will not be able to participate in or vote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cast vote by proxy by mail, please do the following: (i) sign and date the proxy card, (ii) mark the boxes indicating how you wish to vote, and (iii) return the proxy card in the prepaid envelope provided. Unsigned proxy cards will not be counted. If you wish to vote by proxy over the internet, please go to the website at www.cstproxyvote.com or https://www.cstproxy.com/diginex/egm2026, which are listed on your proxy card or voting instruction form. Use the Internet to transmit your voting instructions until 11:59 p.m. Eastern Time on October 7, 2026. Have your proxy card in hand when you access the website and follow the instructions to obtain your records and to create an electronic voting instruction form. There may be costs associated with electronic access, such as usage charges from Internet access providers that must be paid by the shareholder. The Internet voting procedures are designed to authenticate a shareholder’s identity to allow a shareholder to vote his, her or its shares and confirm that his, her or its instructions have been properly recorded. Voting by proxy over the Internet authorizes the named proxy to vote your shares in the same manner as if you had submitted a validly executed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registered holders of the ordinary shares of the Company of record at the close of business on “the Record Date” are entitled to attend and vote at the Meeting or at any adjournment thereof. The shareholders holding shares that represent not less than one-third of the outstanding shares carrying the right to vote at the Meeting shall form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entitled to attend and vote at the Meeting is entitled to appoint a proxy to attend and vote on such shareholder’s behalf. A proxy need not be a shareholder of the Company. Each registered holder of the Company’s ordinary shares shall on a poll be entitled to one vote in respect of each ordinary share held by such holder on the Record Date.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 TO BE VOTED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the Company’s shareholders will be asked to vote, and if thought fit, approve on the following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xml:space="preserve"> Transaction and Consideration Shares Proposal (the “</w:t>
      </w:r>
      <w:r>
        <w:rPr>
          <w:rFonts w:ascii="Times New Roman;Times;Serif" w:hAnsi="Times New Roman;Times;Serif"/>
          <w:b/>
          <w:i w:val="false"/>
          <w:caps w:val="false"/>
          <w:smallCaps w:val="false"/>
          <w:sz w:val="20"/>
        </w:rPr>
        <w:t>Transaction Proposal</w:t>
      </w:r>
      <w:r>
        <w:rPr>
          <w:rFonts w:ascii="Times New Roman;Times;Serif" w:hAnsi="Times New Roman;Times;Serif"/>
          <w:b w:val="false"/>
          <w:i w:val="false"/>
          <w:caps w:val="false"/>
          <w:smallCaps w:val="false"/>
          <w:sz w:val="20"/>
        </w:rPr>
        <w:t xml:space="preserve">”) – a proposal to resolve, by ordinary resolution, that: </w:t>
      </w:r>
    </w:p>
    <w:p>
      <w:pPr>
        <w:pStyle w:val="TextBody"/>
        <w:bidi w:val="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entry into the Amended and Restated Sale and Purchase Agreement dated August 14, 2026 (the “</w:t>
      </w:r>
      <w:r>
        <w:rPr>
          <w:rFonts w:ascii="Times New Roman;Times;Serif" w:hAnsi="Times New Roman;Times;Serif"/>
          <w:b/>
          <w:i w:val="false"/>
          <w:caps w:val="false"/>
          <w:smallCaps w:val="false"/>
          <w:sz w:val="20"/>
        </w:rPr>
        <w:t>A&amp;R SPA</w:t>
      </w:r>
      <w:r>
        <w:rPr>
          <w:rFonts w:ascii="Times New Roman;Times;Serif" w:hAnsi="Times New Roman;Times;Serif"/>
          <w:b w:val="false"/>
          <w:i w:val="false"/>
          <w:caps w:val="false"/>
          <w:smallCaps w:val="false"/>
          <w:sz w:val="20"/>
        </w:rPr>
        <w:t>”) among the Company and the sellers named therein, pursuant to which the Company has agreed to acquire the entire issued and outstanding share capital of Resulticks Global Companies Pte. Limited (“</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 together with the transactions contemplated thereby (collectively,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xml:space="preserve">”), be and hereby is authorized, approved and ratified in all respects. A copy of the A&amp;R SPA is attached hereto as Annex 1; </w:t>
      </w:r>
    </w:p>
    <w:p>
      <w:pPr>
        <w:pStyle w:val="TextBody"/>
        <w:bidi w:val="0"/>
        <w:spacing w:before="0" w:after="0"/>
        <w:ind w:left="72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acquisition by the Company of all of the issued and outstanding share capital of Resulticks pursuant to the A&amp;R SPA, be and hereby is authorized, approved and ratified in all respects; </w:t>
      </w:r>
    </w:p>
    <w:p>
      <w:pPr>
        <w:pStyle w:val="TextBody"/>
        <w:bidi w:val="0"/>
        <w:spacing w:before="0" w:after="0"/>
        <w:ind w:left="72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Changes of Authorized Share Capital (as defined below), the allotment and issuance by the Company to the sellers under the A&amp;R SPA of an aggregate of 600,000,000 ordinary shares of the Company, subject to such proportionate adjustment as may be required pursuant to the A&amp;R SPA as a result of any consolidation, subdivision or other reorganization of the Company’s share capital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xml:space="preserve">”), credited as fully paid, be and hereby is authorized and approved; and </w:t>
      </w:r>
    </w:p>
    <w:p>
      <w:pPr>
        <w:pStyle w:val="TextBody"/>
        <w:bidi w:val="0"/>
        <w:spacing w:before="0" w:after="0"/>
        <w:ind w:left="72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Directors of the Company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or any one or more of them, be and hereby are authorized to take any and all actions and to execute, deliver and perform any and all agreements, certificates, instruments and other documents that they consider necessary, advisable or desirable to consummate the Transaction and give effect to this Transaction Proposal, including agreeing to such non-material amendments to the A&amp;R SPA and related transaction documents as they may consider appropriate.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xml:space="preserve"> Change of Control (the “</w:t>
      </w:r>
      <w:r>
        <w:rPr>
          <w:rFonts w:ascii="Times New Roman;Times;Serif" w:hAnsi="Times New Roman;Times;Serif"/>
          <w:b/>
          <w:i w:val="false"/>
          <w:caps w:val="false"/>
          <w:smallCaps w:val="false"/>
          <w:sz w:val="20"/>
        </w:rPr>
        <w:t>Change of Control Proposal</w:t>
      </w:r>
      <w:r>
        <w:rPr>
          <w:rFonts w:ascii="Times New Roman;Times;Serif" w:hAnsi="Times New Roman;Times;Serif"/>
          <w:b w:val="false"/>
          <w:i w:val="false"/>
          <w:caps w:val="false"/>
          <w:smallCaps w:val="false"/>
          <w:sz w:val="20"/>
        </w:rPr>
        <w:t xml:space="preserve">”) – a proposal, to resolve, by ordinary resolution, that the change of control of the Company resulting from the Transaction and the issuance of the Consideration Shares and other securities to be issued in connection therewith, including, to the extent applicable, for purposes of Nasdaq Listing Rule 5635(b), be and hereby is authorized and approved provided that nothing in this proposal shall constitute a waiver of or election not to rely upon any foreign-private-issuer home-country practice available to the Company under Nasdaq Listing Rule 5615(a)(3).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xml:space="preserve"> Changes of Authorized Share Capital (the “</w:t>
      </w:r>
      <w:r>
        <w:rPr>
          <w:rFonts w:ascii="Times New Roman;Times;Serif" w:hAnsi="Times New Roman;Times;Serif"/>
          <w:b/>
          <w:i w:val="false"/>
          <w:caps w:val="false"/>
          <w:smallCaps w:val="false"/>
          <w:sz w:val="20"/>
        </w:rPr>
        <w:t>Changes of Authorized Share Capital Proposal</w:t>
      </w:r>
      <w:r>
        <w:rPr>
          <w:rFonts w:ascii="Times New Roman;Times;Serif" w:hAnsi="Times New Roman;Times;Serif"/>
          <w:b w:val="false"/>
          <w:i w:val="false"/>
          <w:caps w:val="false"/>
          <w:smallCaps w:val="false"/>
          <w:sz w:val="20"/>
        </w:rPr>
        <w:t>”) - a proposal, to resolve by ordinary resolution that, subject to and conditional upon the closing of the Transaction (other than the issuance of the Consideration Shares), the authorized share capital of the Company be increased and changed from US$200,000 divided into 495,000,000 ordinary shares of a par value of US$0.0004 each and 5,000,000 preferred shares of a par value of US$0.0004 each to US$520,000 divided into 1,300,000,000 ordinary shares of a par value of US$0.0004 each, by (i) the creation of 800,000,000 additional authorized ordinary shares of a par value of US$0.0004 each and (ii) the redesignation of 5,000,000 authorized but unissued preferred shares of US$0.0004 each as 5,000,000 authorized but unissued ordinary shares of a par value of US$0.0004 each (the “</w:t>
      </w:r>
      <w:r>
        <w:rPr>
          <w:rFonts w:ascii="Times New Roman;Times;Serif" w:hAnsi="Times New Roman;Times;Serif"/>
          <w:b/>
          <w:i w:val="false"/>
          <w:caps w:val="false"/>
          <w:smallCaps w:val="false"/>
          <w:sz w:val="20"/>
        </w:rPr>
        <w:t>Changes of Authorized Share Capital</w:t>
      </w:r>
      <w:r>
        <w:rPr>
          <w:rFonts w:ascii="Times New Roman;Times;Serif" w:hAnsi="Times New Roman;Times;Serif"/>
          <w:b w:val="false"/>
          <w:i w:val="false"/>
          <w:caps w:val="false"/>
          <w:smallCaps w:val="false"/>
          <w:sz w:val="20"/>
        </w:rPr>
        <w:t xml:space="preserve">”), each ranking pari passu in all respects with the existing shares of the same class.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xml:space="preserve"> Share Consolidation (the “</w:t>
      </w:r>
      <w:r>
        <w:rPr>
          <w:rFonts w:ascii="Times New Roman;Times;Serif" w:hAnsi="Times New Roman;Times;Serif"/>
          <w:b/>
          <w:i w:val="false"/>
          <w:caps w:val="false"/>
          <w:smallCaps w:val="false"/>
          <w:sz w:val="20"/>
        </w:rPr>
        <w:t>Share Consolidation Proposal</w:t>
      </w:r>
      <w:r>
        <w:rPr>
          <w:rFonts w:ascii="Times New Roman;Times;Serif" w:hAnsi="Times New Roman;Times;Serif"/>
          <w:b w:val="false"/>
          <w:i w:val="false"/>
          <w:caps w:val="false"/>
          <w:smallCaps w:val="false"/>
          <w:sz w:val="20"/>
        </w:rPr>
        <w:t xml:space="preserve">”) - a proposal to resolve, by ordinary resolution that, immediately after the Changes of Authorized Share Capital takes effect, and subject to compliance with applicable law and the requirements of The Nasdaq Stock Market LLC: </w:t>
      </w:r>
    </w:p>
    <w:p>
      <w:pPr>
        <w:pStyle w:val="TextBody"/>
        <w:bidi w:val="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every ten (10) then issued and unissued ordinary shares of the Company of a par value of US$0.0004 each be consolidated into one (1) ordinary share of a par value of US$0.004 each (each, a “</w:t>
      </w:r>
      <w:r>
        <w:rPr>
          <w:rFonts w:ascii="Times New Roman;Times;Serif" w:hAnsi="Times New Roman;Times;Serif"/>
          <w:b/>
          <w:i w:val="false"/>
          <w:caps w:val="false"/>
          <w:smallCaps w:val="false"/>
          <w:sz w:val="20"/>
        </w:rPr>
        <w:t>Consolidated Ordinary Share</w:t>
      </w:r>
      <w:r>
        <w:rPr>
          <w:rFonts w:ascii="Times New Roman;Times;Serif" w:hAnsi="Times New Roman;Times;Serif"/>
          <w:b w:val="false"/>
          <w:i w:val="false"/>
          <w:caps w:val="false"/>
          <w:smallCaps w:val="false"/>
          <w:sz w:val="20"/>
        </w:rPr>
        <w:t>”), with such Consolidated Ordinary Shares ranking pari passu in all respects with one another and having the same rights and being subject to the same restrictions as the existing ordinary shares as set out in the existing memorandum and articles of association of the Company, save as to par value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xml:space="preserve">”); </w:t>
      </w:r>
    </w:p>
    <w:p>
      <w:pPr>
        <w:pStyle w:val="TextBody"/>
        <w:bidi w:val="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fractional Consolidated Ordinary Shares shall be issued and any fractional entitlement otherwise arising shall be rounded up to the next whole Consolidated Ordinary Share, such that the authorized share capital of the Company shall become US$520,000 divided into 130,000,000 ordinary shares of a par value of US$0.004 each; and </w:t>
      </w:r>
    </w:p>
    <w:p>
      <w:pPr>
        <w:pStyle w:val="TextBody"/>
        <w:bidi w:val="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number of ordinary shares, warrants, options, restricted share units, performance share units and other securities or rights exercisable for, convertible into or otherwise referencing ordinary shares of the Company, together with the applicable exercise, conversion or subscription prices thereof, shall be adjusted to reflect the Share Consolidation to the extent required by their terms and, in the case of securities issued or issuable pursuant to the A&amp;R SPA, in accordance with the terms of the A&amp;R SPA. </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5.</w:t>
      </w:r>
      <w:r>
        <w:rPr>
          <w:rFonts w:ascii="Times New Roman;Times;Serif" w:hAnsi="Times New Roman;Times;Serif"/>
          <w:b w:val="false"/>
          <w:i w:val="false"/>
          <w:caps w:val="false"/>
          <w:smallCaps w:val="false"/>
          <w:sz w:val="20"/>
        </w:rPr>
        <w:t xml:space="preserve"> Amended and Restated Memorandum and Articles of Association Proposal (the “</w:t>
      </w:r>
      <w:r>
        <w:rPr>
          <w:rFonts w:ascii="Times New Roman;Times;Serif" w:hAnsi="Times New Roman;Times;Serif"/>
          <w:b/>
          <w:i w:val="false"/>
          <w:caps w:val="false"/>
          <w:smallCaps w:val="false"/>
          <w:sz w:val="20"/>
        </w:rPr>
        <w:t>M&amp;AA Amendment Proposa</w:t>
      </w:r>
      <w:r>
        <w:rPr>
          <w:rFonts w:ascii="Times New Roman;Times;Serif" w:hAnsi="Times New Roman;Times;Serif"/>
          <w:b w:val="false"/>
          <w:i w:val="false"/>
          <w:caps w:val="false"/>
          <w:smallCaps w:val="false"/>
          <w:sz w:val="20"/>
        </w:rPr>
        <w:t xml:space="preserve">l”) - a proposal to resolve, by special resolution, that subject to the Changes of Authorized Share Capital and Share Consolidation taking effect, the third amended and restated memorandum and articles of association of the Company in the substantial form attached as Annex 2 to the Notice of Extraordinary General Meeting and the accompanying proxy statement, be and hereby are approved and adopted in their entirety, in substitution for and to the exclusion of the existing second amended and restated memorandum and articles of association of the Company and the Directors, be and hereby are authorized to take all actions and make all filings with the Registrar of Companies of the Cayman Islands and any other governmental or regulatory authority that they consider necessary, advisable or desirable.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6.</w:t>
      </w:r>
      <w:r>
        <w:rPr>
          <w:rFonts w:ascii="Times New Roman;Times;Serif" w:hAnsi="Times New Roman;Times;Serif"/>
          <w:b w:val="false"/>
          <w:i w:val="false"/>
          <w:caps w:val="false"/>
          <w:smallCaps w:val="false"/>
          <w:sz w:val="20"/>
        </w:rPr>
        <w:t xml:space="preserve"> Equity Incentive Plan Proposal (the “</w:t>
      </w:r>
      <w:r>
        <w:rPr>
          <w:rFonts w:ascii="Times New Roman;Times;Serif" w:hAnsi="Times New Roman;Times;Serif"/>
          <w:b/>
          <w:i w:val="false"/>
          <w:caps w:val="false"/>
          <w:smallCaps w:val="false"/>
          <w:sz w:val="20"/>
        </w:rPr>
        <w:t>EIP Proposa</w:t>
      </w:r>
      <w:r>
        <w:rPr>
          <w:rFonts w:ascii="Times New Roman;Times;Serif" w:hAnsi="Times New Roman;Times;Serif"/>
          <w:b w:val="false"/>
          <w:i w:val="false"/>
          <w:caps w:val="false"/>
          <w:smallCaps w:val="false"/>
          <w:sz w:val="20"/>
        </w:rPr>
        <w:t xml:space="preserve">l”) – a proposal to resolve, by ordinary resolution, that the second amended and restated 2024 Omnibus Incentive Plan of the Company, substantially in the form attached as Annex 3 to the Notice of Extraordinary General Meeting and the accompanying proxy statement be and hereby is approved and adopted in its entirety and in substitution for and to the exclusion of the existing Amended and Restated 2024 Omnibus Incentive Plan of the Company, such that (i) the aggregate number of shares that are available for issuance thereunder shall be increased from 5,400,000 ordinary shares to 9,000,000 ordinary shares (after factoring in the adjustment to be made as a result of the Share Consolidation), and (ii) all references to the par value of the ordinary shares of the Company shall be updated to reflect the revised par value as adjusted as a result of the Share Consolidation, and the Directors be and hereby are authorized to administer and implement such plan in accordance with its terms.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7.</w:t>
      </w:r>
      <w:r>
        <w:rPr>
          <w:rFonts w:ascii="Times New Roman;Times;Serif" w:hAnsi="Times New Roman;Times;Serif"/>
          <w:b w:val="false"/>
          <w:i w:val="false"/>
          <w:caps w:val="false"/>
          <w:smallCaps w:val="false"/>
          <w:sz w:val="20"/>
        </w:rPr>
        <w:t xml:space="preserve"> Ancillary Transaction Agreements Proposal (the “</w:t>
      </w:r>
      <w:r>
        <w:rPr>
          <w:rFonts w:ascii="Times New Roman;Times;Serif" w:hAnsi="Times New Roman;Times;Serif"/>
          <w:b/>
          <w:i w:val="false"/>
          <w:caps w:val="false"/>
          <w:smallCaps w:val="false"/>
          <w:sz w:val="20"/>
        </w:rPr>
        <w:t>Ancillary Agreements Proposal</w:t>
      </w:r>
      <w:r>
        <w:rPr>
          <w:rFonts w:ascii="Times New Roman;Times;Serif" w:hAnsi="Times New Roman;Times;Serif"/>
          <w:b w:val="false"/>
          <w:i w:val="false"/>
          <w:caps w:val="false"/>
          <w:smallCaps w:val="false"/>
          <w:sz w:val="20"/>
        </w:rPr>
        <w:t xml:space="preserve">”) - a proposal to resolve, by ordinary resolution, that to the extent not previously validly issued or approved and subject to the terms described in the Notice of Extraordinary General Meeting and accompanying proxy statement, the following transactions be and hereby are approved and, where appropriate, ratified and confirmed: (a) the Amended and Restated Deed of Undertaking dated August 14, 2026, including the termination and cancellation of the Diginex Founder Warrants, Outstanding IPO Warrants and applicable restricted stock units and performance stock units issued to Miles Pelham and the allotment and issuance of up to 40,000,000 ordinary shares to Rhino Ventures Limited, subject to the forfeiture / treasury-share or alternative security arrangements contemplated by the Transaction documents; (b) the Resulticks Additional Investment (as defined in the A&amp;R SPA), including up to approximately 58,823,530 ordinary shares; and (c) up to 15,000,000 ordinary shares payable to the transaction introducer, in each case subject to proportionate adjustment for the Share Consolidation; provided that nothing in this proposal shall constitute a waiver of or election not to rely upon any foreign-private-issuer home-country practice available to the Company under Nasdaq Listing Rule 5615(a)(3). A copy of the Amended and Restated Deed of Undertaking dated August 14, 2026 is attached hereto as Annex 4.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8.</w:t>
      </w:r>
      <w:r>
        <w:rPr>
          <w:rFonts w:ascii="Times New Roman;Times;Serif" w:hAnsi="Times New Roman;Times;Serif"/>
          <w:b w:val="false"/>
          <w:i w:val="false"/>
          <w:caps w:val="false"/>
          <w:smallCaps w:val="false"/>
          <w:sz w:val="20"/>
        </w:rPr>
        <w:t xml:space="preserve"> Adjournment Proposal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 xml:space="preserve">”) – a proposal to resolve, by ordinary resolution, that the chairman of the Extraordinary General Meeting be and hereby is authorized to adjourn the Meeting to a later date or dates, on one or more occasions, if necessary or advisable (a) to permit any required or advisable supplement or amendment to this Notice of Extraordinary General Meeting and accompanying proxy statement to be furnished to shareholders, (b) to permit the Company to solicit additional proxies in favor of any proposal submitted at the Meeting or (c) if the chairman otherwise determines that an adjournment is necessary or advisable to facilitate the orderly conduct of the Extraordinary General Meeting or completion of the Transaction. </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Board of Directors recommends a vote “FOR” the above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PROCEDURE FOR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entitled to vote at the Meeting may do so on the Internet or by completing and mailing in the proxy card. Shareholders are requested to read, complete, sign, date, and return the attached proxy card in accordance with the instructions set out therein or to vote virtually on the Internet at htpps://www.cstproxy.com/diginex/egm2026.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1. the Transaction Proposal</w:t>
      </w:r>
    </w:p>
    <w:p>
      <w:pPr>
        <w:pStyle w:val="TextBody"/>
        <w:bidi w:val="0"/>
        <w:spacing w:before="0" w:after="0"/>
        <w:ind w:left="2142" w:right="0" w:hanging="0"/>
        <w:jc w:val="center"/>
        <w:rPr>
          <w:caps w:val="false"/>
          <w:smallCaps w:val="false"/>
        </w:rPr>
      </w:pPr>
      <w:r>
        <w:rPr>
          <w:caps w:val="false"/>
          <w:smallCaps w:val="false"/>
        </w:rPr>
        <w:t> </w:t>
      </w:r>
    </w:p>
    <w:p>
      <w:pPr>
        <w:pStyle w:val="TextBody"/>
        <w:bidi w:val="0"/>
        <w:spacing w:before="0" w:after="0"/>
        <w:ind w:left="0" w:right="0" w:firstLine="70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and directed that there be submitted to the shareholders of the Company for approval, a proposal, as an ordinary resolution, to authorize, approve and ratify:</w:t>
      </w:r>
    </w:p>
    <w:p>
      <w:pPr>
        <w:pStyle w:val="TextBody"/>
        <w:bidi w:val="0"/>
        <w:spacing w:before="0" w:after="0"/>
        <w:ind w:left="0" w:right="0" w:firstLine="703"/>
        <w:jc w:val="both"/>
        <w:rPr>
          <w:caps w:val="false"/>
          <w:smallCaps w:val="false"/>
        </w:rPr>
      </w:pPr>
      <w:r>
        <w:rPr>
          <w:caps w:val="false"/>
          <w:smallCaps w:val="false"/>
        </w:rPr>
        <w:t> </w:t>
      </w:r>
    </w:p>
    <w:p>
      <w:pPr>
        <w:pStyle w:val="TextBody"/>
        <w:bidi w:val="0"/>
        <w:spacing w:before="0" w:after="0"/>
        <w:ind w:left="70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Amended and Restated Sale and Purchase Agreement dated August 14, 2026 (the “</w:t>
      </w:r>
      <w:r>
        <w:rPr>
          <w:rFonts w:ascii="Times New Roman;Times;Serif" w:hAnsi="Times New Roman;Times;Serif"/>
          <w:b/>
          <w:i w:val="false"/>
          <w:caps w:val="false"/>
          <w:smallCaps w:val="false"/>
          <w:sz w:val="20"/>
        </w:rPr>
        <w:t>A&amp;R SPA</w:t>
      </w:r>
      <w:r>
        <w:rPr>
          <w:rFonts w:ascii="Times New Roman;Times;Serif" w:hAnsi="Times New Roman;Times;Serif"/>
          <w:b w:val="false"/>
          <w:i w:val="false"/>
          <w:caps w:val="false"/>
          <w:smallCaps w:val="false"/>
          <w:sz w:val="20"/>
        </w:rPr>
        <w:t>”) entered into among the Company and the sellers named therein, pursuant to which the Company has agreed to acquire the entire issued and outstanding share capital of Resulticks Global Companies Pte. Limited (“</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 together with the transactions contemplated thereby (collectively,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The A&amp;R SPA is attached hereto as Annex 1;</w:t>
      </w:r>
    </w:p>
    <w:p>
      <w:pPr>
        <w:pStyle w:val="TextBody"/>
        <w:bidi w:val="0"/>
        <w:spacing w:before="0" w:after="0"/>
        <w:ind w:left="703" w:right="0" w:firstLine="720"/>
        <w:jc w:val="both"/>
        <w:rPr>
          <w:caps w:val="false"/>
          <w:smallCaps w:val="false"/>
        </w:rPr>
      </w:pPr>
      <w:r>
        <w:rPr>
          <w:caps w:val="false"/>
          <w:smallCaps w:val="false"/>
        </w:rPr>
        <w:t> </w:t>
      </w:r>
    </w:p>
    <w:p>
      <w:pPr>
        <w:pStyle w:val="TextBody"/>
        <w:bidi w:val="0"/>
        <w:spacing w:before="0" w:after="0"/>
        <w:ind w:left="70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acquisition by the Company of all of the issued and outstanding share capital of Resulticks pursuant to the A&amp;R SPA;</w:t>
      </w:r>
    </w:p>
    <w:p>
      <w:pPr>
        <w:pStyle w:val="TextBody"/>
        <w:bidi w:val="0"/>
        <w:spacing w:before="0" w:after="0"/>
        <w:ind w:left="703" w:right="0" w:firstLine="720"/>
        <w:jc w:val="both"/>
        <w:rPr>
          <w:caps w:val="false"/>
          <w:smallCaps w:val="false"/>
        </w:rPr>
      </w:pPr>
      <w:r>
        <w:rPr>
          <w:caps w:val="false"/>
          <w:smallCaps w:val="false"/>
        </w:rPr>
        <w:t> </w:t>
      </w:r>
    </w:p>
    <w:p>
      <w:pPr>
        <w:pStyle w:val="TextBody"/>
        <w:bidi w:val="0"/>
        <w:spacing w:before="0" w:after="0"/>
        <w:ind w:left="70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allotment and issuance by the Company to the sellers under the A&amp;R SPA of an aggregate of 600,000,000 ordinary shares of the Company, subject to such proportionate adjustment as may be required pursuant to the A&amp;R SPA as a result of any consolidation, subdivision or other reorganization of the Company’s share capital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credited as fully paid; and</w:t>
      </w:r>
    </w:p>
    <w:p>
      <w:pPr>
        <w:pStyle w:val="TextBody"/>
        <w:bidi w:val="0"/>
        <w:spacing w:before="0" w:after="0"/>
        <w:ind w:left="703" w:right="0" w:firstLine="720"/>
        <w:jc w:val="both"/>
        <w:rPr>
          <w:caps w:val="false"/>
          <w:smallCaps w:val="false"/>
        </w:rPr>
      </w:pPr>
      <w:r>
        <w:rPr>
          <w:caps w:val="false"/>
          <w:smallCaps w:val="false"/>
        </w:rPr>
        <w:t> </w:t>
      </w:r>
    </w:p>
    <w:p>
      <w:pPr>
        <w:pStyle w:val="TextBody"/>
        <w:bidi w:val="0"/>
        <w:spacing w:before="0" w:after="0"/>
        <w:ind w:left="70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Directors of the Company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or any one or more of them, to take any and all actions and to execute, deliver and perform any and all agreements, certificates, instruments and other documents that they consider necessary, advisable or desirable to consummate the Transaction and give effect to this proposal, including agreeing to such non-material amendments to the A&amp;R SPA and related transaction documents as they may consider appropriate.</w:t>
      </w:r>
    </w:p>
    <w:p>
      <w:pPr>
        <w:pStyle w:val="TextBody"/>
        <w:bidi w:val="0"/>
        <w:spacing w:before="0" w:after="0"/>
        <w:ind w:left="703"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AS AN ORDINARY RESOLUTION,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entry into the Amended and Restated Sale and Purchase Agreement dated August 14, 2026 (the “</w:t>
      </w:r>
      <w:r>
        <w:rPr>
          <w:rFonts w:ascii="Times New Roman;Times;Serif" w:hAnsi="Times New Roman;Times;Serif"/>
          <w:b/>
          <w:i w:val="false"/>
          <w:caps w:val="false"/>
          <w:smallCaps w:val="false"/>
          <w:sz w:val="20"/>
        </w:rPr>
        <w:t>A&amp;R SPA</w:t>
      </w:r>
      <w:r>
        <w:rPr>
          <w:rFonts w:ascii="Times New Roman;Times;Serif" w:hAnsi="Times New Roman;Times;Serif"/>
          <w:b w:val="false"/>
          <w:i w:val="false"/>
          <w:caps w:val="false"/>
          <w:smallCaps w:val="false"/>
          <w:sz w:val="20"/>
        </w:rPr>
        <w:t>”) among Diginex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sellers named therein, pursuant to which the Company has agreed to acquire the entire issued and outstanding share capital of Resulticks Global Companies Pte. Limited (“</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 together with the transactions contemplated thereby (collectively,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xml:space="preserve">”), be and hereby is authorized, approved and ratified in all respects. A copy of the A&amp;R SPA is attached to the Notice of Extraordinary General Meeting and the accompanying proxy statement as Annex 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acquisition by the Company of all of the issued and outstanding share capital of Resulticks pursuant to the A&amp;R SPA be and hereby is authorized, approved and ratified in all respects;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Changes of Authorized Share Capital (as defined below), the allotment and issuance by the Company to the sellers under the A&amp;R SPA of an aggregate of 600,000,000 ordinary shares of the Company, subject to such proportionate adjustment as may be required pursuant to the A&amp;R SPA as a result of any consolidation, subdivision or other reorganization of the Company’s share capital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credited as fully paid, be and hereby is authorized and approved;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Directors of the Company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or any one or more of them, be and hereby are authorized to take any and all actions and to execute, deliver and perform any and all agreements, certificates, instruments and other documents that they consider necessary, advisable or desirable to consummate the Transaction and give effect to this Transaction proposal, including agreeing to such non-material amendments to the A&amp;R SPA and related transaction documents as they may consider appropriate.”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will be approved if there are affirmative votes of a simple majority of the votes by the shareholders entitled to vote thereon who are present in person or by duly authorized representative or by proxy at the Meeting. Abstentions and broker non-votes will have no effect on the result of the vote.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FOR </w:t>
      </w:r>
      <w:r>
        <w:rPr>
          <w:rFonts w:ascii="Times New Roman;Times;Serif" w:hAnsi="Times New Roman;Times;Serif"/>
          <w:b/>
          <w:i w:val="false"/>
          <w:caps/>
          <w:sz w:val="20"/>
        </w:rPr>
        <w:t>the Transaction Proposal</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No. 2. the Change of Control Proposal</w:t>
      </w:r>
    </w:p>
    <w:p>
      <w:pPr>
        <w:pStyle w:val="TextBody"/>
        <w:bidi w:val="0"/>
        <w:spacing w:before="0" w:after="0"/>
        <w:ind w:left="0" w:right="0" w:hanging="0"/>
        <w:jc w:val="center"/>
        <w:rPr>
          <w:caps/>
        </w:rPr>
      </w:pPr>
      <w:r>
        <w:rPr>
          <w:caps/>
        </w:rPr>
        <w:t> </w:t>
      </w:r>
    </w:p>
    <w:p>
      <w:pPr>
        <w:pStyle w:val="TextBody"/>
        <w:bidi w:val="0"/>
        <w:spacing w:before="0" w:after="0"/>
        <w:ind w:left="0" w:right="0" w:firstLine="70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and directed that there be submitted to the shareholders of the Company for approval, a proposal, as an ordinary resolution, to authorize and approve for all purposes the change of control of the Company resulting from the Transaction and the issuance of the Consideration Shares and other securities to be issued in connection therewith be and hereby, including, to the extent applicable, for purposes of Nasdaq Listing Rule 5635(b), provided that nothing in this proposal if adopted shall constitute a waiver of or election not to rely upon any foreign-private-issuer home-country practice available to the Company under Nasdaq Listing Rule 5615(a)(3).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change of control of the Company resulting from the Transaction and the issuance of the Consideration Shares and other securities to be issued in connection therewith be and hereby is authorized and approved for all purposes, including, to the extent applicable, for purposes of Nasdaq Listing Rule 5635(b), provided that nothing in this resolution shall constitute a waiver of or election not to rely upon any foreign-private-issuer home-country practice available to the Company under Nasdaq Listing Rule 5615(a)(3).” </w:t>
      </w:r>
    </w:p>
    <w:p>
      <w:pPr>
        <w:pStyle w:val="TextBody"/>
        <w:bidi w:val="0"/>
        <w:spacing w:before="0" w:after="0"/>
        <w:ind w:left="72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will be approved if there are affirmative votes of a simple majority of the votes by the shareholders entitled to vote thereon who are present in person or by duly authorized representative or by proxy at the Meeting. Abstentions and broker non-votes will have no effect on the result of the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THE CHANGE OF CONTROL PROPOSAL.</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No. 3 the Changes OF AuthoriZed Share Capital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and directed that there be submitted to the shareholders of the Company for approval, a proposal, as an ordinary resolution, subject to and conditional upon the closing of the Transaction (other than the issuance of the Consideration Shares), to approve and authorized that the authorized share capital of the Company be increased and changed from US$200,000 divided into 495,000,000 ordinary shares of a par value of US$0.0004 each and 5,000,000 preferred shares of a par value of US$0.0004 each to US$520,000 divided into 1,300,000,000 ordinary shares of a par value of US$0.0004 each, by (i) the creation of 800,000,000 additional authorized ordinary shares of a par value of US$0.0004 each and (ii) the redesignation of 5,000,000 authorized but unissued preferred shares of US$0.0004 each as 5,000,000 authorized but unissued ordinary shares of a par value of US$0.0004 each (the “</w:t>
      </w:r>
      <w:r>
        <w:rPr>
          <w:rFonts w:ascii="Times New Roman;Times;Serif" w:hAnsi="Times New Roman;Times;Serif"/>
          <w:b/>
          <w:i w:val="false"/>
          <w:caps w:val="false"/>
          <w:smallCaps w:val="false"/>
          <w:sz w:val="20"/>
        </w:rPr>
        <w:t>Changes of Authorized Share Capital</w:t>
      </w:r>
      <w:r>
        <w:rPr>
          <w:rFonts w:ascii="Times New Roman;Times;Serif" w:hAnsi="Times New Roman;Times;Serif"/>
          <w:b w:val="false"/>
          <w:i w:val="false"/>
          <w:caps w:val="false"/>
          <w:smallCaps w:val="false"/>
          <w:sz w:val="20"/>
        </w:rPr>
        <w:t>”), each ranking pari passu in all respects with the existing shares of the same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conditional upon the closing of the Transaction (other than the issuance of the Consideration Shares), the authorized share capital of the Company be increased and changed from US$200,000 divided into 495,000,000 ordinary shares of a par value of US$0.0004 each and 5,000,000 preferred shares of a par value of US$0.0004 each to US$520,000 divided into 1,300,000,000 ordinary shares of a par value of US$0.0004 each, by (i) the creation of 800,000,000 additional authorized ordinary shares of a par value of US$0.0004 each and (ii) the redesignation of 5,000,000 authorized but unissued preferred shares of US$0.0004 each as 5,000,000 authorized but unissued ordinary shares of a par value of US$0.0004 each (the “</w:t>
      </w:r>
      <w:r>
        <w:rPr>
          <w:rFonts w:ascii="Times New Roman;Times;Serif" w:hAnsi="Times New Roman;Times;Serif"/>
          <w:b/>
          <w:i w:val="false"/>
          <w:caps w:val="false"/>
          <w:smallCaps w:val="false"/>
          <w:sz w:val="20"/>
        </w:rPr>
        <w:t>Changes of Authorized Share Capital</w:t>
      </w:r>
      <w:r>
        <w:rPr>
          <w:rFonts w:ascii="Times New Roman;Times;Serif" w:hAnsi="Times New Roman;Times;Serif"/>
          <w:b w:val="false"/>
          <w:i w:val="false"/>
          <w:caps w:val="false"/>
          <w:smallCaps w:val="false"/>
          <w:sz w:val="20"/>
        </w:rPr>
        <w:t xml:space="preserve">”), each ranking pari passu in all respects with the existing shares of the same class.”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will be approved if there are affirmative votes of a simple majority of the votes by the shareholders entitled to vote thereon who are present in person or by duly authorized representative or by proxy at the Meeting. Abstentions and broker non-votes will have no effect on the result of the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of Authorized Share Capital will not affect in any way the trading of the Company’s shares on the Nasdaq Capital Market. If the amendment is passed by our shareholders, it will not be necessary for shareholders to surrender their existing share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FOR </w:t>
      </w:r>
      <w:r>
        <w:rPr>
          <w:rFonts w:ascii="Times New Roman;Times;Serif" w:hAnsi="Times New Roman;Times;Serif"/>
          <w:b/>
          <w:i w:val="false"/>
          <w:caps/>
          <w:sz w:val="20"/>
        </w:rPr>
        <w:t>the Changes OF Authorized Share Capital Proposal</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No. 4 the Share Consolidation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and directed that there be submitted to the shareholders of the Company for approval, a proposal, as an ordinary resolution, immediately after the Changes of Authorized Share Capital takes effect, and subject to compliance with applicable law and the requirements of The Nasdaq Stock Market LLC to authorize and approve: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every ten (10) then issued and unissued ordinary shares of the Company of a par value of US$0.0004 each be consolidated into one (1) ordinary share of a par value of US$0.004 each (each, a “</w:t>
      </w:r>
      <w:r>
        <w:rPr>
          <w:rFonts w:ascii="Times New Roman;Times;Serif" w:hAnsi="Times New Roman;Times;Serif"/>
          <w:b/>
          <w:i w:val="false"/>
          <w:caps w:val="false"/>
          <w:smallCaps w:val="false"/>
          <w:sz w:val="20"/>
        </w:rPr>
        <w:t>Consolidated Ordinary Share</w:t>
      </w:r>
      <w:r>
        <w:rPr>
          <w:rFonts w:ascii="Times New Roman;Times;Serif" w:hAnsi="Times New Roman;Times;Serif"/>
          <w:b w:val="false"/>
          <w:i w:val="false"/>
          <w:caps w:val="false"/>
          <w:smallCaps w:val="false"/>
          <w:sz w:val="20"/>
        </w:rPr>
        <w:t>”), with such Consolidated Ordinary Shares ranking pari passu in all respects with one another and having the same rights and be subject to the same restrictions as the existing ordinary shares as set out in the existing memorandum and articles of association of the Company, save as to par value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fractional Consolidated Ordinary Shares shall be issued and any fractional entitlement otherwise arising shall be rounded up to the next whole number of Consolidated Ordinary Shares; such that the authorized share capital of the Company shall become US$520,000 divided into 130,000,000 ordinary shares of a par value of US$0.004 each; and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number of ordinary shares, warrants, options, restricted share units, performance share units and other securities or rights exercisable for, convertible into or otherwise referencing ordinary shares of the Company, together with the applicable exercise, conversion or subscription prices thereof, shall be adjusted to the extent required by their terms or by the A&amp;R SPA to reflect the consolidation.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Changes of Authorized Share Capital takes effect, and subject to compliance with applicable law and the requirements of The Nasdaq Stock Market LLC:</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ten (10) then issued and unissued ordinary shares of the Company of a par value of US$0.0004 each be consolidated into one (1) ordinary share of a par value of US$0.004 each (each, a “</w:t>
            </w:r>
            <w:r>
              <w:rPr>
                <w:rFonts w:ascii="Times New Roman;Times;Serif" w:hAnsi="Times New Roman;Times;Serif"/>
                <w:b/>
                <w:sz w:val="20"/>
              </w:rPr>
              <w:t>Consolidated Ordinary Share</w:t>
            </w:r>
            <w:r>
              <w:rPr>
                <w:rFonts w:ascii="Times New Roman;Times;Serif" w:hAnsi="Times New Roman;Times;Serif"/>
                <w:sz w:val="20"/>
              </w:rPr>
              <w:t>”), with such Consolidated Ordinary Shares ranking pari passu in all respects with one another and having the same rights and being subject to the same restrictions as the existing ordinary shares as set out in the existing memorandum and articles of association of the Company, save as to par value (the “</w:t>
            </w:r>
            <w:r>
              <w:rPr>
                <w:rFonts w:ascii="Times New Roman;Times;Serif" w:hAnsi="Times New Roman;Times;Serif"/>
                <w:b/>
                <w:sz w:val="20"/>
              </w:rPr>
              <w:t>Share Consolidation</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9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3"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 xml:space="preserve">no fractional Consolidated Ordinary Shares shall be issued and any fractional entitlement otherwise arising shall be rounded up to the next whole Consolidated Ordinary Shares; </w:t>
            </w:r>
          </w:p>
          <w:p>
            <w:pPr>
              <w:pStyle w:val="TableContents"/>
              <w:bidi w:val="0"/>
              <w:jc w:val="both"/>
              <w:rPr/>
            </w:pPr>
            <w:r>
              <w:rPr/>
              <w:t xml:space="preserve">  </w:t>
            </w:r>
          </w:p>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such that the authorized share capital of the Company shall become US$520,000 divided into 130,000,000 ordinary shares of a par value of US$0.004 each; and </w:t>
            </w:r>
          </w:p>
        </w:tc>
      </w:tr>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9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3" w:type="dxa"/>
            <w:tcBorders/>
            <w:vAlign w:val="center"/>
          </w:tcPr>
          <w:p>
            <w:pPr>
              <w:pStyle w:val="TableContents"/>
              <w:bidi w:val="0"/>
              <w:spacing w:before="0" w:after="283"/>
              <w:jc w:val="both"/>
              <w:rPr/>
            </w:pPr>
            <w:r>
              <w:rPr>
                <w:rFonts w:ascii="Times New Roman;Times;Serif" w:hAnsi="Times New Roman;Times;Serif"/>
                <w:sz w:val="20"/>
              </w:rPr>
              <w:t>the number of ordinary shares, warrants, options, restricted share units, performance share units and other securities or rights exercisable for, convertible into or otherwise referencing ordinary shares of the Company, together with the applicable exercise, conversion or subscription prices thereof, shall be adjusted to reflect the Share Consolidation to the extent required by their terms and, in the case of securities issued or issuable pursuant to the A&amp;R SPA, in accordance with the terms of the A&amp;R SPA.”</w:t>
            </w:r>
            <w:r>
              <w:rPr/>
              <w:t xml:space="preserve">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will be approved if there are affirmative votes of a simple majority of the votes by the shareholders entitled to vote thereon who are present in person or by duly authorized representative or by proxy at the Meeting. Abstentions and broker non-votes will have no effect on the result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FOR </w:t>
      </w:r>
      <w:r>
        <w:rPr>
          <w:rFonts w:ascii="Times New Roman;Times;Serif" w:hAnsi="Times New Roman;Times;Serif"/>
          <w:b/>
          <w:i w:val="false"/>
          <w:caps/>
          <w:sz w:val="20"/>
        </w:rPr>
        <w:t>the Share Consolidation Proposal</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No. 5 the M&amp;AA Amendment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and directed that there be submitted to the shareholders of the Company for approval, as a special resolution, subject to the Changes of Authorized Share Capital and Share Consolidation taking effect, the adoption in its entirety of the third amended and restated memorandum and articles of association of the Company in the substantial form attached as Annex 2 to the Notice of Extraordinary General Meeting and accompanying proxy statement, in substitution for and to the exclusion of the existing second amended and restated memorandum and articles of association of the Company, to reflect the Changes of Authorized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AS A SPECIAL RESOLUTION,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Changes of Authorized Share Capital and Share Consolidation taking effect, the third amended and restated memorandum and articles of association of the Company in the substantial form attached as Annex 2 to the Notice of Extraordinary General Meeting and the accompanying proxy statement be and hereby are approved and adopted in their entirety in substitution for and to the exclusion of the existing second amended and restated memorandum and articles of association of the Company, and the Directors be and hereby are authorized to take all actions and make all filings with the Registrar of Companies of the Cayman Islands and any other governmental or regulatory authority that they consider necessary, advisable or desirable.”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will be approved if the affirmative vote of a majority of not less than two-thirds of the votes by the shareholders of the Company entitled to vote thereon who are present in person or by duly authorized representative or by proxy at the Meeting. Abstentions and broker non-votes will not have the effect the voting of the M&amp;AA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THE M&amp;AA AMENDMENT PROPOSAL.</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No. 6 the EIP Proposal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and directed that there be submitted to the shareholders of the Company for approval, as an ordinary resolution, a proposal to approve and adopt in its entirety and in substitution for and to the exclusion of the existing Amended and Restated 2024 Omnibus Incentive Plan of the Company, the Second Amended and Restated 2024 Omnibus Incentive Plan of the Company, substantially in the form attached as Annex 3 to the Notice of Extraordinary General Meeting and the accompanying proxy statement. such that (i) the aggregate number of shares that are available for issuance thereunder shall be increased from 5,400,000 ordinary shares to 9,000,000 ordinary shares (after factoring in the adjustment to be made as a result of the Share Consolidation), and (ii) all references to the par value of the ordinary shares of the Company shall be updated to reflect the revised par value as adjusted as a result of the Share Consolidation, and the Directors be and hereby are authorized to administer and implement such plan in accordance with its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Second Amended and Restated 2024 Omnibus Incentive Plan of the Company, substantially in the form attached as Annex 3 to the Notice of Extraordinary General Meeting and the accompanying proxy statement, be and hereby is approved and adopted in its entirety in substitution for and to the exclusion of the existing Amended and Restated 2024 Omnibus Incentive Plan of the Company. such that (i) the aggregate number of shares that are available for issuance thereunder shall be increased from 5,400,000 ordinary shares to 9,000,000 ordinary shares (after factoring in the adjustment to be made as a result of the Share Consolidation), and (ii) all references to the par value of the ordinary shares of the Company shall be updated to reflect the revised par value as adjusted as a result of the Share Consolidation, and the Directors be and hereby are authorized to administer and implement such plan in accordance with its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will be approved if there are affirmative votes of a simple majority of the votes by the shareholders entitled to vote thereon who are present in person or by duly authorized representative or by proxy at the Meeting. Abstentions and broker non-votes will have no effect on the result of the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THE EIP PROPOSAL.</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No. 7 the Ancillary Agreements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and directed that there be submitted to the shareholders of the Company for approval, as an ordinary resolution, a proposal to the extent not previously validly issued or approved and subject to the terms described in the accompanying Annexes to the Notice of Extraordinary Meeting and accompanying proxy statement, to approve and, where appropriate, to ratify and confirm: (a) the Amended and Restated Deed of Undertaking dated August 14, 2026, including the termination and cancellation of the Diginex Founder Warrants, Outstanding IPO Warrants and applicable restricted stock units and performance stock units issued to Miles Pelham and the allotment and issuance of up to 40,000,000 ordinary shares to Rhino Ventures Limited, subject to the forfeiture/treasury-share or alternative security arrangements contemplated by the Transaction documents; (b) the Resulticks Additional Investment (as defined in the A&amp;R SPA), including up to approximately 58,823,530 ordinary shares; and (c) up to 15,000,000 ordinary shares payable to the transaction introducer, in each case subject to proportionate adjustment for the consolidation approved by Proposal No. 4; provided that nothing in this proposal shall constitute a waiver of or election not to rely upon any foreign-private-issuer home-country practice available to the Company under Nasdaq Listing Rule 5615(a)(3). The Amended and Restated Deed of Undertaking dated August 14, 2026 is attached hereto as Annex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Rhino Ventures Limited is owned and controlled by Miles Pelham the Chairman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not previously validly issued or approved and subject to the terms described in the Notice of Extraordinary Meeting and accompanying proxy statement, the following transactions be and hereby are approved and, where appropriate, ratified and confirmed: (a) the Amended and Restated Deed of Undertaking dated August 14, 2026, including the termination and cancellation of the Diginex Founder Warrants, Outstanding IPO Warrants and applicable restricted stock units and performance stock units issued to Miles Pelham and the allotment and issuance of up to 40,000,000 ordinary shares to Rhino Ventures Limited, subject to the forfeiture / treasury-share or alternative security arrangements contemplated by the transaction documents; (b) the Resulticks Additional Investment (as defined in the A&amp;R SPA), including up to approximately 58,823,530 ordinary shares; and (c) up to 15,000,000 ordinary shares payable to the transaction introducer, in each case subject to proportionate adjustment for the Share Consolidation; provided that nothing in this resolution shall constitute a waiver of or election not to rely upon any foreign-private-issuer home-country practice available to the Company under Nasdaq Listing Rule 5615(a)(3). A copy of the Amended and Restated Deed of Undertaking dated August 14, 2026 is attached to the Notice of Extraordinary Meeting and accompanying proxy statement as Annex 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7 will be approved if there are affirmative votes of a simple majority of the votes by the shareholders entitled to vote thereon who are present in person or by duly authorized representative or by proxy at the Meeting. Abstentions and broker non-votes will have no effect on the result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THE ANCILLARY AGREEMENTS PROPOSAL.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8 ADJOURNMENT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Adjournment Proposal allows the Board of Directors to adjourn the extraordinary general meeting to a later date or dates (i) to the extent necessary to ensure that any required supplement or amendment to this proxy statement is provided to the Company’s shareholders, (ii) in order to solicit additional proxies from the Company’s shareholders in favor of one or more of the proposals at the extraordinary general meeting or, (iii) as the chairman of the Extraordinary General Meeting shall deem necessary in his sole and absolute discretion. The Adjournment Proposal will only be put forth for a vote if there are not sufficient votes to approve Proposal 1. The Transaction Proposal; Proposal No. 2. The Change of Control Proposal; Proposal No. 3 The Changes of Authorized Share Capital Proposal; Proposal No. 4 The Share Consolidation Proposal; Proposal No. 5 The M&amp;AA Amendment Proposal; Proposal No. 6 The EIP Proposal; and Proposal No. 7 The Ancillary Agreements Proposal at the Meeting, or Proposal 1. The Transaction Proposal; Proposal No. 2. The Change of Control Proposal; Proposal No. 3 The Changes of Authorized Share Capital Proposal; Proposal No. 4 The Share Consolidation Proposal; Proposal No. 5 The M&amp;AA Amendment Proposal; Proposal No. 6 The EIP Proposal; and Proposal No. 7 The Ancillary Agreements Proposal are not approved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if the Adjournment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Adjournment Proposal is presented to the Extraordinary General Meeting and is not approved by the shareholders, the Board of Directors may not be able to adjourn the Meeting to a later date in the event that, based on the tabulated votes, there are not sufficient votes at the time of the Meeting to approve Proposal 1. The Transaction Proposal; Proposal No. 2. The Change of Control Proposal; Proposal No. 3 The Changes of Authorized Share Capital Proposal; Proposal No. 4 The Share Consolidation Proposal; Proposal No. 5 The M&amp;AA Amendment Proposal; Proposal No. 6 The EIP Proposal; and Proposal No. 7 The Ancillary Agreements Proposal. In such events, Proposal 1. The Transaction Proposal; Proposal No. 2. The Change of Control Proposal; Proposal No. 3 The Changes of Authorized Share Capital Proposal; Proposal No. 4 The Share Consolidation Proposal; Proposal No. 5 The M&amp;AA Amendment Proposal; Proposal No. 6 The EIP Proposal; and Proposal No. 7 The Ancillary Agreements Proposal would not be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Adjournment Proposal is not conditioned upon the approval of any other proposal.</w:t>
      </w:r>
    </w:p>
    <w:p>
      <w:pPr>
        <w:pStyle w:val="TextBody"/>
        <w:bidi w:val="0"/>
        <w:spacing w:before="0" w:after="0"/>
        <w:ind w:left="6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chairman of the Extraordinary General Meeting be and hereby is authorized to adjourn the Meeting to a later date or dates, on one or more occasions, if necessary or advisable (a) to permit any required or advisable supplement or amendment to the Notice of Extraordinary General Meeting and accompanying proxy statement to be furnished to shareholders, (b) to permit the Company to solicit additional proxies in favor of any proposal submitted at the Meeting or (c) if the chairman otherwise determines that an adjournment is necessary or advisable to facilitate the orderly conduct of the Meeting or completion of the Transaction.”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8 will be approved if there are affirmative votes of a simple majority of the votes by the shareholders entitled to vote thereon who are present in person or by duly authorized representative or by proxy at the Meeting. Abstentions and broker non-votes will have no effect on the result of the vote.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THE APPROVAL OF THE ADJOURNMENT PROPOSAL.</w:t>
      </w:r>
    </w:p>
    <w:p>
      <w:pPr>
        <w:pStyle w:val="TextBody"/>
        <w:bidi w:val="0"/>
        <w:spacing w:before="0" w:after="0"/>
        <w:ind w:left="0" w:right="0" w:firstLine="48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aware of any other matters to be submitted to the Extraordinary General Meeting. If any other matters properly come before the Extraordinary General Meeting, it is the intention of the persons named in the enclosed form of proxy to vote the shares they represent as the Board of Directors may recommend.</w:t>
      </w:r>
    </w:p>
    <w:p>
      <w:pPr>
        <w:pStyle w:val="TextBody"/>
        <w:bidi w:val="0"/>
        <w:spacing w:before="0" w:after="0"/>
        <w:ind w:left="0" w:right="0" w:firstLine="720"/>
        <w:jc w:val="both"/>
        <w:rPr>
          <w:caps w:val="false"/>
          <w:smallCaps w:val="false"/>
        </w:rPr>
      </w:pPr>
      <w:r>
        <w:rPr>
          <w:caps w:val="false"/>
          <w:smallCaps w:val="false"/>
        </w:rPr>
        <w:t> </w:t>
      </w:r>
    </w:p>
    <w:tbl>
      <w:tblPr>
        <w:tblW w:w="2855" w:type="dxa"/>
        <w:jc w:val="left"/>
        <w:tblInd w:w="0" w:type="dxa"/>
        <w:tblLayout w:type="fixed"/>
        <w:tblCellMar>
          <w:top w:w="0" w:type="dxa"/>
          <w:left w:w="0" w:type="dxa"/>
          <w:bottom w:w="0" w:type="dxa"/>
          <w:right w:w="0" w:type="dxa"/>
        </w:tblCellMar>
      </w:tblPr>
      <w:tblGrid>
        <w:gridCol w:w="2780"/>
        <w:gridCol w:w="75"/>
      </w:tblGrid>
      <w:tr>
        <w:trPr/>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Miles Pelham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AMENDED AND RESTATED</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Sale and Purchase Agreement</w:t>
      </w:r>
    </w:p>
    <w:p>
      <w:pPr>
        <w:pStyle w:val="TextBody"/>
        <w:bidi w:val="0"/>
        <w:spacing w:before="0" w:after="0"/>
        <w:jc w:val="center"/>
        <w:rPr>
          <w:caps/>
        </w:rPr>
      </w:pPr>
      <w:r>
        <w:rPr>
          <w:caps/>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August 2026</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several persons whose names and addresses are set out in Schedule 1 as Sellers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DIGINEX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rPr>
      </w:pPr>
      <w:r>
        <w:rPr>
          <w:caps/>
        </w:rPr>
        <w:t> </w:t>
      </w:r>
      <w:r>
        <w:rPr>
          <w:caps/>
        </w:rPr>
        <w:drawing>
          <wp:inline distT="0" distB="0" distL="0" distR="0">
            <wp:extent cx="213360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876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Baker &amp; McKenzie.Wong &amp; Leow</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 No. 200010145R)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 Beach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#23-11 South Beach Tower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018767</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www.bakermckenzie.com</w:t>
      </w:r>
    </w:p>
    <w:p>
      <w:pPr>
        <w:pStyle w:val="TextBody"/>
        <w:bidi w:val="0"/>
        <w:spacing w:before="0" w:after="0"/>
        <w:ind w:left="70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709" w:right="0" w:hanging="0"/>
        <w:jc w:val="both"/>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90"/>
        <w:gridCol w:w="6110"/>
        <w:gridCol w:w="245"/>
      </w:tblGrid>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PRE-COMPLETION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PRE-COMPLETION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WARRANTIES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SECURITIES LAW MATTERS AND TRANSFER RESTRICTIONS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LIMITATIONS ON LIABILITY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WARRANTIES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LIMITATIONS ON LIABILITY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POST-COMPLETION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AND WAIVERS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COMPLETION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PARTY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DISPUTE RESOLUTION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right"/>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3755"/>
        <w:gridCol w:w="75"/>
      </w:tblGrid>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Sellers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 Particulars of the Sellers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 Notice Details of the Sellers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3 – Consideration Shares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of the Group</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 Details of the Company</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 Details of the Subsidiaries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Arrangements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 Seller’s Obligations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 Purchaser’s Obligations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3 – Further Actions by the Company</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 Fundamental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 Non-Fundamental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 Fundamental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 Non-Fundamental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7</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Board Changes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8</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and Lock-up Agreement</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9</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Indemnity</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10</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Intentionally omitted</w:t>
            </w: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ii</w:t>
            </w:r>
          </w:p>
        </w:tc>
      </w:tr>
    </w:tbl>
    <w:p>
      <w:pPr>
        <w:pStyle w:val="TextBody"/>
        <w:bidi w:val="0"/>
        <w:spacing w:before="0" w:after="0"/>
        <w:ind w:left="0" w:right="0" w:hanging="0"/>
        <w:jc w:val="left"/>
        <w:rPr/>
      </w:pPr>
      <w:r>
        <w:rPr/>
        <w:t> </w:t>
      </w:r>
    </w:p>
    <w:p>
      <w:pPr>
        <w:pStyle w:val="TextBody"/>
        <w:bidi w:val="0"/>
        <w:spacing w:before="0" w:after="0"/>
        <w:ind w:left="0" w:right="0" w:firstLine="2853"/>
        <w:jc w:val="left"/>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SALE AND PURCHASE AGREEMENT</w:t>
      </w:r>
    </w:p>
    <w:p>
      <w:pPr>
        <w:pStyle w:val="TextBody"/>
        <w:bidi w:val="0"/>
        <w:spacing w:before="0" w:after="0"/>
        <w:ind w:left="709"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14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persons whose names and addresses are set out in column (1) of Part 1 of Schedule 1 (collectively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w:t>
            </w:r>
          </w:p>
        </w:tc>
      </w:tr>
      <w:tr>
        <w:trPr/>
        <w:tc>
          <w:tcPr>
            <w:tcW w:w="248" w:type="dxa"/>
            <w:tcBorders/>
            <w:vAlign w:val="center"/>
          </w:tcPr>
          <w:p>
            <w:pPr>
              <w:pStyle w:val="TableContents"/>
              <w:bidi w:val="0"/>
              <w:spacing w:before="0" w:after="283"/>
              <w:jc w:val="left"/>
              <w:rPr>
                <w:caps w:val="false"/>
                <w:smallCaps w:val="false"/>
              </w:rPr>
            </w:pPr>
            <w:r>
              <w:rPr>
                <w:caps w:val="false"/>
                <w:smallCaps w:val="false"/>
              </w:rPr>
              <w:t> </w:t>
            </w:r>
          </w:p>
        </w:tc>
        <w:tc>
          <w:tcPr>
            <w:tcW w:w="995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DIGINEX LIMITED</w:t>
            </w:r>
            <w:r>
              <w:rPr>
                <w:rFonts w:ascii="Times New Roman;Times;Serif" w:hAnsi="Times New Roman;Times;Serif"/>
                <w:b w:val="false"/>
                <w:i w:val="false"/>
                <w:caps w:val="false"/>
                <w:smallCaps w:val="false"/>
                <w:sz w:val="20"/>
              </w:rPr>
              <w:t>, an exempted company incorporated with limited liability under the laws of the Cayman Islands with company registration number 406606 and having its registered office at 89 Nexus Way, Camana Bay, Grand Cayman, KY1-9009, Cayman Islands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15"/>
        <w:gridCol w:w="498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Particulars of the Group Companies are set out in Schedule 2.</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498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16 April 2026, the Parties entered into a sale and purchase agreement pursuant to which the Sellers have agreed to sell, and the Purchaser has agreed to purchase, the Sale Shares (the “</w:t>
            </w:r>
            <w:r>
              <w:rPr>
                <w:rFonts w:ascii="Times New Roman;Times;Serif" w:hAnsi="Times New Roman;Times;Serif"/>
                <w:b/>
                <w:i w:val="false"/>
                <w:caps w:val="false"/>
                <w:smallCaps w:val="false"/>
                <w:sz w:val="20"/>
              </w:rPr>
              <w:t>Original SPA</w:t>
            </w:r>
            <w:r>
              <w:rPr>
                <w:rFonts w:ascii="Times New Roman;Times;Serif" w:hAnsi="Times New Roman;Times;Serif"/>
                <w:b w:val="false"/>
                <w:i w:val="false"/>
                <w:caps w:val="false"/>
                <w:smallCaps w:val="false"/>
                <w:sz w:val="20"/>
              </w:rPr>
              <w:t>”).</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will issue within five (5) Business Days a notice in the agreed form to all members of the Purchaser that would be entitled to vote at a shareholder meeting to approve the Issuance Ordinary Resolution if it were otherwise approved at such a meeting in accordance with the Purchaser’s memorandum and articles of association (the “</w:t>
            </w:r>
            <w:r>
              <w:rPr>
                <w:rFonts w:ascii="Times New Roman;Times;Serif" w:hAnsi="Times New Roman;Times;Serif"/>
                <w:b/>
                <w:i w:val="false"/>
                <w:caps w:val="false"/>
                <w:smallCaps w:val="false"/>
                <w:sz w:val="20"/>
              </w:rPr>
              <w:t>Issuance Ordinary Resolution Notice</w:t>
            </w:r>
            <w:r>
              <w:rPr>
                <w:rFonts w:ascii="Times New Roman;Times;Serif" w:hAnsi="Times New Roman;Times;Serif"/>
                <w:b w:val="false"/>
                <w:i w:val="false"/>
                <w:caps w:val="false"/>
                <w:smallCaps w:val="false"/>
                <w:sz w:val="20"/>
              </w:rPr>
              <w:t>”), for the purposes of passing the Issuance Ordinary Resolution constituting the Purchaser Shareholder Approval.</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agreed to amend and restate the terms of the Original SPA in accordance with the terms and conditions of this Agreement.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IS AGREED</w:t>
      </w:r>
      <w:r>
        <w:rPr>
          <w:rFonts w:ascii="Times New Roman;Times;Serif" w:hAnsi="Times New Roman;Times;Serif"/>
          <w:b w:val="false"/>
          <w:i w:val="false"/>
          <w:caps w:val="false"/>
          <w:smallCaps w:val="false"/>
          <w:sz w:val="20"/>
        </w:rPr>
        <w:t xml:space="preserve"> as follows:</w:t>
      </w:r>
    </w:p>
    <w:p>
      <w:pPr>
        <w:pStyle w:val="TextBody"/>
        <w:bidi w:val="0"/>
        <w:spacing w:before="0" w:after="0"/>
        <w:ind w:left="360" w:right="0" w:hanging="36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5"/>
        <w:gridCol w:w="35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5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825" w:type="dxa"/>
        <w:jc w:val="left"/>
        <w:tblInd w:w="0" w:type="dxa"/>
        <w:tblLayout w:type="fixed"/>
        <w:tblCellMar>
          <w:top w:w="0" w:type="dxa"/>
          <w:left w:w="0" w:type="dxa"/>
          <w:bottom w:w="0" w:type="dxa"/>
          <w:right w:w="0" w:type="dxa"/>
        </w:tblCellMar>
      </w:tblPr>
      <w:tblGrid>
        <w:gridCol w:w="290"/>
        <w:gridCol w:w="15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4(a)(2) Consideration Shares</w:t>
      </w:r>
      <w:r>
        <w:rPr>
          <w:rFonts w:ascii="Times New Roman;Times;Serif" w:hAnsi="Times New Roman;Times;Serif"/>
          <w:b w:val="false"/>
          <w:i w:val="false"/>
          <w:caps w:val="false"/>
          <w:smallCaps w:val="false"/>
          <w:sz w:val="20"/>
        </w:rPr>
        <w:t>” means Consideration Shares offered and sold by the Purchaser to certain of the Sellers pursuant to and in accordance with Section 4(a)(2) of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Accounts</w:t>
      </w:r>
      <w:r>
        <w:rPr>
          <w:rFonts w:ascii="Times New Roman;Times;Serif" w:hAnsi="Times New Roman;Times;Serif"/>
          <w:b w:val="false"/>
          <w:i w:val="false"/>
          <w:caps w:val="false"/>
          <w:smallCaps w:val="false"/>
          <w:sz w:val="20"/>
        </w:rPr>
        <w:t>” means the audited financial statements of the Group for the accounting reference period ended on the Accounts Date, together with the auditors’ report and the notes to the audited financial statements available, such financial statements comprising, a statement of financial position, statement of comprehensive income, statement of changes in equity, and statement of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Accounts Date</w:t>
      </w:r>
      <w:r>
        <w:rPr>
          <w:rFonts w:ascii="Times New Roman;Times;Serif" w:hAnsi="Times New Roman;Times;Serif"/>
          <w:b w:val="false"/>
          <w:i w:val="false"/>
          <w:caps w:val="false"/>
          <w:smallCaps w:val="false"/>
          <w:sz w:val="20"/>
        </w:rPr>
        <w:t>” means 31 December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Actual Tax Liability</w:t>
      </w:r>
      <w:r>
        <w:rPr>
          <w:rFonts w:ascii="Times New Roman;Times;Serif" w:hAnsi="Times New Roman;Times;Serif"/>
          <w:b w:val="false"/>
          <w:i w:val="false"/>
          <w:caps w:val="false"/>
          <w:smallCaps w:val="false"/>
          <w:sz w:val="20"/>
        </w:rPr>
        <w:t>” means the amount of a liability or increase in liability of any Group Company to make a payment of or in respect of any Tax or of an amount representing Tax, or any payment in respect of the same;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in relation to a person: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which, directly or indirectly Controls, is Controlled by, or is under common Control with the first mentioned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fund managed and/or advised by any adviser or manager of such person defined in limb (a) above or of any (direct or indirect) holding company of such person defined in limb (a) above or any investor in or director, employee or partner of any of them;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general partner, limited partner, trustee, nominee, operator, arranger of, manager of, or investment adviser to, such person described in limb (a) above or of any (direct or indirect) parent of such person defined in limb (a) above, or of or to any fund managed and/or advised by any investment adviser or manager of such person or of any (direct or indirect) parent as defined in limb (b) above,</w:t>
            </w:r>
          </w:p>
        </w:tc>
      </w:tr>
    </w:tbl>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in relation to a person who is a natural person,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also include (i) such person’s “</w:t>
      </w:r>
      <w:r>
        <w:rPr>
          <w:rFonts w:ascii="Times New Roman;Times;Serif" w:hAnsi="Times New Roman;Times;Serif"/>
          <w:b/>
          <w:i w:val="false"/>
          <w:caps w:val="false"/>
          <w:smallCaps w:val="false"/>
          <w:sz w:val="20"/>
        </w:rPr>
        <w:t>immediate family members</w:t>
      </w:r>
      <w:r>
        <w:rPr>
          <w:rFonts w:ascii="Times New Roman;Times;Serif" w:hAnsi="Times New Roman;Times;Serif"/>
          <w:b w:val="false"/>
          <w:i w:val="false"/>
          <w:caps w:val="false"/>
          <w:smallCaps w:val="false"/>
          <w:sz w:val="20"/>
        </w:rPr>
        <w:t>” which shall mean the spouse, parents, grandparents, children, siblings of such person, and (ii) any entity that is Controlled by such person and/or any of such person’s immediate family members;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means, in relation to a person, that person’s directors, officers, employees, advisers, financiers, auditors, agents and representatives;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Agreed Board Changes</w:t>
      </w:r>
      <w:r>
        <w:rPr>
          <w:rFonts w:ascii="Times New Roman;Times;Serif" w:hAnsi="Times New Roman;Times;Serif"/>
          <w:b w:val="false"/>
          <w:i w:val="false"/>
          <w:caps w:val="false"/>
          <w:smallCaps w:val="false"/>
          <w:sz w:val="20"/>
        </w:rPr>
        <w:t>” means the changes to the expertise and composition of the board of directors (and board committees) of the Purchaser, and the executive management of the Purchaser, in each case as set out in Schedule 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sale and purchase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and Restatement Date</w:t>
      </w:r>
      <w:r>
        <w:rPr>
          <w:rFonts w:ascii="Times New Roman;Times;Serif" w:hAnsi="Times New Roman;Times;Serif"/>
          <w:b w:val="false"/>
          <w:i w:val="false"/>
          <w:caps w:val="false"/>
          <w:smallCaps w:val="false"/>
          <w:sz w:val="20"/>
        </w:rPr>
        <w:t>” means 14 August 2026;</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Anicut</w:t>
      </w:r>
      <w:r>
        <w:rPr>
          <w:rFonts w:ascii="Times New Roman;Times;Serif" w:hAnsi="Times New Roman;Times;Serif"/>
          <w:b w:val="false"/>
          <w:i w:val="false"/>
          <w:caps w:val="false"/>
          <w:smallCaps w:val="false"/>
          <w:sz w:val="20"/>
        </w:rPr>
        <w:t>” means Grand Anicut Fund - 4 and/ or Grand Anicut LVF -1 and its affiliates;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Anicut Investment Agreement</w:t>
      </w:r>
      <w:r>
        <w:rPr>
          <w:rFonts w:ascii="Times New Roman;Times;Serif" w:hAnsi="Times New Roman;Times;Serif"/>
          <w:b w:val="false"/>
          <w:i w:val="false"/>
          <w:caps w:val="false"/>
          <w:smallCaps w:val="false"/>
          <w:sz w:val="20"/>
        </w:rPr>
        <w:t xml:space="preserve">” means the investment agreement dated 31 January 2025 entered into amongst,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Resulticks Edge Solution Technologies Private Limited and Anicut;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Anicut Share Subscription Agreement</w:t>
      </w:r>
      <w:r>
        <w:rPr>
          <w:rFonts w:ascii="Times New Roman;Times;Serif" w:hAnsi="Times New Roman;Times;Serif"/>
          <w:b w:val="false"/>
          <w:i w:val="false"/>
          <w:caps w:val="false"/>
          <w:smallCaps w:val="false"/>
          <w:sz w:val="20"/>
        </w:rPr>
        <w:t>” means the securities subscription agreement dated 28 June 2024 entered into between the Company, Resulticks Digitals India Private Limited and Anicut;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(i) the Foreign Corrupt Practices Act of 1977 as amended (Laws of United States); (ii) the Prevention of Corruption Act 1960; (iii) the Bribery Act 2010 (in the United Kingdom); (iv) the Organization for Economic Co-operation and Development (OECD) Convention on Combating Bribery of Foreign Officials in International Business Transactions; and (v) applicable laws, regulations or orders which are applicable to the Group, the Sellers or the Purchaser’s Group (as the case may be) and which are broadly equivalent to (i), (ii) or (iii) or were intended to enact the provisions of the OECD Convention described in (iv) or which has as its objective the prevention of corruption;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Regulations</w:t>
      </w:r>
      <w:r>
        <w:rPr>
          <w:rFonts w:ascii="Times New Roman;Times;Serif" w:hAnsi="Times New Roman;Times;Serif"/>
          <w:b w:val="false"/>
          <w:i w:val="false"/>
          <w:caps w:val="false"/>
          <w:smallCaps w:val="false"/>
          <w:sz w:val="20"/>
        </w:rPr>
        <w:t>” means all applicable financial record keeping and reporting requirements and anti-money laundering laws in each of the jurisdictions in which a Party or any Affiliates of that Party is incorporated or domiciled (as the case may be) and of all jurisdictions in which a Party and each Affiliate of that Party conducts business, the rules and regulations thereunder and any related or similar laws or guidelines, issued, administered or enforced by any Governmental Authority;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any applicable federal, state, territorial, foreign or local law, common law, statute, ordinance, rule, regulation, code, measure, notice, circular, opinion or order of any Governmental Authority, including any rules promulgated by any applicable stock exchange or regulatory body, whether or not having the force of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Ascertis Facilities Documents</w:t>
      </w:r>
      <w:r>
        <w:rPr>
          <w:rFonts w:ascii="Times New Roman;Times;Serif" w:hAnsi="Times New Roman;Times;Serif"/>
          <w:b w:val="false"/>
          <w:i w:val="false"/>
          <w:caps w:val="false"/>
          <w:smallCaps w:val="false"/>
          <w:sz w:val="20"/>
        </w:rPr>
        <w:t xml:space="preserve">” means the facility agreement dated 2 December 2024 entered into amongst,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Ascertis Credit – India Fund III Limited and Madison Pacific Trust Limited, and all other related and/or ancillary agreements or documents entered into pursuant to or in connection with such facility agreement, in each case as may be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means the business of the Group as conducted by it as at the date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a Saturday or Sunday or a public holiday) when commercial banks are open for ordinary banking business in Singapore, New York City, U.S.A., and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IP</w:t>
      </w:r>
      <w:r>
        <w:rPr>
          <w:rFonts w:ascii="Times New Roman;Times;Serif" w:hAnsi="Times New Roman;Times;Serif"/>
          <w:b w:val="false"/>
          <w:i w:val="false"/>
          <w:caps w:val="false"/>
          <w:smallCaps w:val="false"/>
          <w:sz w:val="20"/>
        </w:rPr>
        <w:t>” means all Intellectual Property which has in the last three years been used or is used primarily in or in connection with the business of any Group Company and which is material to the business of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IT</w:t>
      </w:r>
      <w:r>
        <w:rPr>
          <w:rFonts w:ascii="Times New Roman;Times;Serif" w:hAnsi="Times New Roman;Times;Serif"/>
          <w:b w:val="false"/>
          <w:i w:val="false"/>
          <w:caps w:val="false"/>
          <w:smallCaps w:val="false"/>
          <w:sz w:val="20"/>
        </w:rPr>
        <w:t>” means all Information Technology which has in the last three years been used or is used primarily in connection with the business of any Group Company and which is material to the business of the Group;</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means all Losses asserted against, incurred, suffered or incurred by, as the case may be:</w:t>
      </w:r>
    </w:p>
    <w:p>
      <w:pPr>
        <w:pStyle w:val="TextBody"/>
        <w:bidi w:val="0"/>
        <w:spacing w:before="0" w:after="0"/>
        <w:ind w:left="72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230"/>
        <w:gridCol w:w="8675"/>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Indemnitees, arising out of, relating to or which results from the matters set out in Clause 13.1;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86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9063" w:type="dxa"/>
        <w:jc w:val="left"/>
        <w:tblInd w:w="0" w:type="dxa"/>
        <w:tblLayout w:type="fixed"/>
        <w:tblCellMar>
          <w:top w:w="0" w:type="dxa"/>
          <w:left w:w="0" w:type="dxa"/>
          <w:bottom w:w="0" w:type="dxa"/>
          <w:right w:w="0" w:type="dxa"/>
        </w:tblCellMar>
      </w:tblPr>
      <w:tblGrid>
        <w:gridCol w:w="38"/>
        <w:gridCol w:w="245"/>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Indemnitees, arising out of, relating to or which results from the matters set out in Clause 13.2;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RESULTICKS GLOBAL COMPANIES PTE. LIMITED</w:t>
      </w:r>
      <w:r>
        <w:rPr>
          <w:rFonts w:ascii="Times New Roman;Times;Serif" w:hAnsi="Times New Roman;Times;Serif"/>
          <w:b w:val="false"/>
          <w:i w:val="false"/>
          <w:caps w:val="false"/>
          <w:smallCaps w:val="false"/>
          <w:sz w:val="20"/>
        </w:rPr>
        <w:t>, a company incorporated under the laws of Singapore with company registration number 202127753C and having its registered office at 3 Temasek Avenue, #21-27, Centennial Tower, Singapore 039190;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Change</w:t>
      </w:r>
      <w:r>
        <w:rPr>
          <w:rFonts w:ascii="Times New Roman;Times;Serif" w:hAnsi="Times New Roman;Times;Serif"/>
          <w:b w:val="false"/>
          <w:i w:val="false"/>
          <w:caps w:val="false"/>
          <w:smallCaps w:val="false"/>
          <w:sz w:val="20"/>
        </w:rPr>
        <w:t>”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change, circumstance or effect which results in a net decrease of 30% or more in the the consolidated gross revenue of the Group (taken as a whole) for the 12-month period ending on the date of this Agreement, provided that any such decrease resulting from any of the following shall be excluded in determining whether a Company Material Adverse Change has occurred: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445" w:type="dxa"/>
        <w:jc w:val="left"/>
        <w:tblInd w:w="0" w:type="dxa"/>
        <w:tblLayout w:type="fixed"/>
        <w:tblCellMar>
          <w:top w:w="0" w:type="dxa"/>
          <w:left w:w="0" w:type="dxa"/>
          <w:bottom w:w="0" w:type="dxa"/>
          <w:right w:w="0" w:type="dxa"/>
        </w:tblCellMar>
      </w:tblPr>
      <w:tblGrid>
        <w:gridCol w:w="75"/>
        <w:gridCol w:w="200"/>
        <w:gridCol w:w="617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outbreak or escalation of war or major hostilities or any act of terrorism;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17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financial markets or general economic, regulatory or political conditions in the jurisdictions in which the Group operates;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1" w:type="dxa"/>
            <w:tcBorders/>
            <w:vAlign w:val="center"/>
          </w:tcPr>
          <w:p>
            <w:pPr>
              <w:pStyle w:val="TableContents"/>
              <w:bidi w:val="0"/>
              <w:spacing w:before="0" w:after="283"/>
              <w:jc w:val="left"/>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855" w:type="dxa"/>
        <w:jc w:val="left"/>
        <w:tblInd w:w="0" w:type="dxa"/>
        <w:tblLayout w:type="fixed"/>
        <w:tblCellMar>
          <w:top w:w="0" w:type="dxa"/>
          <w:left w:w="0" w:type="dxa"/>
          <w:bottom w:w="0" w:type="dxa"/>
          <w:right w:w="0" w:type="dxa"/>
        </w:tblCellMar>
      </w:tblPr>
      <w:tblGrid>
        <w:gridCol w:w="75"/>
        <w:gridCol w:w="320"/>
        <w:gridCol w:w="7460"/>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that generally affect the industry(ies) or market(s) in which the Group operates;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4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160" w:type="dxa"/>
        <w:jc w:val="left"/>
        <w:tblInd w:w="0" w:type="dxa"/>
        <w:tblLayout w:type="fixed"/>
        <w:tblCellMar>
          <w:top w:w="0" w:type="dxa"/>
          <w:left w:w="0" w:type="dxa"/>
          <w:bottom w:w="0" w:type="dxa"/>
          <w:right w:w="0" w:type="dxa"/>
        </w:tblCellMar>
      </w:tblPr>
      <w:tblGrid>
        <w:gridCol w:w="75"/>
        <w:gridCol w:w="305"/>
        <w:gridCol w:w="5780"/>
      </w:tblGrid>
      <w:tr>
        <w:trPr/>
        <w:tc>
          <w:tcPr>
            <w:tcW w:w="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Relevant Accounting Standards or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110" w:type="dxa"/>
        <w:jc w:val="left"/>
        <w:tblInd w:w="0" w:type="dxa"/>
        <w:tblLayout w:type="fixed"/>
        <w:tblCellMar>
          <w:top w:w="0" w:type="dxa"/>
          <w:left w:w="0" w:type="dxa"/>
          <w:bottom w:w="0" w:type="dxa"/>
          <w:right w:w="0" w:type="dxa"/>
        </w:tblCellMar>
      </w:tblPr>
      <w:tblGrid>
        <w:gridCol w:w="75"/>
        <w:gridCol w:w="245"/>
        <w:gridCol w:w="179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Disclosed;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of the Group to meet any published or internally prepared projections, budgets, plans or forecasts of revenues, earnings, or other financial performance measures or operating statistics;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caps w:val="false"/>
                <w:smallCaps w:val="false"/>
              </w:rPr>
            </w:pPr>
            <w:r>
              <w:rPr>
                <w:caps w:val="false"/>
                <w:smallCaps w:val="false"/>
              </w:rPr>
              <w:t> </w:t>
            </w:r>
          </w:p>
        </w:tc>
        <w:tc>
          <w:tcPr>
            <w:tcW w:w="985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337"/>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force of the Transaction Documents or any transaction contemplated thereunder, or the public announcement or other publicity related to the Transaction Documents and/or any such transaction,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case of paragraphs (ii) and (iii), to the extent such event, change, circumstance or effect has a disproportionate effect on a Group Company (as compared with business operating in the industry(ies) in which the Group operates); or</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change, circumstance, effect or other matter that has, or would reasonably be expected to have, either individually or in the aggregate with all other events, changes, circumstances, effects or other matters, a material adverse effect on the ability of the Sellers to consummate the Transaction;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w:t>
      </w:r>
      <w:r>
        <w:rPr>
          <w:rFonts w:ascii="Times New Roman;Times;Serif" w:hAnsi="Times New Roman;Times;Serif"/>
          <w:b w:val="false"/>
          <w:i w:val="false"/>
          <w:caps w:val="false"/>
          <w:smallCaps w:val="false"/>
          <w:sz w:val="20"/>
        </w:rPr>
        <w:t>” means completion of the Transaction in accordance with Clause 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 Date</w:t>
      </w:r>
      <w:r>
        <w:rPr>
          <w:rFonts w:ascii="Times New Roman;Times;Serif" w:hAnsi="Times New Roman;Times;Serif"/>
          <w:b w:val="false"/>
          <w:i w:val="false"/>
          <w:caps w:val="false"/>
          <w:smallCaps w:val="false"/>
          <w:sz w:val="20"/>
        </w:rPr>
        <w:t>” means a date no later than 30th October 2026, or such other date as the Sellers’ Representative and the Purchaser may agree in writing, in each case subject to the satisfaction or, to the extent permitted by Applicable Law, waiver of all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Conditions</w:t>
      </w:r>
      <w:r>
        <w:rPr>
          <w:rFonts w:ascii="Times New Roman;Times;Serif" w:hAnsi="Times New Roman;Times;Serif"/>
          <w:b w:val="false"/>
          <w:i w:val="false"/>
          <w:caps w:val="false"/>
          <w:smallCaps w:val="false"/>
          <w:sz w:val="20"/>
        </w:rPr>
        <w:t>” means the conditions set out in Clauses 4.1, 4.2 and 4.3, and “</w:t>
      </w:r>
      <w:r>
        <w:rPr>
          <w:rFonts w:ascii="Times New Roman;Times;Serif" w:hAnsi="Times New Roman;Times;Serif"/>
          <w:b/>
          <w:i w:val="false"/>
          <w:caps w:val="false"/>
          <w:smallCaps w:val="false"/>
          <w:sz w:val="20"/>
        </w:rPr>
        <w:t>Condition</w:t>
      </w:r>
      <w:r>
        <w:rPr>
          <w:rFonts w:ascii="Times New Roman;Times;Serif" w:hAnsi="Times New Roman;Times;Serif"/>
          <w:b w:val="false"/>
          <w:i w:val="false"/>
          <w:caps w:val="false"/>
          <w:smallCaps w:val="false"/>
          <w:sz w:val="20"/>
        </w:rPr>
        <w:t>” means any one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means (a) the existence and the provisions of the Transaction Documents or the negotiations relating to the Transaction Documents and (b) all information (whether written, oral, visual, electronic or in any other form or medium) disclosed by or on behalf of the disclosing party to the recipient, whether before or after the date of this Agreement, that is marked as confidential or that, by its nature or the circumstances of its disclosure, ought reasonably to be understood to be confidential. “Confidential Information” includes, without limitation, all Know-How, trade secrets, proprietary technical, industrial and commercial information, formulas, processes, product information, designs, specifications, data, research and development, marketing and business plans, strategies, pricing, financial information, customer and supplier details, software (including source code and object code), inventions (whether patentable or not), and any analyses, compilations, studies or other documents prepared by the recipient that contain or reflect such information, in each case in whatever form held, such as paper, electronically stored data, magnetic media film and microfilm or orally;</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has the meaning given to it in Clause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 Issue Price</w:t>
      </w:r>
      <w:r>
        <w:rPr>
          <w:rFonts w:ascii="Times New Roman;Times;Serif" w:hAnsi="Times New Roman;Times;Serif"/>
          <w:b w:val="false"/>
          <w:i w:val="false"/>
          <w:caps w:val="false"/>
          <w:smallCaps w:val="false"/>
          <w:sz w:val="20"/>
        </w:rPr>
        <w:t>” means USD 1.75 per Diginex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means the 600,000,000 Diginex Shares credited as fully paid, to be allotted and issued to the Sellers in accordance with Clause 3, as may be adjusted in accordance with Clause 3.4;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Continuing Provisions</w:t>
      </w:r>
      <w:r>
        <w:rPr>
          <w:rFonts w:ascii="Times New Roman;Times;Serif" w:hAnsi="Times New Roman;Times;Serif"/>
          <w:b w:val="false"/>
          <w:i w:val="false"/>
          <w:caps w:val="false"/>
          <w:smallCaps w:val="false"/>
          <w:sz w:val="20"/>
        </w:rPr>
        <w:t>” means Clause 1, Clause 3.3(c), Clause 14.2, Clause 16, Clause 17, Clause 18, Clause 19, Clause 20, Clause 21, Clause 22, Clause 25, Clause 26, Clause 27, Clause 28, Clause 29 and Clause 30 and each other provision expressly provided to survive termination and/or rescission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in relation to any person or entity, the possession, directly or indirectly, whether by ownership of shares, voting rights, contract or otherwise, of the power to:</w:t>
      </w:r>
    </w:p>
    <w:p>
      <w:pPr>
        <w:pStyle w:val="TextBody"/>
        <w:bidi w:val="0"/>
        <w:spacing w:before="0" w:after="0"/>
        <w:ind w:left="720"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30"/>
        <w:gridCol w:w="947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body corporate, direct or cause the direction of the management and policies of that entity by way 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47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045" w:type="dxa"/>
        <w:jc w:val="left"/>
        <w:tblInd w:w="0" w:type="dxa"/>
        <w:tblLayout w:type="fixed"/>
        <w:tblCellMar>
          <w:top w:w="0" w:type="dxa"/>
          <w:left w:w="0" w:type="dxa"/>
          <w:bottom w:w="0" w:type="dxa"/>
          <w:right w:w="0" w:type="dxa"/>
        </w:tblCellMar>
      </w:tblPr>
      <w:tblGrid>
        <w:gridCol w:w="75"/>
        <w:gridCol w:w="200"/>
        <w:gridCol w:w="977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issued shares entitled to vote for the election of directors (or analogous persons) of that body corporate;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77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or removal of a majority of the members of the board of directors (or analogous body or bodies, including management boards and supervisory boards) of that body corporate;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voting rights exercisable at general meetings of the members of that body corporate on all, or substantially all, matters;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 w:type="dxa"/>
            <w:tcBorders/>
            <w:vAlign w:val="center"/>
          </w:tcPr>
          <w:p>
            <w:pPr>
              <w:pStyle w:val="TableContents"/>
              <w:bidi w:val="0"/>
              <w:spacing w:before="0" w:after="283"/>
              <w:jc w:val="left"/>
              <w:rPr>
                <w:caps w:val="false"/>
                <w:smallCaps w:val="false"/>
              </w:rPr>
            </w:pPr>
            <w:r>
              <w:rPr>
                <w:caps w:val="false"/>
                <w:smallCaps w:val="false"/>
              </w:rPr>
              <w:t> </w:t>
            </w:r>
          </w:p>
        </w:tc>
        <w:tc>
          <w:tcPr>
            <w:tcW w:w="981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9708" w:type="dxa"/>
        <w:jc w:val="left"/>
        <w:tblInd w:w="0" w:type="dxa"/>
        <w:tblLayout w:type="fixed"/>
        <w:tblCellMar>
          <w:top w:w="0" w:type="dxa"/>
          <w:left w:w="0" w:type="dxa"/>
          <w:bottom w:w="0" w:type="dxa"/>
          <w:right w:w="0" w:type="dxa"/>
        </w:tblCellMar>
      </w:tblPr>
      <w:tblGrid>
        <w:gridCol w:w="38"/>
        <w:gridCol w:w="245"/>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other person, the ownership of or the ability to direct a majority of the voting rights in that person,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Protection Laws</w:t>
      </w:r>
      <w:r>
        <w:rPr>
          <w:rFonts w:ascii="Times New Roman;Times;Serif" w:hAnsi="Times New Roman;Times;Serif"/>
          <w:b w:val="false"/>
          <w:i w:val="false"/>
          <w:caps w:val="false"/>
          <w:smallCaps w:val="false"/>
          <w:sz w:val="20"/>
        </w:rPr>
        <w:t>” means any Applicable Law which relates to data protection, privacy, or the collection, use, storage, transfer, disclosure or other processing of personal data (including, without limitation, the EU General Data Protection Regulation (Regulation (EU) 2016/679) and any national implementing legislation, the Singapore Personal Data Protection Act 2012 (as amended), and any other relevant foreign, federal or state privacy or data protection laws) and, where relevant, any binding decisions or regulatory requirements of data protection authorities;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Room</w:t>
      </w:r>
      <w:r>
        <w:rPr>
          <w:rFonts w:ascii="Times New Roman;Times;Serif" w:hAnsi="Times New Roman;Times;Serif"/>
          <w:b w:val="false"/>
          <w:i w:val="false"/>
          <w:caps w:val="false"/>
          <w:smallCaps w:val="false"/>
          <w:sz w:val="20"/>
        </w:rPr>
        <w:t>” means the data room comprising copies of documents and other information relating to the Business and the Group made available to the Purchaser at https://azureresulticks-my.sharepoint.com/personal/docs_resulticks_com/_layouts/15/onedrive.aspx?viewid=af4f9735%2Dc1ec%2D494e%2D8fb1%2D4b885e1c8197&amp;ct=1774861285663&amp;or=Teams%2DHL&amp;LOF=1, as itemised in the Data Room Index;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Room Index</w:t>
      </w:r>
      <w:r>
        <w:rPr>
          <w:rFonts w:ascii="Times New Roman;Times;Serif" w:hAnsi="Times New Roman;Times;Serif"/>
          <w:b w:val="false"/>
          <w:i w:val="false"/>
          <w:caps w:val="false"/>
          <w:smallCaps w:val="false"/>
          <w:sz w:val="20"/>
        </w:rPr>
        <w:t>” means an index of the Data Room which is attached as Appendix B of the Disclosure Letter;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Room Information</w:t>
      </w:r>
      <w:r>
        <w:rPr>
          <w:rFonts w:ascii="Times New Roman;Times;Serif" w:hAnsi="Times New Roman;Times;Serif"/>
          <w:b w:val="false"/>
          <w:i w:val="false"/>
          <w:caps w:val="false"/>
          <w:smallCaps w:val="false"/>
          <w:sz w:val="20"/>
        </w:rPr>
        <w:t>” means the contents of the Data Room on the date of this Agreement, a copy of which will be provided to the Purchaser within 5 Business Days from the date of this Agreement on a USB thumb drive;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Additional Investment</w:t>
      </w:r>
      <w:r>
        <w:rPr>
          <w:rFonts w:ascii="Times New Roman;Times;Serif" w:hAnsi="Times New Roman;Times;Serif"/>
          <w:b w:val="false"/>
          <w:i w:val="false"/>
          <w:caps w:val="false"/>
          <w:smallCaps w:val="false"/>
          <w:sz w:val="20"/>
        </w:rPr>
        <w:t>” means the investment(s) into the Purchaser in an amount not less than USD 20,000,000, and where the identity of the relevant investor(s) and the terms of such investment are reasonably satisfactory to the Parties;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Founder Warrant Agreement</w:t>
      </w:r>
      <w:r>
        <w:rPr>
          <w:rFonts w:ascii="Times New Roman;Times;Serif" w:hAnsi="Times New Roman;Times;Serif"/>
          <w:b w:val="false"/>
          <w:i w:val="false"/>
          <w:caps w:val="false"/>
          <w:smallCaps w:val="false"/>
          <w:sz w:val="20"/>
        </w:rPr>
        <w:t>” means the warrant issuance and cancellation deed dated 15 July 2024, as amended on 30 January 2026, entered into between the Purchaser, Diginex Solutions (HK) Limited and Rhino Ventures Limited;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Founder Warrants</w:t>
      </w:r>
      <w:r>
        <w:rPr>
          <w:rFonts w:ascii="Times New Roman;Times;Serif" w:hAnsi="Times New Roman;Times;Serif"/>
          <w:b w:val="false"/>
          <w:i w:val="false"/>
          <w:caps w:val="false"/>
          <w:smallCaps w:val="false"/>
          <w:sz w:val="20"/>
        </w:rPr>
        <w:t>” means the 4,170,520 warrants to purchase Diginex Shares at a subscription price of USD 6.13 per warrant (as may be adjusted in accordance with the terms of the Diginex Founder Warrant Agreement), granted by Diginex to Rhino Ventures Limited (as warrant holder) to purchase Diginex Shares pursuant to and on the terms of the Diginex Founder Warrant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Incentive Plan</w:t>
      </w:r>
      <w:r>
        <w:rPr>
          <w:rFonts w:ascii="Times New Roman;Times;Serif" w:hAnsi="Times New Roman;Times;Serif"/>
          <w:b w:val="false"/>
          <w:i w:val="false"/>
          <w:caps w:val="false"/>
          <w:smallCaps w:val="false"/>
          <w:sz w:val="20"/>
        </w:rPr>
        <w:t>” means the Diginex Limited 2024 Omnibus Incentive Plan established by the Purchaser pursuant to which key employees and/or consultants of the Purchaser’s Group may be granted share options to subscribe to the Diginex Shares, as may be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Shares</w:t>
      </w:r>
      <w:r>
        <w:rPr>
          <w:rFonts w:ascii="Times New Roman;Times;Serif" w:hAnsi="Times New Roman;Times;Serif"/>
          <w:b w:val="false"/>
          <w:i w:val="false"/>
          <w:caps w:val="false"/>
          <w:smallCaps w:val="false"/>
          <w:sz w:val="20"/>
        </w:rPr>
        <w:t>” means the ordinary shares of the Purchaser;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Disclosed</w:t>
      </w:r>
      <w:r>
        <w:rPr>
          <w:rFonts w:ascii="Times New Roman;Times;Serif" w:hAnsi="Times New Roman;Times;Serif"/>
          <w:b w:val="false"/>
          <w:i w:val="false"/>
          <w:caps w:val="false"/>
          <w:smallCaps w:val="false"/>
          <w:sz w:val="20"/>
        </w:rPr>
        <w:t>” means fairly disclosed in the Disclosed Information with such details to enable a reasonable purchaser to be aware of and identify the existence, nature, scope and impact of the relevant fact, matter or circumstance disclosed and to form a view thereon;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Disclosed Information</w:t>
      </w:r>
      <w:r>
        <w:rPr>
          <w:rFonts w:ascii="Times New Roman;Times;Serif" w:hAnsi="Times New Roman;Times;Serif"/>
          <w:b w:val="false"/>
          <w:i w:val="false"/>
          <w:caps w:val="false"/>
          <w:smallCaps w:val="false"/>
          <w:sz w:val="20"/>
        </w:rPr>
        <w:t>” means the Data Room Information and all information included in, or referred to in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Letter</w:t>
      </w:r>
      <w:r>
        <w:rPr>
          <w:rFonts w:ascii="Times New Roman;Times;Serif" w:hAnsi="Times New Roman;Times;Serif"/>
          <w:b w:val="false"/>
          <w:i w:val="false"/>
          <w:caps w:val="false"/>
          <w:smallCaps w:val="false"/>
          <w:sz w:val="20"/>
        </w:rPr>
        <w:t>” means the letter of the same date as this Agreement (including the contents of any schedule or appendix thereto) from the Sellers to the Purchaser containing general and specific disclosures against the Sellers’ Warranties;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Award SPV Seller</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DELPHAI TEAMS HOLDING PTE. LTD.</w:t>
      </w:r>
      <w:r>
        <w:rPr>
          <w:rFonts w:ascii="Times New Roman;Times;Serif" w:hAnsi="Times New Roman;Times;Serif"/>
          <w:b w:val="false"/>
          <w:i w:val="false"/>
          <w:caps w:val="false"/>
          <w:smallCaps w:val="false"/>
          <w:sz w:val="20"/>
        </w:rPr>
        <w:t>, a company incorporated under the laws of Singapore with company registration number 202625284D and having its registered office at 3 Temasek Avenue, #21-27, Centennial Tower, Singapore 039190, incorporated for the purposes of holding a portion of the Sale Shares in accordance with share awards to employees of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any pledge, charge, lien (other than a lien arising by operation of law in the ordinary course of trading), mortgage, debenture, hypothecation, security interest, pre-emption right or option, and “</w:t>
      </w:r>
      <w:r>
        <w:rPr>
          <w:rFonts w:ascii="Times New Roman;Times;Serif" w:hAnsi="Times New Roman;Times;Serif"/>
          <w:b/>
          <w:i w:val="false"/>
          <w:caps w:val="false"/>
          <w:smallCaps w:val="false"/>
          <w:sz w:val="20"/>
        </w:rPr>
        <w:t>Encumber</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w:t>
      </w:r>
      <w:r>
        <w:rPr>
          <w:rFonts w:ascii="Times New Roman;Times;Serif" w:hAnsi="Times New Roman;Times;Serif"/>
          <w:b w:val="false"/>
          <w:i w:val="false"/>
          <w:caps w:val="false"/>
          <w:smallCaps w:val="false"/>
          <w:sz w:val="20"/>
        </w:rPr>
        <w:t>” includes (without limitation), the expiry of a period of time, a Group Company becoming or ceasing to be associated with any other person for any Tax purpose or ceasing to be or becoming resident in any country for any Tax purpose, the death, winding up or dissolution of any person, the earning, receipt or accrual for any Tax purpose of any income, profit or gains, the incurring of any loss or expenditure, and any transaction, reorganisation, restructuring, event, act, or omission whatsoever (including the signing of this Agreement and Completion);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has the meaning given to it in paragraph 2.1 of Part 2 of Schedule 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Rate</w:t>
      </w:r>
      <w:r>
        <w:rPr>
          <w:rFonts w:ascii="Times New Roman;Times;Serif" w:hAnsi="Times New Roman;Times;Serif"/>
          <w:b w:val="false"/>
          <w:i w:val="false"/>
          <w:caps w:val="false"/>
          <w:smallCaps w:val="false"/>
          <w:sz w:val="20"/>
        </w:rPr>
        <w:t>” means, in respect of each amount that is to be converted from one currency into another currency, the mid-point spot rate of exchange for converting the first-mentioned currency into the other currency, displayed on the relevant page of Bloomberg on the relevant date or, if such exchange rate cannot be determined that particular day, the mid-point spot rate of exchange appearing on the relevant page of Bloomberg as at the close of business on the immediately preceding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Release Date</w:t>
      </w:r>
      <w:r>
        <w:rPr>
          <w:rFonts w:ascii="Times New Roman;Times;Serif" w:hAnsi="Times New Roman;Times;Serif"/>
          <w:b w:val="false"/>
          <w:i w:val="false"/>
          <w:caps w:val="false"/>
          <w:smallCaps w:val="false"/>
          <w:sz w:val="20"/>
        </w:rPr>
        <w:t>” means the calendar day falling immediately after the expiry of the distribution compliance period applicable to the Reg S Consideration Shares as contemplated by Regulation S under the Securities Act;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Founders</w:t>
      </w:r>
      <w:r>
        <w:rPr>
          <w:rFonts w:ascii="Times New Roman;Times;Serif" w:hAnsi="Times New Roman;Times;Serif"/>
          <w:b w:val="false"/>
          <w:i w:val="false"/>
          <w:caps w:val="false"/>
          <w:smallCaps w:val="false"/>
          <w:sz w:val="20"/>
        </w:rPr>
        <w:t>” means Radhika Sundaram and Rambacthavachalam Dhakshina Moorthy and each, a “</w:t>
      </w:r>
      <w:r>
        <w:rPr>
          <w:rFonts w:ascii="Times New Roman;Times;Serif" w:hAnsi="Times New Roman;Times;Serif"/>
          <w:b/>
          <w:i w:val="false"/>
          <w:caps w:val="false"/>
          <w:smallCaps w:val="false"/>
          <w:sz w:val="20"/>
        </w:rPr>
        <w:t>Founder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Fully Diluted Basis</w:t>
      </w:r>
      <w:r>
        <w:rPr>
          <w:rFonts w:ascii="Times New Roman;Times;Serif" w:hAnsi="Times New Roman;Times;Serif"/>
          <w:b w:val="false"/>
          <w:i w:val="false"/>
          <w:caps w:val="false"/>
          <w:smallCaps w:val="false"/>
          <w:sz w:val="20"/>
        </w:rPr>
        <w:t>” means a calculation assuming that all and any Diginex Shares, securities, rights, options, warrants or instruments (including debt instruments) that are convertible into or entitle the holder to acquire or receive any Diginex Shares or any options to purchase rights to subscribe for securities by their terms convertible into or exchangeable for Diginex Shares, or any other Diginex Shares with voting rights or economic rights, including any options issued (whether vested or unvested) or reserved for issuance under any share option plan or scheme by whatever name called of Diginex, existing at the time of determination have been exercised or converted into equity shares;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Warranty Claim</w:t>
      </w:r>
      <w:r>
        <w:rPr>
          <w:rFonts w:ascii="Times New Roman;Times;Serif" w:hAnsi="Times New Roman;Times;Serif"/>
          <w:b w:val="false"/>
          <w:i w:val="false"/>
          <w:caps w:val="false"/>
          <w:smallCaps w:val="false"/>
          <w:sz w:val="20"/>
        </w:rPr>
        <w:t>” means a Claim for breach of a Sellers’ Fundamental Warranty or a Purchaser’s Fundamental Warranty,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General Claim</w:t>
      </w:r>
      <w:r>
        <w:rPr>
          <w:rFonts w:ascii="Times New Roman;Times;Serif" w:hAnsi="Times New Roman;Times;Serif"/>
          <w:b w:val="false"/>
          <w:i w:val="false"/>
          <w:caps w:val="false"/>
          <w:smallCaps w:val="false"/>
          <w:sz w:val="20"/>
        </w:rPr>
        <w:t>” means a Claim other than a Fundamental Warranty Claim and a Tax Claim;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means (i) any official, officer, employee or representative of, or any person acting in an official capacity for or on behalf of, any Governmental Authority, (ii) any political party or party official or candidate for political office or (iii) any company, business, enterprise or other entity owned, in whole or in part, or controlled by any person or entity described in the foregoing (i) or (ii) of this definition;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supra-national, national, state, municipal or local government (including any sub-division, court, administrative agency or commission or other authority of any supra-national, national, state, municipal or local government) or any governmental or quasi-governmental or private body exercising any regulatory, taxing, importing or other governmental or quasi-governmental authority (including any tribunal, securities exchange, competition or antitrust authority, or supervisory body);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the group of companies comprising the Company and the Subsidiaries, and “</w:t>
      </w:r>
      <w:r>
        <w:rPr>
          <w:rFonts w:ascii="Times New Roman;Times;Serif" w:hAnsi="Times New Roman;Times;Serif"/>
          <w:b/>
          <w:i w:val="false"/>
          <w:caps w:val="false"/>
          <w:smallCaps w:val="false"/>
          <w:sz w:val="20"/>
        </w:rPr>
        <w:t>Group Company</w:t>
      </w:r>
      <w:r>
        <w:rPr>
          <w:rFonts w:ascii="Times New Roman;Times;Serif" w:hAnsi="Times New Roman;Times;Serif"/>
          <w:b w:val="false"/>
          <w:i w:val="false"/>
          <w:caps w:val="false"/>
          <w:smallCaps w:val="false"/>
          <w:sz w:val="20"/>
        </w:rPr>
        <w:t>” means any one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HMT</w:t>
      </w:r>
      <w:r>
        <w:rPr>
          <w:rFonts w:ascii="Times New Roman;Times;Serif" w:hAnsi="Times New Roman;Times;Serif"/>
          <w:b w:val="false"/>
          <w:i w:val="false"/>
          <w:caps w:val="false"/>
          <w:smallCaps w:val="false"/>
          <w:sz w:val="20"/>
        </w:rPr>
        <w:t>” means His Majesty’s Treasury;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the International Financial Reporting Standards issued by the International Accounting Standards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without duplication (but before taking account the consummation of the transactions contemplated hereby), (a) the unpaid principal amount and accrued interest in respect of (i) all indebtedness for borrowed money of the Group, (ii) indebtedness evidenced by notes, debentures, bonds or other similar instruments, and (iii) all obligations with respect to interest-rate hedging, swaps or similar financial arrangements (valued at the termination value thereof and net of all payments owed to the Group thereunder); (b) all obligations of the Group evidenced by any surety bonds, letters of credit or bankers’ acceptances or similar facilities; (c) all obligations under capitalized leases with respect to which any Group Company is liable, determined on a consolidated basis in accordance with SFRS; (d) all indebtedness created or arising under any conditional sale or other title retention agreement with respect to property acquired by the Group; and (e) all obligations of the type referred to in clauses (a) through (d) of other persons for the payment of which any Group Company is responsible or liable, as obligor, guarantor, surety or otherwise, including any guarantee of such obligations;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has the meaning given to it in paragraph 3.1 of Schedule 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has the meaning given to it in paragraph 3.1 of Schedule 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India Facilities Documents</w:t>
      </w:r>
      <w:r>
        <w:rPr>
          <w:rFonts w:ascii="Times New Roman;Times;Serif" w:hAnsi="Times New Roman;Times;Serif"/>
          <w:b w:val="false"/>
          <w:i w:val="false"/>
          <w:caps w:val="false"/>
          <w:smallCaps w:val="false"/>
          <w:sz w:val="20"/>
        </w:rPr>
        <w:t>” means: (a) the debenture trust deed dated 31 January 2025 entered into between Resulticks Edge Solution Technologies Private Limited and Catalyst Trusteeship Limited; (b) the debenture trust deed dated 19 February 2025 entered into between Resulticks Edge Solution Technologies Private Limited and Catalyst Trusteeship Limited; (c) the debenture trust deed dated 31 December 2022 entered into between Resulticks Digitals India Private Limited and Catalyst Trusteeship Limited; (d) the debenture trust deed dated 22 December 2022 entered into between Resulticks Digitals India Private Limited and Catalyst Trusteeship Limited; (e) the Anicut Investment Agreement; (f) the Anicut Share Subscription Agreement, and (g) all other related and/or ancillary agreements or documents entered into pursuant to or in connection with such trust deeds and/or agreements, in each case as may be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Listing Application</w:t>
      </w:r>
      <w:r>
        <w:rPr>
          <w:rFonts w:ascii="Times New Roman;Times;Serif" w:hAnsi="Times New Roman;Times;Serif"/>
          <w:b w:val="false"/>
          <w:i w:val="false"/>
          <w:caps w:val="false"/>
          <w:smallCaps w:val="false"/>
          <w:sz w:val="20"/>
        </w:rPr>
        <w:t>” means the initial listing application with Nasdaq in connection with the Transaction in accordance with Rule 5110 of the Nasdaq Rules;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Information Technology</w:t>
      </w:r>
      <w:r>
        <w:rPr>
          <w:rFonts w:ascii="Times New Roman;Times;Serif" w:hAnsi="Times New Roman;Times;Serif"/>
          <w:b w:val="false"/>
          <w:i w:val="false"/>
          <w:caps w:val="false"/>
          <w:smallCaps w:val="false"/>
          <w:sz w:val="20"/>
        </w:rPr>
        <w:t>” means computer systems, communication systems, software and hardware;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rights in and in relation to Confidential Information, trade marks, service marks, trade and business names, logos and get up (including any and all goodwill associated with or attached to any of the same), domain names, patents, inventions (whether or not patentable), registered designs, design rights, copyrights (including rights in software) and moral rights, database rights, semi-conductor topography rights, utility models and all rights or forms of protection having an equivalent or similar nature or effect anywhere in the world, whether enforceable, registered, unregistered or registrable (including, where applicable, all renewals, extensions and applications for registration) and the right to sue for damages for past and current infringement (including passing off and unfair competition) in respect of any of the same;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Ordinary Resolution</w:t>
      </w:r>
      <w:r>
        <w:rPr>
          <w:rFonts w:ascii="Times New Roman;Times;Serif" w:hAnsi="Times New Roman;Times;Serif"/>
          <w:b w:val="false"/>
          <w:i w:val="false"/>
          <w:caps w:val="false"/>
          <w:smallCaps w:val="false"/>
          <w:sz w:val="20"/>
        </w:rPr>
        <w:t>” means an ordinary resolution of members of the Purchaser, in the agreed form, passed in accordance with the rules and regulations of Nasdaq and the Purchaser’s memorandum and articles of association;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Ordinary Resolution Notice</w:t>
      </w:r>
      <w:r>
        <w:rPr>
          <w:rFonts w:ascii="Times New Roman;Times;Serif" w:hAnsi="Times New Roman;Times;Serif"/>
          <w:b w:val="false"/>
          <w:i w:val="false"/>
          <w:caps w:val="false"/>
          <w:smallCaps w:val="false"/>
          <w:sz w:val="20"/>
        </w:rPr>
        <w:t>” means the notice, in the agreed form, that the Purchaser will issue within five (5) Business Days to all members of the Purchaser that would be entitled to vote at a shareholder meeting to approve the Issuance Ordinary Resolution if it were otherwise approved at such a meeting in accordance with the Purchaser’s memorandum and articles of association;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Know-How</w:t>
      </w:r>
      <w:r>
        <w:rPr>
          <w:rFonts w:ascii="Times New Roman;Times;Serif" w:hAnsi="Times New Roman;Times;Serif"/>
          <w:b w:val="false"/>
          <w:i w:val="false"/>
          <w:caps w:val="false"/>
          <w:smallCaps w:val="false"/>
          <w:sz w:val="20"/>
        </w:rPr>
        <w:t>” means all confidential and proprietary information, data, or materials (whether or not protectable by intellectual property rights and whether or not reduced to writing) that is: (a) not in the public domain or not generally known or readily accessible to persons within the relevant industry; (b) substantial, specific, and identifiable in form or substance; and (c) developed, acquired or used by the Group or the Purchaser’s Group (as the case may be) in the course of its business activities, including (without limitation): (i) inventions, discoveries, improvements, trade secrets, techniques, processes, methods, specifications, formulations, designs, protocols, technical data, schematics, diagrams, software algorithms, source code, models, databases, and compilations of information; (ii) operational, commercial and marketing knowledge, strategies, plans, costings, pricing information, customer or supplier lists, sales and market analysis; and (iii) all other technical or business knowledge and expertise, in any form or medium, whether written, oral, electronic or otherwise;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Licensed Business IP</w:t>
      </w:r>
      <w:r>
        <w:rPr>
          <w:rFonts w:ascii="Times New Roman;Times;Serif" w:hAnsi="Times New Roman;Times;Serif"/>
          <w:b w:val="false"/>
          <w:i w:val="false"/>
          <w:caps w:val="false"/>
          <w:smallCaps w:val="false"/>
          <w:sz w:val="20"/>
        </w:rPr>
        <w:t>” means Business IP other than Owned Business IP;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has the meaning given to it in the Registration Rights and Lock-Up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Long Stop Date</w:t>
      </w:r>
      <w:r>
        <w:rPr>
          <w:rFonts w:ascii="Times New Roman;Times;Serif" w:hAnsi="Times New Roman;Times;Serif"/>
          <w:b w:val="false"/>
          <w:i w:val="false"/>
          <w:caps w:val="false"/>
          <w:smallCaps w:val="false"/>
          <w:sz w:val="20"/>
        </w:rPr>
        <w:t>” means 30th October 2026, or such other later date as may be agreed in writing between the Parties;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means all losses, liabilities, costs, damages, charges, expenses, penalties, interest, actions, proceedings, claims, damages, awards, judgments, Taxes, demands and expenses (including reasonable attorneys’ fees, costs and other reasonable out-of-pocket expenses incurred in investigating, preparing or defending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means each of the following contracts that a Group Company is party to or bound by: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pursuant to which the Group has a benefit or obligation with an aggregate contract value in excess of USD 10,000,000 per annum;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5163" w:type="dxa"/>
        <w:jc w:val="left"/>
        <w:tblInd w:w="0" w:type="dxa"/>
        <w:tblLayout w:type="fixed"/>
        <w:tblCellMar>
          <w:top w:w="0" w:type="dxa"/>
          <w:left w:w="0" w:type="dxa"/>
          <w:bottom w:w="0" w:type="dxa"/>
          <w:right w:w="0" w:type="dxa"/>
        </w:tblCellMar>
      </w:tblPr>
      <w:tblGrid>
        <w:gridCol w:w="38"/>
        <w:gridCol w:w="245"/>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with a Material Customer or Material Supplier;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requires a consent to or otherwise contains a provision relating to a “change of control,” or that would prohibit or delay the consummation of the transactions contemplated by the Transaction Documents;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for the purchase of any debt or equity security or other ownership interest of any person, or for the issuance of any debt or equity security or other ownership interest, or the conversion of any obligation, instrument or security into debt or equity securities or other ownership interests of, any Group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Customer</w:t>
      </w:r>
      <w:r>
        <w:rPr>
          <w:rFonts w:ascii="Times New Roman;Times;Serif" w:hAnsi="Times New Roman;Times;Serif"/>
          <w:b w:val="false"/>
          <w:i w:val="false"/>
          <w:caps w:val="false"/>
          <w:smallCaps w:val="false"/>
          <w:sz w:val="20"/>
        </w:rPr>
        <w:t>” means top ten largest customers of the Group taken as a whole (based on the total amount of revenues from such customer) for the 12-month period ending 31 December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Supplier</w:t>
      </w:r>
      <w:r>
        <w:rPr>
          <w:rFonts w:ascii="Times New Roman;Times;Serif" w:hAnsi="Times New Roman;Times;Serif"/>
          <w:b w:val="false"/>
          <w:i w:val="false"/>
          <w:caps w:val="false"/>
          <w:smallCaps w:val="false"/>
          <w:sz w:val="20"/>
        </w:rPr>
        <w:t>” means top ten largest service providers to the Group (other than in respect of the Transaction) based on purchase volume in the 12-month period ending 31 December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Matter Dispute</w:t>
      </w:r>
      <w:r>
        <w:rPr>
          <w:rFonts w:ascii="Times New Roman;Times;Serif" w:hAnsi="Times New Roman;Times;Serif"/>
          <w:b w:val="false"/>
          <w:i w:val="false"/>
          <w:caps w:val="false"/>
          <w:smallCaps w:val="false"/>
          <w:sz w:val="20"/>
        </w:rPr>
        <w:t>” means the claim by SG Analytics Private Limited against Matter DK ApS in the amount of approximately USD 185,000 for certain work done;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Investors</w:t>
      </w:r>
      <w:r>
        <w:rPr>
          <w:rFonts w:ascii="Times New Roman;Times;Serif" w:hAnsi="Times New Roman;Times;Serif"/>
          <w:b w:val="false"/>
          <w:i w:val="false"/>
          <w:caps w:val="false"/>
          <w:smallCaps w:val="false"/>
          <w:sz w:val="20"/>
        </w:rPr>
        <w:t>” has the meaning given to it in Clause 4.1(g);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has the meaning given to it in Clause 28;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means the ordinary shares in the capital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SPA</w:t>
      </w:r>
      <w:r>
        <w:rPr>
          <w:rFonts w:ascii="Times New Roman;Times;Serif" w:hAnsi="Times New Roman;Times;Serif"/>
          <w:b w:val="false"/>
          <w:i w:val="false"/>
          <w:caps w:val="false"/>
          <w:smallCaps w:val="false"/>
          <w:sz w:val="20"/>
        </w:rPr>
        <w:t>” has the meaning given to it in Recital B;</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Matters</w:t>
      </w:r>
      <w:r>
        <w:rPr>
          <w:rFonts w:ascii="Times New Roman;Times;Serif" w:hAnsi="Times New Roman;Times;Serif"/>
          <w:b w:val="false"/>
          <w:i w:val="false"/>
          <w:caps w:val="false"/>
          <w:smallCaps w:val="false"/>
          <w:sz w:val="20"/>
        </w:rPr>
        <w:t>” means the following matters which have occurred prior to Completion: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proceedings named “Patrick Shane Johnson, Jack Pena, and Hitesh Dev, Individually and on Behalf of All Others similarly situated v. Issuer Defendants: Syla Technologies Co., Ltd.; Hitek Global Inc.; Millennium Group International Holdings Ltd; Vci Global Ltd.; et. al., the Underwriter Defendants: Boustead Securities, LLC; Sutter Securities Incorporated; Revere Securities LLC; et. al. and the Individual Defendants: Keith Charles Moore; Lincoln Joseph Smith Jr; William Francis Moreno; et. al.”, which is pending in the Supreme Court of the State of New York, County of New York with Assigned Index No. 153671/2026 and filed on March 24,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proceedings named “Leyber Gabriel Briones, Md Uzzal, Hossain, Stephen Johnson, Kiki Katsis, and Ghislan Dallaire Kounga, Individually and on Behalf of All Others similarly situated v. Issuer Defendants: Syla Technologies Co., Ltd.; Hitek Global Inc.; Millenium Group International Holdings Ltd; et. al., the Underwriter Defendants: Boustead Securities, LLC; Sutter Securities Incorporated; Revere Securities LLC; et. al. and the Individual Defendants: Keith Charles Moore; Lincoln Joseph Smith Jr; William Francis Moreno; Henry Hackel; Barry Michael Kiront; et. al.”, which is pending in the Supreme Court of the State of New York, County of New York with Assigned Index No. 154747/2026 and filed on April 13, 2026 (the “Briones Action”);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proceedings named “Daymond Morales, Eliza Gratzer, Osama Shoair, Brant Francher, Oliver Berroa, Tristan Filion, Adam Laurin, James Bonci, Anne Noack, Val Zavidnoy, Romil Jain, Yelena Kudevitsky, Sohag Das, Humberto Uscanga Jr., Curtis Sindorf, Steve Chovan, David Irugu, Hossam Abdalla, Paul Gluard, Stefan Lee, Oliver Charnock, Michael Mart, Navaneeth Kutti, Joseph Troy Nelson, Joel S. Gleason, Tzucheng Chang, Seyon Washington, Individually and on Behalf of All Others similarly situated v. Issuer Defendants: Hitek Global Inc.;Vci Global Ltd.; Wang &amp; Lee Group Inc; Turbo Energy SA; Signing Day Sports Inc.; et. al., the Underwriter Defendants: Boustead Securities, LLC; Sutter Securities Incorporated; Revere Securities LLC; et. al. and the Individual Defendants: Keith Charles Moore; Lincoln Joseph Smith Jr; William Francis Moreno; et. al.”, which is pending in the Supreme Court of the State of New York, County of New York with Assigned Index No. 159271/2026 and filed on July 23,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matter disclosed by the Purchaser in its Form 20-F as at 13 August 2026, which is specifically reproduced below:</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Prior to our acquisition of Plan A, approximately 46 Plan A employees (the “Recipients”) had become entitled, under arrangements established by Plan A before completion, to payments in the aggregate amount of €2.6 million (the “Payments”). Under the terms of the Plan A acquisition agreement, the Payments were funded by Plan A’s selling shareholders, and for that purpose 320,020 Ordinary Shares (40,002 Ordinary Shares following the Share Consolidation) forming part of the sellers’ consideration were issued at completion to an entity designated by the principal selling shareholder, which holds them for the benefit of the Recipients. In light of changes in the market price of our Ordinary Shares since completion, differing interpretations may exist amongst the Recipients as to the form, terms and value of the Payments. No claims have been asserted as of the date of this Form 20-F. If claims were asserted in connection with the Payments against Plan A, we could incur costs (including legal and settlement) in connection with resolving such claims, and our relationship with the Recipients and employee retention at Plan A could be adversely affected.</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ongoing investigation purported to be conducted by The Schall Law Firm alleging certain unspecified claims against the Purchaser for violation of securities laws;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ongoing investigation purported to be conducted by Rosen Law Firm alleging certain unspecified claims against the Purchaser for violation of securities laws;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 IPO Warrants</w:t>
      </w:r>
      <w:r>
        <w:rPr>
          <w:rFonts w:ascii="Times New Roman;Times;Serif" w:hAnsi="Times New Roman;Times;Serif"/>
          <w:b w:val="false"/>
          <w:i w:val="false"/>
          <w:caps w:val="false"/>
          <w:smallCaps w:val="false"/>
          <w:sz w:val="20"/>
        </w:rPr>
        <w:t>” means, collectively, all of the outstanding warrants to purchase Diginex Shares issued by the Purchaser to Rhino Ventures Limited in connection with the initial public offering of the Purchaser, including:</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8.24 per Diginex Share, which expire on 23 April 2028, pursuant to a warrant instrument dated 23 January 2025 issued by the Purchaser;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10.24 per Diginex Share, which expire on 23 July 2028, pursuant to a warrant instrument dated 23 January 2025 issued by the Purchaser;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12.32 per Diginex Share, which expire on 23 January 2029, pursuant to a warrant instrument dated 23 January 2025 issued by the Purchaser,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Outstanding IPO Warrant Agreements</w:t>
      </w:r>
      <w:r>
        <w:rPr>
          <w:rFonts w:ascii="Times New Roman;Times;Serif" w:hAnsi="Times New Roman;Times;Serif"/>
          <w:b w:val="false"/>
          <w:i w:val="false"/>
          <w:caps w:val="false"/>
          <w:smallCaps w:val="false"/>
          <w:sz w:val="20"/>
        </w:rPr>
        <w:t>” shall mean the warrant instruments referred to in (a) to (c) above;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Owned Business IP</w:t>
      </w:r>
      <w:r>
        <w:rPr>
          <w:rFonts w:ascii="Times New Roman;Times;Serif" w:hAnsi="Times New Roman;Times;Serif"/>
          <w:b w:val="false"/>
          <w:i w:val="false"/>
          <w:caps w:val="false"/>
          <w:smallCaps w:val="false"/>
          <w:sz w:val="20"/>
        </w:rPr>
        <w:t>” means Business IP which is owned by any Group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Debt Refinancing</w:t>
      </w:r>
      <w:r>
        <w:rPr>
          <w:rFonts w:ascii="Times New Roman;Times;Serif" w:hAnsi="Times New Roman;Times;Serif"/>
          <w:b w:val="false"/>
          <w:i w:val="false"/>
          <w:caps w:val="false"/>
          <w:smallCaps w:val="false"/>
          <w:sz w:val="20"/>
        </w:rPr>
        <w:t>” means any refinancing of all or part of the loan facilities granted by Anicut and Catalyst Trusteeship Limited in accordance with the terms of the India Facilities Documents, prior to Completion;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Equity Financing</w:t>
      </w:r>
      <w:r>
        <w:rPr>
          <w:rFonts w:ascii="Times New Roman;Times;Serif" w:hAnsi="Times New Roman;Times;Serif"/>
          <w:b w:val="false"/>
          <w:i w:val="false"/>
          <w:caps w:val="false"/>
          <w:smallCaps w:val="false"/>
          <w:sz w:val="20"/>
        </w:rPr>
        <w:t>” means a bona fide transaction or series of transactions with the principal purpose of raising capital, pursuant to which the Company issues Ordinary Shares and/or Preference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any information relating to an identified or identifiable natural person that is processed by or on behalf of any Group Company (whether recorded automatically or manually), including any such information that identifies or can be linked, directly or indirectly, to that person (such as name, address, location data, online identifiers, account identifiers, employment data, customer data, biometric or other sensitive data) but excluding information which has been irreversibly anonymised;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Potential M&amp;A</w:t>
      </w:r>
      <w:r>
        <w:rPr>
          <w:rFonts w:ascii="Times New Roman;Times;Serif" w:hAnsi="Times New Roman;Times;Serif"/>
          <w:b w:val="false"/>
          <w:i w:val="false"/>
          <w:caps w:val="false"/>
          <w:smallCaps w:val="false"/>
          <w:sz w:val="20"/>
        </w:rPr>
        <w:t>” has the meaning given to it in Clause 6.1(c);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Preference Shares</w:t>
      </w:r>
      <w:r>
        <w:rPr>
          <w:rFonts w:ascii="Times New Roman;Times;Serif" w:hAnsi="Times New Roman;Times;Serif"/>
          <w:b w:val="false"/>
          <w:i w:val="false"/>
          <w:caps w:val="false"/>
          <w:smallCaps w:val="false"/>
          <w:sz w:val="20"/>
        </w:rPr>
        <w:t>” means the preference shares in the capital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means the land and premises particulars of which are set out in Schedule 11;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Indemnitees</w:t>
      </w:r>
      <w:r>
        <w:rPr>
          <w:rFonts w:ascii="Times New Roman;Times;Serif" w:hAnsi="Times New Roman;Times;Serif"/>
          <w:b w:val="false"/>
          <w:i w:val="false"/>
          <w:caps w:val="false"/>
          <w:smallCaps w:val="false"/>
          <w:sz w:val="20"/>
        </w:rPr>
        <w:t>” has the meaning given in Clause 13.2;</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Material Adverse Change</w:t>
      </w:r>
      <w:r>
        <w:rPr>
          <w:rFonts w:ascii="Times New Roman;Times;Serif" w:hAnsi="Times New Roman;Times;Serif"/>
          <w:b w:val="false"/>
          <w:i w:val="false"/>
          <w:caps w:val="false"/>
          <w:smallCaps w:val="false"/>
          <w:sz w:val="20"/>
        </w:rPr>
        <w:t>”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change, circumstance or effect which results in a net decrease of 30% or more in the consolidated gross revenue of the Purchaser’s Group (taken as a whole) for the 12-month period ending on the date of this Agreement, provided that any such decrease resulting from any of the following shall be excluded in determining whether a Purchaser Material Adverse Change has occurred: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408" w:type="dxa"/>
        <w:jc w:val="left"/>
        <w:tblInd w:w="0" w:type="dxa"/>
        <w:tblLayout w:type="fixed"/>
        <w:tblCellMar>
          <w:top w:w="0" w:type="dxa"/>
          <w:left w:w="0" w:type="dxa"/>
          <w:bottom w:w="0" w:type="dxa"/>
          <w:right w:w="0" w:type="dxa"/>
        </w:tblCellMar>
      </w:tblPr>
      <w:tblGrid>
        <w:gridCol w:w="38"/>
        <w:gridCol w:w="20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outbreak or escalation of war or major hostilities or any act of terrorism;</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financial markets or general economic, regulatory or political conditions in the jurisdictions in which the Purchaser’s Group operates;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 w:type="dxa"/>
            <w:tcBorders/>
            <w:vAlign w:val="center"/>
          </w:tcPr>
          <w:p>
            <w:pPr>
              <w:pStyle w:val="TableContents"/>
              <w:bidi w:val="0"/>
              <w:spacing w:before="0" w:after="283"/>
              <w:jc w:val="left"/>
              <w:rPr>
                <w:caps w:val="false"/>
                <w:smallCaps w:val="false"/>
              </w:rPr>
            </w:pPr>
            <w:r>
              <w:rPr>
                <w:caps w:val="false"/>
                <w:smallCaps w:val="false"/>
              </w:rPr>
              <w:t> </w:t>
            </w:r>
          </w:p>
        </w:tc>
        <w:tc>
          <w:tcPr>
            <w:tcW w:w="988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815" w:type="dxa"/>
        <w:jc w:val="left"/>
        <w:tblInd w:w="0" w:type="dxa"/>
        <w:tblLayout w:type="fixed"/>
        <w:tblCellMar>
          <w:top w:w="0" w:type="dxa"/>
          <w:left w:w="0" w:type="dxa"/>
          <w:bottom w:w="0" w:type="dxa"/>
          <w:right w:w="0" w:type="dxa"/>
        </w:tblCellMar>
      </w:tblPr>
      <w:tblGrid>
        <w:gridCol w:w="75"/>
        <w:gridCol w:w="320"/>
        <w:gridCol w:w="8420"/>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that generally affect the industry(ies) or market(s) in which the Purchaser’s Group operates;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842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3685" w:type="dxa"/>
        <w:jc w:val="left"/>
        <w:tblInd w:w="0" w:type="dxa"/>
        <w:tblLayout w:type="fixed"/>
        <w:tblCellMar>
          <w:top w:w="0" w:type="dxa"/>
          <w:left w:w="0" w:type="dxa"/>
          <w:bottom w:w="0" w:type="dxa"/>
          <w:right w:w="0" w:type="dxa"/>
        </w:tblCellMar>
      </w:tblPr>
      <w:tblGrid>
        <w:gridCol w:w="75"/>
        <w:gridCol w:w="305"/>
        <w:gridCol w:w="3305"/>
      </w:tblGrid>
      <w:tr>
        <w:trPr/>
        <w:tc>
          <w:tcPr>
            <w:tcW w:w="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3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IFRS or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330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of the Purchaser’s Group to meet any published or internally prepared projections, budgets, plans or forecasts of revenues, earnings, or other financial performance measures or operating statistics;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force of the Transaction Documents or any transaction contemplated thereunder, or the public announcement or other publicity related to the Transaction Documents and/or any such transaction;</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case of paragraphs (ii) and (iii), to the extent such event, change, circumstance or effect has a disproportionate effect on a Group Company (as compared with business operating in the industry(ies) in which the Purchaser’s Group operates); or</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change, circumstance, effect or other matter that has, or would reasonably be expected to have, either individually or in the aggregate with all other events, changes, circumstances, effects or other matters, a material adverse effect on the ability of the Purchaser to consummate the Transaction;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Shareholder Approval</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sz w:val="20"/>
          <w:shd w:fill="FFFFFF" w:val="clear"/>
        </w:rPr>
        <w:t xml:space="preserve">approval of the issuance by the Purchaser of the Consideration Shares by the affirmative vote of a majority of the members of the Purchaser entitled vote thereon pursuant to an ordinary resolution in writing, in the agreed form, without holding a meeting in accordance with the rules and regulations of Nasdaq and the constitutional documents of Purchaser;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Business IP</w:t>
      </w:r>
      <w:r>
        <w:rPr>
          <w:rFonts w:ascii="Times New Roman;Times;Serif" w:hAnsi="Times New Roman;Times;Serif"/>
          <w:b w:val="false"/>
          <w:i w:val="false"/>
          <w:caps w:val="false"/>
          <w:smallCaps w:val="false"/>
          <w:sz w:val="20"/>
        </w:rPr>
        <w:t>” means all Intellectual Property which has in the last three years been used primarily in or in connection with the business of any Purchaser’s Group Company and which is material to the business of the Purchaser’s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Business IT</w:t>
      </w:r>
      <w:r>
        <w:rPr>
          <w:rFonts w:ascii="Times New Roman;Times;Serif" w:hAnsi="Times New Roman;Times;Serif"/>
          <w:b w:val="false"/>
          <w:i w:val="false"/>
          <w:caps w:val="false"/>
          <w:smallCaps w:val="false"/>
          <w:sz w:val="20"/>
        </w:rPr>
        <w:t>” means all Information Technology which has in the last three years been used primarily in connection with the business of any Purchaser’s Group Company and which is material to the business of the Purchaser’s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Licensed Business IP</w:t>
      </w:r>
      <w:r>
        <w:rPr>
          <w:rFonts w:ascii="Times New Roman;Times;Serif" w:hAnsi="Times New Roman;Times;Serif"/>
          <w:b w:val="false"/>
          <w:i w:val="false"/>
          <w:caps w:val="false"/>
          <w:smallCaps w:val="false"/>
          <w:sz w:val="20"/>
        </w:rPr>
        <w:t>” means Purchaser’s Business IP other than Purchaser’s Owned Business IP;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Owned Business IP</w:t>
      </w:r>
      <w:r>
        <w:rPr>
          <w:rFonts w:ascii="Times New Roman;Times;Serif" w:hAnsi="Times New Roman;Times;Serif"/>
          <w:b w:val="false"/>
          <w:i w:val="false"/>
          <w:caps w:val="false"/>
          <w:smallCaps w:val="false"/>
          <w:sz w:val="20"/>
        </w:rPr>
        <w:t>” means Purchaser’s Business IP which is owned by any Purchaser’s Group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Fundamental Warranties</w:t>
      </w:r>
      <w:r>
        <w:rPr>
          <w:rFonts w:ascii="Times New Roman;Times;Serif" w:hAnsi="Times New Roman;Times;Serif"/>
          <w:b w:val="false"/>
          <w:i w:val="false"/>
          <w:caps w:val="false"/>
          <w:smallCaps w:val="false"/>
          <w:sz w:val="20"/>
        </w:rPr>
        <w:t>” means the Purchaser’s Warranties set out in Part 1 of Schedule 6, and “</w:t>
      </w:r>
      <w:r>
        <w:rPr>
          <w:rFonts w:ascii="Times New Roman;Times;Serif" w:hAnsi="Times New Roman;Times;Serif"/>
          <w:b/>
          <w:i w:val="false"/>
          <w:caps w:val="false"/>
          <w:smallCaps w:val="false"/>
          <w:sz w:val="20"/>
        </w:rPr>
        <w:t>Purchaser’s Fundamental Warranty</w:t>
      </w:r>
      <w:r>
        <w:rPr>
          <w:rFonts w:ascii="Times New Roman;Times;Serif" w:hAnsi="Times New Roman;Times;Serif"/>
          <w:b w:val="false"/>
          <w:i w:val="false"/>
          <w:caps w:val="false"/>
          <w:smallCaps w:val="false"/>
          <w:sz w:val="20"/>
        </w:rPr>
        <w:t>” means any one of them as the context requires;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Group</w:t>
      </w:r>
      <w:r>
        <w:rPr>
          <w:rFonts w:ascii="Times New Roman;Times;Serif" w:hAnsi="Times New Roman;Times;Serif"/>
          <w:b w:val="false"/>
          <w:i w:val="false"/>
          <w:caps w:val="false"/>
          <w:smallCaps w:val="false"/>
          <w:sz w:val="20"/>
        </w:rPr>
        <w:t>” means the group of companies comprising the Purchaser and its subsidiaries from time to time (and including, after Completion, the Group), and “</w:t>
      </w:r>
      <w:r>
        <w:rPr>
          <w:rFonts w:ascii="Times New Roman;Times;Serif" w:hAnsi="Times New Roman;Times;Serif"/>
          <w:b/>
          <w:i w:val="false"/>
          <w:caps w:val="false"/>
          <w:smallCaps w:val="false"/>
          <w:sz w:val="20"/>
        </w:rPr>
        <w:t>Purchaser’s Group Company</w:t>
      </w:r>
      <w:r>
        <w:rPr>
          <w:rFonts w:ascii="Times New Roman;Times;Serif" w:hAnsi="Times New Roman;Times;Serif"/>
          <w:b w:val="false"/>
          <w:i w:val="false"/>
          <w:caps w:val="false"/>
          <w:smallCaps w:val="false"/>
          <w:sz w:val="20"/>
        </w:rPr>
        <w:t>” means any one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Warranties</w:t>
      </w:r>
      <w:r>
        <w:rPr>
          <w:rFonts w:ascii="Times New Roman;Times;Serif" w:hAnsi="Times New Roman;Times;Serif"/>
          <w:b w:val="false"/>
          <w:i w:val="false"/>
          <w:caps w:val="false"/>
          <w:smallCaps w:val="false"/>
          <w:sz w:val="20"/>
        </w:rPr>
        <w:t>” means the warranties referred to in Clause 11 and set out in Schedule 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 S Consideration Shares</w:t>
      </w:r>
      <w:r>
        <w:rPr>
          <w:rFonts w:ascii="Times New Roman;Times;Serif" w:hAnsi="Times New Roman;Times;Serif"/>
          <w:b w:val="false"/>
          <w:i w:val="false"/>
          <w:caps w:val="false"/>
          <w:smallCaps w:val="false"/>
          <w:sz w:val="20"/>
        </w:rPr>
        <w:t>” means Consideration Shares offered and sold by the Purchaser to certain of the Sellers pursuant to and in accordance with Regulation 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Rights and Lock-Up Agreement</w:t>
      </w:r>
      <w:r>
        <w:rPr>
          <w:rFonts w:ascii="Times New Roman;Times;Serif" w:hAnsi="Times New Roman;Times;Serif"/>
          <w:b w:val="false"/>
          <w:i w:val="false"/>
          <w:caps w:val="false"/>
          <w:smallCaps w:val="false"/>
          <w:sz w:val="20"/>
        </w:rPr>
        <w:t xml:space="preserve">” means the registration rights and lock-up agreement in the form set out in Schedule 8; </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9</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Accounting Standards</w:t>
      </w:r>
      <w:r>
        <w:rPr>
          <w:rFonts w:ascii="Times New Roman;Times;Serif" w:hAnsi="Times New Roman;Times;Serif"/>
          <w:b w:val="false"/>
          <w:i w:val="false"/>
          <w:caps w:val="false"/>
          <w:smallCaps w:val="false"/>
          <w:sz w:val="20"/>
        </w:rPr>
        <w:t>” has the meaning given to it in paragraph 2.1 of Part 2 of Schedule 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Proportion</w:t>
      </w:r>
      <w:r>
        <w:rPr>
          <w:rFonts w:ascii="Times New Roman;Times;Serif" w:hAnsi="Times New Roman;Times;Serif"/>
          <w:b w:val="false"/>
          <w:i w:val="false"/>
          <w:caps w:val="false"/>
          <w:smallCaps w:val="false"/>
          <w:sz w:val="20"/>
        </w:rPr>
        <w:t>” means, in respect of each Seller, the percentage set out against such Seller’s name in column (3) of Part 1 of Schedule 1 (as may be adjusted for New Investors that accede to this Agreement pursuant to Clause 4.1(g));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Records</w:t>
      </w:r>
      <w:r>
        <w:rPr>
          <w:rFonts w:ascii="Times New Roman;Times;Serif" w:hAnsi="Times New Roman;Times;Serif"/>
          <w:b w:val="false"/>
          <w:i w:val="false"/>
          <w:caps w:val="false"/>
          <w:smallCaps w:val="false"/>
          <w:sz w:val="20"/>
        </w:rPr>
        <w:t>” has the meaning given to it in paragraph 18 of Schedule 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Security Arrangement Steps</w:t>
      </w:r>
      <w:r>
        <w:rPr>
          <w:rFonts w:ascii="Times New Roman;Times;Serif" w:hAnsi="Times New Roman;Times;Serif"/>
          <w:b w:val="false"/>
          <w:i w:val="false"/>
          <w:caps w:val="false"/>
          <w:smallCaps w:val="false"/>
          <w:sz w:val="20"/>
        </w:rPr>
        <w:t>” means collectively:</w:t>
      </w:r>
    </w:p>
    <w:p>
      <w:pPr>
        <w:pStyle w:val="TextBody"/>
        <w:bidi w:val="0"/>
        <w:spacing w:before="0" w:after="0"/>
        <w:ind w:left="720" w:right="0" w:hanging="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30"/>
        <w:gridCol w:w="674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allotment and issuance of 40,000,000 Diginex Shares by the Purchaser to RVL;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of such 40,000,000 Diginex Shares by the Purchaser from RVL, effective immediately upon the allotment and issuance of such Diginex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02"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of all such Diginex Shares by the Purchaser as treasury shares (the “</w:t>
            </w:r>
            <w:r>
              <w:rPr>
                <w:rFonts w:ascii="Times New Roman;Times;Serif" w:hAnsi="Times New Roman;Times;Serif"/>
                <w:b/>
                <w:i w:val="false"/>
                <w:caps w:val="false"/>
                <w:smallCaps w:val="false"/>
                <w:sz w:val="20"/>
              </w:rPr>
              <w:t>Relevant Treasury Shares</w:t>
            </w:r>
            <w:r>
              <w:rPr>
                <w:rFonts w:ascii="Times New Roman;Times;Serif" w:hAnsi="Times New Roman;Times;Serif"/>
                <w:b w:val="false"/>
                <w:i w:val="false"/>
                <w:caps w:val="false"/>
                <w:smallCaps w:val="false"/>
                <w:sz w:val="20"/>
              </w:rPr>
              <w:t>”) upon such repurchase,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without any physical transfer of cash and in accordance with the terms of the Relevant Subscription and Buyback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Subscription and Buyback Agreement</w:t>
      </w:r>
      <w:r>
        <w:rPr>
          <w:rFonts w:ascii="Times New Roman;Times;Serif" w:hAnsi="Times New Roman;Times;Serif"/>
          <w:b w:val="false"/>
          <w:i w:val="false"/>
          <w:caps w:val="false"/>
          <w:smallCaps w:val="false"/>
          <w:sz w:val="20"/>
        </w:rPr>
        <w:t>” means a subscription and buyback agreement in relation to the Relevant Security Arrangement Steps to be entered into between the Purchaser and such nominated person(s), in the agreed form;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Treasury Shares</w:t>
      </w:r>
      <w:r>
        <w:rPr>
          <w:rFonts w:ascii="Times New Roman;Times;Serif" w:hAnsi="Times New Roman;Times;Serif"/>
          <w:b w:val="false"/>
          <w:i w:val="false"/>
          <w:caps w:val="false"/>
          <w:smallCaps w:val="false"/>
          <w:sz w:val="20"/>
        </w:rPr>
        <w:t>” has the meaning given to it in the definition of “</w:t>
      </w:r>
      <w:r>
        <w:rPr>
          <w:rFonts w:ascii="Times New Roman;Times;Serif" w:hAnsi="Times New Roman;Times;Serif"/>
          <w:b/>
          <w:i w:val="false"/>
          <w:caps w:val="false"/>
          <w:smallCaps w:val="false"/>
          <w:sz w:val="20"/>
        </w:rPr>
        <w:t>Relevant Security Arrangement Steps</w:t>
      </w:r>
      <w:r>
        <w:rPr>
          <w:rFonts w:ascii="Times New Roman;Times;Serif" w:hAnsi="Times New Roman;Times;Serif"/>
          <w:b w:val="false"/>
          <w:i w:val="false"/>
          <w:caps w:val="false"/>
          <w:smallCaps w:val="false"/>
          <w:sz w:val="20"/>
        </w:rPr>
        <w:t>” in this Clause 1.1;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Resigning Directors</w:t>
      </w:r>
      <w:r>
        <w:rPr>
          <w:rFonts w:ascii="Times New Roman;Times;Serif" w:hAnsi="Times New Roman;Times;Serif"/>
          <w:b w:val="false"/>
          <w:i w:val="false"/>
          <w:caps w:val="false"/>
          <w:smallCaps w:val="false"/>
          <w:sz w:val="20"/>
        </w:rPr>
        <w:t>” means Noor Mohamed Farooq, Athanasios Charlaftis, Giandeo Pittea and Roger Michael Jupp;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Party</w:t>
      </w:r>
      <w:r>
        <w:rPr>
          <w:rFonts w:ascii="Times New Roman;Times;Serif" w:hAnsi="Times New Roman;Times;Serif"/>
          <w:b w:val="false"/>
          <w:i w:val="false"/>
          <w:caps w:val="false"/>
          <w:smallCaps w:val="false"/>
          <w:sz w:val="20"/>
        </w:rPr>
        <w:t>” means a person that is: (i) listed on, or owned or controlled by a person listed on, or acting on behalf of a person listed on, any Sanctions List; (ii) located in, incorporated under the laws of, or Controlled by a person located in or organised under the laws of, a country or territory that is the target of Sanctions (“</w:t>
      </w:r>
      <w:r>
        <w:rPr>
          <w:rFonts w:ascii="Times New Roman;Times;Serif" w:hAnsi="Times New Roman;Times;Serif"/>
          <w:b/>
          <w:i w:val="false"/>
          <w:caps w:val="false"/>
          <w:smallCaps w:val="false"/>
          <w:sz w:val="20"/>
        </w:rPr>
        <w:t>target of Sanctions</w:t>
      </w:r>
      <w:r>
        <w:rPr>
          <w:rFonts w:ascii="Times New Roman;Times;Serif" w:hAnsi="Times New Roman;Times;Serif"/>
          <w:b w:val="false"/>
          <w:i w:val="false"/>
          <w:caps w:val="false"/>
          <w:smallCaps w:val="false"/>
          <w:sz w:val="20"/>
        </w:rPr>
        <w:t>” signifying a person with whom a US person or other national of a Sanctions Authority would be prohibited or restricted by law from engaging in trade, business or other activities);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Resulticks Additional Investment</w:t>
      </w:r>
      <w:r>
        <w:rPr>
          <w:rFonts w:ascii="Times New Roman;Times;Serif" w:hAnsi="Times New Roman;Times;Serif"/>
          <w:b w:val="false"/>
          <w:i w:val="false"/>
          <w:caps w:val="false"/>
          <w:smallCaps w:val="false"/>
          <w:sz w:val="20"/>
        </w:rPr>
        <w:t>” means (a) any investment into the Company that is to be converted into new Diginex Shares to be issued by the Purchaser, and/or (b) any commitment received by the Company for the subscription of new Diginex Shares to be issued by the Purchaser, in each case on or immediately following Completion, outside of the Consideration Shares, in an aggregate amount not less than USD 50,000,000, and where the identity of the relevant investor(s) and the terms of such investment are reasonably satisfactory to the Parties;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Resulticks Shareholders Agreement</w:t>
      </w:r>
      <w:r>
        <w:rPr>
          <w:rFonts w:ascii="Times New Roman;Times;Serif" w:hAnsi="Times New Roman;Times;Serif"/>
          <w:b w:val="false"/>
          <w:i w:val="false"/>
          <w:caps w:val="false"/>
          <w:smallCaps w:val="false"/>
          <w:sz w:val="20"/>
        </w:rPr>
        <w:t>” means the shareholders’ agreement dated 31 May 2022 in relation to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RVL</w:t>
      </w:r>
      <w:r>
        <w:rPr>
          <w:rFonts w:ascii="Times New Roman;Times;Serif" w:hAnsi="Times New Roman;Times;Serif"/>
          <w:b w:val="false"/>
          <w:i w:val="false"/>
          <w:caps w:val="false"/>
          <w:smallCaps w:val="false"/>
          <w:sz w:val="20"/>
        </w:rPr>
        <w:t>” means Rhino Ventures Limited, a company incorporated under the laws of the Cayman Islands with company registration number 984500497CB2711A4730 and having its registered office at Suite 303, 90 Fort Street, George Town, Grand Cayman,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Shares</w:t>
      </w:r>
      <w:r>
        <w:rPr>
          <w:rFonts w:ascii="Times New Roman;Times;Serif" w:hAnsi="Times New Roman;Times;Serif"/>
          <w:b w:val="false"/>
          <w:i w:val="false"/>
          <w:caps w:val="false"/>
          <w:smallCaps w:val="false"/>
          <w:sz w:val="20"/>
        </w:rPr>
        <w:t>” means the Ordinary Shares and Preference Shares set out in Part 1 of Schedule 1, collectively representing the entire issued and paid-up share capital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the economic sanctions laws, regulations, embargoes or restrictive measures administered, enacted or enforced by: (i) the United States government; (ii) the United Nations Security Council; (iii) the European Union; (iv) the United Kingdom; (v) the jurisdiction(s) of incorporation of the Company and the Purchaser; or (vi) the respective governmental institutions and agencies of any of the foregoing, including, without limitation, the Office of Foreign Assets Control of the US Department of Treasury, the United States Department of State, and HMT (together the “</w:t>
      </w:r>
      <w:r>
        <w:rPr>
          <w:rFonts w:ascii="Times New Roman;Times;Serif" w:hAnsi="Times New Roman;Times;Serif"/>
          <w:b/>
          <w:i w:val="false"/>
          <w:caps w:val="false"/>
          <w:smallCaps w:val="false"/>
          <w:sz w:val="20"/>
        </w:rPr>
        <w:t>Sanctions Authorities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Sanctions Authority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 Authorities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Sanctions Authority</w:t>
      </w:r>
      <w:r>
        <w:rPr>
          <w:rFonts w:ascii="Times New Roman;Times;Serif" w:hAnsi="Times New Roman;Times;Serif"/>
          <w:b w:val="false"/>
          <w:i w:val="false"/>
          <w:caps w:val="false"/>
          <w:smallCaps w:val="false"/>
          <w:sz w:val="20"/>
        </w:rPr>
        <w:t>” have the meaning given to them in Clause 1.1;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 List</w:t>
      </w:r>
      <w:r>
        <w:rPr>
          <w:rFonts w:ascii="Times New Roman;Times;Serif" w:hAnsi="Times New Roman;Times;Serif"/>
          <w:b w:val="false"/>
          <w:i w:val="false"/>
          <w:caps w:val="false"/>
          <w:smallCaps w:val="false"/>
          <w:sz w:val="20"/>
        </w:rPr>
        <w:t>” means the “Specially Designated Nationals and Blocked Persons” list maintained by the Office of Foreign Assets Control of the US Department of Treasury, the Consolidated List of Financial Sanctions Targets and the Investment Ban List maintained by HMT, or any similar list maintained by, or public announcement of Sanctions designation made by, any of the Sanctions Authorities;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has the meaning set out in paragraph 4.1 of Schedule 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A</w:t>
      </w:r>
      <w:r>
        <w:rPr>
          <w:rFonts w:ascii="Times New Roman;Times;Serif" w:hAnsi="Times New Roman;Times;Serif"/>
          <w:b w:val="false"/>
          <w:i w:val="false"/>
          <w:caps w:val="false"/>
          <w:smallCaps w:val="false"/>
          <w:sz w:val="20"/>
        </w:rPr>
        <w:t>” has the meaning given to it in Clause 4.3(e)(i);</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Indemnitees</w:t>
      </w:r>
      <w:r>
        <w:rPr>
          <w:rFonts w:ascii="Times New Roman;Times;Serif" w:hAnsi="Times New Roman;Times;Serif"/>
          <w:b w:val="false"/>
          <w:i w:val="false"/>
          <w:caps w:val="false"/>
          <w:smallCaps w:val="false"/>
          <w:sz w:val="20"/>
        </w:rPr>
        <w:t>” has the meaning given in Clause 13.1;</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Sellers’ Fundamental Warranties</w:t>
      </w:r>
      <w:r>
        <w:rPr>
          <w:rFonts w:ascii="Times New Roman;Times;Serif" w:hAnsi="Times New Roman;Times;Serif"/>
          <w:b w:val="false"/>
          <w:i w:val="false"/>
          <w:caps w:val="false"/>
          <w:smallCaps w:val="false"/>
          <w:sz w:val="20"/>
        </w:rPr>
        <w:t>” means the Sellers’ Warranties set out in Part 1 of Schedule 4, and “</w:t>
      </w:r>
      <w:r>
        <w:rPr>
          <w:rFonts w:ascii="Times New Roman;Times;Serif" w:hAnsi="Times New Roman;Times;Serif"/>
          <w:b/>
          <w:i w:val="false"/>
          <w:caps w:val="false"/>
          <w:smallCaps w:val="false"/>
          <w:sz w:val="20"/>
        </w:rPr>
        <w:t>Sellers’ Fundamental Warranty</w:t>
      </w:r>
      <w:r>
        <w:rPr>
          <w:rFonts w:ascii="Times New Roman;Times;Serif" w:hAnsi="Times New Roman;Times;Serif"/>
          <w:b w:val="false"/>
          <w:i w:val="false"/>
          <w:caps w:val="false"/>
          <w:smallCaps w:val="false"/>
          <w:sz w:val="20"/>
        </w:rPr>
        <w:t>” means any one of them as the context requires;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Sellers’ Representative</w:t>
      </w:r>
      <w:r>
        <w:rPr>
          <w:rFonts w:ascii="Times New Roman;Times;Serif" w:hAnsi="Times New Roman;Times;Serif"/>
          <w:b w:val="false"/>
          <w:i w:val="false"/>
          <w:caps w:val="false"/>
          <w:smallCaps w:val="false"/>
          <w:sz w:val="20"/>
        </w:rPr>
        <w:t>” means Radhika Sundaram, acting on behalf of all the Sellers;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Sellers’ Warranties</w:t>
      </w:r>
      <w:r>
        <w:rPr>
          <w:rFonts w:ascii="Times New Roman;Times;Serif" w:hAnsi="Times New Roman;Times;Serif"/>
          <w:b w:val="false"/>
          <w:i w:val="false"/>
          <w:caps w:val="false"/>
          <w:smallCaps w:val="false"/>
          <w:sz w:val="20"/>
        </w:rPr>
        <w:t>” means the warranties referred to in Clause 8 and set out in Schedule 4, and “</w:t>
      </w:r>
      <w:r>
        <w:rPr>
          <w:rFonts w:ascii="Times New Roman;Times;Serif" w:hAnsi="Times New Roman;Times;Serif"/>
          <w:b/>
          <w:i w:val="false"/>
          <w:caps w:val="false"/>
          <w:smallCaps w:val="false"/>
          <w:sz w:val="20"/>
        </w:rPr>
        <w:t>Seller’s Warranty</w:t>
      </w:r>
      <w:r>
        <w:rPr>
          <w:rFonts w:ascii="Times New Roman;Times;Serif" w:hAnsi="Times New Roman;Times;Serif"/>
          <w:b w:val="false"/>
          <w:i w:val="false"/>
          <w:caps w:val="false"/>
          <w:smallCaps w:val="false"/>
          <w:sz w:val="20"/>
        </w:rPr>
        <w:t>” shall mean any one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Employee</w:t>
      </w:r>
      <w:r>
        <w:rPr>
          <w:rFonts w:ascii="Times New Roman;Times;Serif" w:hAnsi="Times New Roman;Times;Serif"/>
          <w:b w:val="false"/>
          <w:i w:val="false"/>
          <w:caps w:val="false"/>
          <w:smallCaps w:val="false"/>
          <w:sz w:val="20"/>
        </w:rPr>
        <w:t xml:space="preserve">” means each of the employees identified by Radhika Sundaram at the time of Completion;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SFRS</w:t>
      </w:r>
      <w:r>
        <w:rPr>
          <w:rFonts w:ascii="Times New Roman;Times;Serif" w:hAnsi="Times New Roman;Times;Serif"/>
          <w:b w:val="false"/>
          <w:i w:val="false"/>
          <w:caps w:val="false"/>
          <w:smallCaps w:val="false"/>
          <w:sz w:val="20"/>
        </w:rPr>
        <w:t>” means the Singapore Financial Reporting Standards promulgated by the Accounting Standards Council Singapore from time to time applicable to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Stamp Duty Documents</w:t>
      </w:r>
      <w:r>
        <w:rPr>
          <w:rFonts w:ascii="Times New Roman;Times;Serif" w:hAnsi="Times New Roman;Times;Serif"/>
          <w:b w:val="false"/>
          <w:i w:val="false"/>
          <w:caps w:val="false"/>
          <w:smallCaps w:val="false"/>
          <w:sz w:val="20"/>
        </w:rPr>
        <w:t>”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E4A and Working Sheet D for computing the net asset value per Sale Share in the form prescribed by the Stamp Duty Branch of the Inland Revenue;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documents as may be prescribed from time to time by the Stamp Duty Branch of the Inland Revenue for the purpose of assessing the stamp duty payable on a transfer of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the subsidiaries of the Company from time to time, including, as at the date of this Agreement, the companies, details of which are set out in Part 2 of Schedule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and includes all forms of taxation and statutory and governmental, state, provincial, local governmental or municipal charges, duties, contributions and levies, withholdings and deductions, in each case whether of India, Singapore, the United States of America or elsewhere and whenever imposed and all related penalties, fines, charges, costs, interest;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Authority</w:t>
      </w:r>
      <w:r>
        <w:rPr>
          <w:rFonts w:ascii="Times New Roman;Times;Serif" w:hAnsi="Times New Roman;Times;Serif"/>
          <w:b w:val="false"/>
          <w:i w:val="false"/>
          <w:caps w:val="false"/>
          <w:smallCaps w:val="false"/>
          <w:sz w:val="20"/>
        </w:rPr>
        <w:t>” means any Governmental Authority competent to impose Tax or assess, administer or collect Tax;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Claim</w:t>
      </w:r>
      <w:r>
        <w:rPr>
          <w:rFonts w:ascii="Times New Roman;Times;Serif" w:hAnsi="Times New Roman;Times;Serif"/>
          <w:b w:val="false"/>
          <w:i w:val="false"/>
          <w:caps w:val="false"/>
          <w:smallCaps w:val="false"/>
          <w:sz w:val="20"/>
        </w:rPr>
        <w:t>” means a Claim for breach of a Tax Warranty or a Tax Indemnity Claim;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Indemnity Claim</w:t>
      </w:r>
      <w:r>
        <w:rPr>
          <w:rFonts w:ascii="Times New Roman;Times;Serif" w:hAnsi="Times New Roman;Times;Serif"/>
          <w:b w:val="false"/>
          <w:i w:val="false"/>
          <w:caps w:val="false"/>
          <w:smallCaps w:val="false"/>
          <w:sz w:val="20"/>
        </w:rPr>
        <w:t>” means a claim against the Sellers under paragraph 1 of Schedule 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Liability</w:t>
      </w:r>
      <w:r>
        <w:rPr>
          <w:rFonts w:ascii="Times New Roman;Times;Serif" w:hAnsi="Times New Roman;Times;Serif"/>
          <w:b w:val="false"/>
          <w:i w:val="false"/>
          <w:caps w:val="false"/>
          <w:smallCaps w:val="false"/>
          <w:sz w:val="20"/>
        </w:rPr>
        <w:t>” means any Actual Tax Liability, or any other liability which gives or may give rise to a Tax Claim;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Relief</w:t>
      </w:r>
      <w:r>
        <w:rPr>
          <w:rFonts w:ascii="Times New Roman;Times;Serif" w:hAnsi="Times New Roman;Times;Serif"/>
          <w:b w:val="false"/>
          <w:i w:val="false"/>
          <w:caps w:val="false"/>
          <w:smallCaps w:val="false"/>
          <w:sz w:val="20"/>
        </w:rPr>
        <w:t>” means:</w:t>
      </w:r>
    </w:p>
    <w:p>
      <w:pPr>
        <w:pStyle w:val="TextBody"/>
        <w:bidi w:val="0"/>
        <w:spacing w:before="0" w:after="0"/>
        <w:ind w:left="72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230"/>
        <w:gridCol w:w="62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relief, loss, allowance, exemption, set-off or credit in respect of any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20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995" w:type="dxa"/>
        <w:jc w:val="left"/>
        <w:tblInd w:w="0" w:type="dxa"/>
        <w:tblLayout w:type="fixed"/>
        <w:tblCellMar>
          <w:top w:w="0" w:type="dxa"/>
          <w:left w:w="0" w:type="dxa"/>
          <w:bottom w:w="0" w:type="dxa"/>
          <w:right w:w="0" w:type="dxa"/>
        </w:tblCellMar>
      </w:tblPr>
      <w:tblGrid>
        <w:gridCol w:w="75"/>
        <w:gridCol w:w="245"/>
        <w:gridCol w:w="867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deduction or any set off used in computing any income, profits or gains for the purposes of any Tax;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6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103" w:type="dxa"/>
        <w:jc w:val="left"/>
        <w:tblInd w:w="0" w:type="dxa"/>
        <w:tblLayout w:type="fixed"/>
        <w:tblCellMar>
          <w:top w:w="0" w:type="dxa"/>
          <w:left w:w="0" w:type="dxa"/>
          <w:bottom w:w="0" w:type="dxa"/>
          <w:right w:w="0" w:type="dxa"/>
        </w:tblCellMar>
      </w:tblPr>
      <w:tblGrid>
        <w:gridCol w:w="38"/>
        <w:gridCol w:w="23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to repayment of Tax including any repayment supplement or interest in respect of Tax;</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Warranties</w:t>
      </w:r>
      <w:r>
        <w:rPr>
          <w:rFonts w:ascii="Times New Roman;Times;Serif" w:hAnsi="Times New Roman;Times;Serif"/>
          <w:b w:val="false"/>
          <w:i w:val="false"/>
          <w:caps w:val="false"/>
          <w:smallCaps w:val="false"/>
          <w:sz w:val="20"/>
        </w:rPr>
        <w:t>” means the Sellers’ Warranties set out in paragraph 14 of Part 2 of Schedule 4 and “</w:t>
      </w:r>
      <w:r>
        <w:rPr>
          <w:rFonts w:ascii="Times New Roman;Times;Serif" w:hAnsi="Times New Roman;Times;Serif"/>
          <w:b/>
          <w:i w:val="false"/>
          <w:caps w:val="false"/>
          <w:smallCaps w:val="false"/>
          <w:sz w:val="20"/>
        </w:rPr>
        <w:t>Tax Warranty</w:t>
      </w:r>
      <w:r>
        <w:rPr>
          <w:rFonts w:ascii="Times New Roman;Times;Serif" w:hAnsi="Times New Roman;Times;Serif"/>
          <w:b w:val="false"/>
          <w:i w:val="false"/>
          <w:caps w:val="false"/>
          <w:smallCaps w:val="false"/>
          <w:sz w:val="20"/>
        </w:rPr>
        <w:t>” means any one of them as the context requires;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means the sale and purchase of the Sale Shares pursuant to, and in accordance with,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this Agreement, the Disclosure Letter, the Registration Rights and Lock-Up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GAAS</w:t>
      </w:r>
      <w:r>
        <w:rPr>
          <w:rFonts w:ascii="Times New Roman;Times;Serif" w:hAnsi="Times New Roman;Times;Serif"/>
          <w:b w:val="false"/>
          <w:i w:val="false"/>
          <w:caps w:val="false"/>
          <w:smallCaps w:val="false"/>
          <w:sz w:val="20"/>
        </w:rPr>
        <w:t>” means United States Generally Accepted Auditing Standards as issued by the American Institute of Certified Public Accountants;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 “U.S. person” as defined in Rule 902(k) of Regulation S under the U.S. Securities Act.</w:t>
      </w:r>
    </w:p>
    <w:p>
      <w:pPr>
        <w:pStyle w:val="TextBody"/>
        <w:bidi w:val="0"/>
        <w:spacing w:before="0" w:after="0"/>
        <w:ind w:left="72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provisions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statute or statutory provision include a reference to that statute or statutory provision as amended, supplemented, consolidated or replaced from time to time (whether before or after the date of this Agreement) and include any subsidiary legislation made under the relevant statute or statutory provision except to the extent that any amendment, supplement, consolidation or replacement would increase or extend the liability of the Seller under this Agreement.</w:t>
      </w:r>
    </w:p>
    <w:p>
      <w:pPr>
        <w:pStyle w:val="TextBody"/>
        <w:bidi w:val="0"/>
        <w:spacing w:before="0" w:after="0"/>
        <w:ind w:left="72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Meaning of references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words in the singular include the plural and vice versa and a reference to any gender includes all other genders.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writing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means any method of reproducing words in a legible and non-transitory form (including fax and email).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970" w:type="dxa"/>
        <w:jc w:val="left"/>
        <w:tblInd w:w="0" w:type="dxa"/>
        <w:tblLayout w:type="fixed"/>
        <w:tblCellMar>
          <w:top w:w="0" w:type="dxa"/>
          <w:left w:w="0" w:type="dxa"/>
          <w:bottom w:w="0" w:type="dxa"/>
          <w:right w:w="0" w:type="dxa"/>
        </w:tblCellMar>
      </w:tblPr>
      <w:tblGrid>
        <w:gridCol w:w="75"/>
        <w:gridCol w:w="230"/>
        <w:gridCol w:w="6665"/>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are to be construed without limitation.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66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include any company, corporation or other body corporate wherever and however incorporated or established.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include any individual, company, partnership, joint venture, firm, association, trust, Governmental Authority or other body or entity (whether or not having separate legal personality).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material</w:t>
            </w:r>
            <w:r>
              <w:rPr>
                <w:rFonts w:ascii="Times New Roman;Times;Serif" w:hAnsi="Times New Roman;Times;Serif"/>
                <w:b w:val="false"/>
                <w:i w:val="false"/>
                <w:caps w:val="false"/>
                <w:smallCaps w:val="false"/>
                <w:sz w:val="20"/>
              </w:rPr>
              <w:t>” mean, save where the context requires otherwise, material having regard to the business, profits or assets of the Group or the Purchaser’s Group (as the case may be), taken as a whole.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3" w:type="dxa"/>
            <w:tcBorders/>
            <w:vAlign w:val="center"/>
          </w:tcPr>
          <w:p>
            <w:pPr>
              <w:pStyle w:val="TableContents"/>
              <w:bidi w:val="0"/>
              <w:spacing w:before="0" w:after="283"/>
              <w:jc w:val="left"/>
              <w:rPr>
                <w:caps w:val="false"/>
                <w:smallCaps w:val="false"/>
              </w:rPr>
            </w:pPr>
            <w:r>
              <w:rPr>
                <w:caps w:val="false"/>
                <w:smallCaps w:val="false"/>
              </w:rPr>
              <w:t> </w:t>
            </w:r>
          </w:p>
        </w:tc>
        <w:tc>
          <w:tcPr>
            <w:tcW w:w="995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the expression “</w:t>
            </w:r>
            <w:r>
              <w:rPr>
                <w:rFonts w:ascii="Times New Roman;Times;Serif" w:hAnsi="Times New Roman;Times;Serif"/>
                <w:b/>
                <w:i w:val="false"/>
                <w:caps w:val="false"/>
                <w:smallCaps w:val="false"/>
                <w:sz w:val="20"/>
              </w:rPr>
              <w:t>procure</w:t>
            </w:r>
            <w:r>
              <w:rPr>
                <w:rFonts w:ascii="Times New Roman;Times;Serif" w:hAnsi="Times New Roman;Times;Serif"/>
                <w:b w:val="false"/>
                <w:i w:val="false"/>
                <w:caps w:val="false"/>
                <w:smallCaps w:val="false"/>
                <w:sz w:val="20"/>
              </w:rPr>
              <w:t>”, where used in the context of each of Sellers, means undertaking to exercise its voting rights and to use any and all other powers vested in it from time to time as a shareholder of the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indemnify</w:t>
            </w:r>
            <w:r>
              <w:rPr>
                <w:rFonts w:ascii="Times New Roman;Times;Serif" w:hAnsi="Times New Roman;Times;Serif"/>
                <w:b w:val="false"/>
                <w:i w:val="false"/>
                <w:caps w:val="false"/>
                <w:smallCaps w:val="false"/>
                <w:sz w:val="20"/>
              </w:rPr>
              <w:t>” and to “</w:t>
            </w:r>
            <w:r>
              <w:rPr>
                <w:rFonts w:ascii="Times New Roman;Times;Serif" w:hAnsi="Times New Roman;Times;Serif"/>
                <w:b/>
                <w:i w:val="false"/>
                <w:caps w:val="false"/>
                <w:smallCaps w:val="false"/>
                <w:sz w:val="20"/>
              </w:rPr>
              <w:t>indemnifying</w:t>
            </w:r>
            <w:r>
              <w:rPr>
                <w:rFonts w:ascii="Times New Roman;Times;Serif" w:hAnsi="Times New Roman;Times;Serif"/>
                <w:b w:val="false"/>
                <w:i w:val="false"/>
                <w:caps w:val="false"/>
                <w:smallCaps w:val="false"/>
                <w:sz w:val="20"/>
              </w:rPr>
              <w:t>” any person against any Losses by reference to any matter, event or circumstance includes indemnifying and keeping that person indemnified against all Losses from time to time made, suffered or incurred as a direct or indirect consequence of or which would not have arisen but for that matter, event or circumstance.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words “</w:t>
            </w:r>
            <w:r>
              <w:rPr>
                <w:rFonts w:ascii="Times New Roman;Times;Serif" w:hAnsi="Times New Roman;Times;Serif"/>
                <w:b/>
                <w:i w:val="false"/>
                <w:caps w:val="false"/>
                <w:smallCaps w:val="false"/>
                <w:sz w:val="20"/>
              </w:rPr>
              <w:t>reasonable endeavours</w:t>
            </w:r>
            <w:r>
              <w:rPr>
                <w:rFonts w:ascii="Times New Roman;Times;Serif" w:hAnsi="Times New Roman;Times;Serif"/>
                <w:b w:val="false"/>
                <w:i w:val="false"/>
                <w:caps w:val="false"/>
                <w:smallCaps w:val="false"/>
                <w:sz w:val="20"/>
              </w:rPr>
              <w:t>” are used in this Agreement in relation to the performance of any act by a Party, the words shall not give rise to an obligation on the part of that Party to assume any material expenditure to achieve the same or require that Party to take such action which would be likely to have such a detrimental effect on the current or future development of the business of that Party that it would be unreasonable to expect that Party to take 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left"/>
              <w:rPr>
                <w:caps w:val="false"/>
                <w:smallCaps w:val="false"/>
              </w:rPr>
            </w:pPr>
            <w:r>
              <w:rPr>
                <w:caps w:val="false"/>
                <w:smallCaps w:val="false"/>
              </w:rPr>
              <w:t> </w:t>
            </w:r>
          </w:p>
        </w:tc>
        <w:tc>
          <w:tcPr>
            <w:tcW w:w="997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9715" w:type="dxa"/>
        <w:jc w:val="left"/>
        <w:tblInd w:w="0" w:type="dxa"/>
        <w:tblLayout w:type="fixed"/>
        <w:tblCellMar>
          <w:top w:w="0" w:type="dxa"/>
          <w:left w:w="0" w:type="dxa"/>
          <w:bottom w:w="0" w:type="dxa"/>
          <w:right w:w="0" w:type="dxa"/>
        </w:tblCellMar>
      </w:tblPr>
      <w:tblGrid>
        <w:gridCol w:w="75"/>
        <w:gridCol w:w="200"/>
        <w:gridCol w:w="944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means the lawful currency of the United States of America, as at the date of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44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books, records or other information means books, records or other information in any form including paper, electronically stored data, magnetic media, film and microfilm.</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Clauses, paragraphs, Parts and Schedules are to clauses, paragraphs and parts of, and schedules to, this Agreement. The Schedules form part of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document in the “</w:t>
            </w:r>
            <w:r>
              <w:rPr>
                <w:rFonts w:ascii="Times New Roman;Times;Serif" w:hAnsi="Times New Roman;Times;Serif"/>
                <w:b/>
                <w:i w:val="false"/>
                <w:caps w:val="false"/>
                <w:smallCaps w:val="false"/>
                <w:sz w:val="20"/>
              </w:rPr>
              <w:t>agreed form</w:t>
            </w:r>
            <w:r>
              <w:rPr>
                <w:rFonts w:ascii="Times New Roman;Times;Serif" w:hAnsi="Times New Roman;Times;Serif"/>
                <w:b w:val="false"/>
                <w:i w:val="false"/>
                <w:caps w:val="false"/>
                <w:smallCaps w:val="false"/>
                <w:sz w:val="20"/>
              </w:rPr>
              <w:t>” is to the form of the relevant document in the form and on terms to be agreed between the Sellers’ Representative (acting on behalf of all Sellers) and the Purchaser (in each case with such amendments as may be agreed in writing by or on behalf of each of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1" w:type="dxa"/>
            <w:tcBorders/>
            <w:vAlign w:val="center"/>
          </w:tcPr>
          <w:p>
            <w:pPr>
              <w:pStyle w:val="TableContents"/>
              <w:bidi w:val="0"/>
              <w:spacing w:before="0" w:after="283"/>
              <w:jc w:val="left"/>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subject to any express provision in this Agreement to the contrary, a warranty, covenant or obligation given or entered into by more than one (1) person binds them jointly and severally.</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90" w:type="dxa"/>
        <w:jc w:val="left"/>
        <w:tblInd w:w="0" w:type="dxa"/>
        <w:tblLayout w:type="fixed"/>
        <w:tblCellMar>
          <w:top w:w="0" w:type="dxa"/>
          <w:left w:w="0" w:type="dxa"/>
          <w:bottom w:w="0" w:type="dxa"/>
          <w:right w:w="0" w:type="dxa"/>
        </w:tblCellMar>
      </w:tblPr>
      <w:tblGrid>
        <w:gridCol w:w="290"/>
        <w:gridCol w:w="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headings are inserted for convenience only and do not affect the construction of this Agreement.</w:t>
      </w:r>
    </w:p>
    <w:p>
      <w:pPr>
        <w:pStyle w:val="TextBody"/>
        <w:bidi w:val="0"/>
        <w:spacing w:before="0" w:after="0"/>
        <w:ind w:left="72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Awareness of the Sellers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statement in the Sellers’ Warranties given by a Seller is qualified by the expression “to the best of the Seller’s knowledge” or any similar expression, the expression shall mean the actual knowledge, belief, or awareness of such Seller only (such that each Seller is deemed to have actual knowledge of all facts, matters and circumstances within his own knowledge and not the knowledge of any other Seller), and the knowledge that such Seller ought reasonably to have had after making reasonable enquiries.</w:t>
      </w:r>
    </w:p>
    <w:p>
      <w:pPr>
        <w:pStyle w:val="TextBody"/>
        <w:bidi w:val="0"/>
        <w:spacing w:before="0" w:after="0"/>
        <w:ind w:left="709"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90"/>
        <w:gridCol w:w="24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liability of the Sellers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in this Agreement or any other Transaction Document to the contrary, the Parties acknowledge and agree that: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liabilities, obligations and undertakings of the Sellers under this Agreement (including in respect of the Sellers’ Warranties) and the other Transaction Documents shall be several (and not joint or joint and several);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555" w:type="dxa"/>
        <w:jc w:val="left"/>
        <w:tblInd w:w="0" w:type="dxa"/>
        <w:tblLayout w:type="fixed"/>
        <w:tblCellMar>
          <w:top w:w="0" w:type="dxa"/>
          <w:left w:w="0" w:type="dxa"/>
          <w:bottom w:w="0" w:type="dxa"/>
          <w:right w:w="0" w:type="dxa"/>
        </w:tblCellMar>
      </w:tblPr>
      <w:tblGrid>
        <w:gridCol w:w="75"/>
        <w:gridCol w:w="245"/>
        <w:gridCol w:w="423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generality of Clause 1.7(a):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23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Seller shall give the Sellers’ Fundamental Warranties severally and only in respect of itself/himself, and in respect of the Sale Shares held by it/him and (B) subject to Clause 1.7(c), each Seller shall give all other Sellers’ Warranties on a several (and not joint or joint and several) basis;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be severally responsible for its/his own (A) respective obligations on Completion specified in Schedule 3, and not for the obligations of any other Seller on Completion specified in Schedule 3, and (B) compliance with the obligations under Clauses 16 and 17;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Claim by the Purchaser under this Agreement or the other Transaction Documents against any Seller (whether in respect of any breach of the Sellers’ Warranties or otherwise) shall be made based on such Seller’s Relevant Proportion.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185" w:type="dxa"/>
        <w:jc w:val="left"/>
        <w:tblInd w:w="0" w:type="dxa"/>
        <w:tblLayout w:type="fixed"/>
        <w:tblCellMar>
          <w:top w:w="0" w:type="dxa"/>
          <w:left w:w="0" w:type="dxa"/>
          <w:bottom w:w="0" w:type="dxa"/>
          <w:right w:w="0" w:type="dxa"/>
        </w:tblCellMar>
      </w:tblPr>
      <w:tblGrid>
        <w:gridCol w:w="290"/>
        <w:gridCol w:w="18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Representative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(other than the Sellers’ Representative) irrevocably appoints the Sellers’ Representative, and the Sellers’ Representative hereby accepts such appointment, as agent for and on behalf of the Sellers with full and exclusive authority to negotiate and agree the terms of this Agreement or any Transaction Documents, and to take all actions specifically mandated by the terms of this Agreement, the Transaction Documents or any ancillary agreements, it being acknowledged and agreed that any Notice made by the Purchaser to the Sellers shall be made to each Seller individually.</w:t>
      </w:r>
    </w:p>
    <w:p>
      <w:pPr>
        <w:pStyle w:val="TextBody"/>
        <w:bidi w:val="0"/>
        <w:spacing w:before="0" w:after="0"/>
        <w:ind w:left="72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Awareness of the Purchaser</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statement in the Purchaser’s Warranties given by the Purchaser is qualified by the expression “to the best of the Purchaser’s knowledge” or any similar expression, the expression shall mean the actual knowledge, belief, or awareness of the Purchaser, and the knowledge that the Purchaser ought reasonably to have had after making reasonable enquiries.</w:t>
      </w:r>
    </w:p>
    <w:p>
      <w:pPr>
        <w:pStyle w:val="TextBody"/>
        <w:bidi w:val="0"/>
        <w:spacing w:before="0" w:after="0"/>
        <w:ind w:left="70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13</w:t>
            </w:r>
          </w:p>
        </w:tc>
      </w:tr>
    </w:tbl>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395"/>
        <w:gridCol w:w="12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this Agreement, if any amount is to be converted to USD: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making any payment under this Agreement, such amount shall be converted into USD at the Exchange Rate applicable on the date which falls three (3) Business Days prior to the relevant payment date;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determining whether a monetary limit or threshold set out in Schedule 5 has been reached or exceeded and the value of the Claim is expressed in a currency other than USD, the value of that Claim shall be converted into USD at the Exchange Rate applicable on the date which falls on the date of receipt of notice by the Seller of such Claim in accordance with paragraph 3 of Schedule 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740" w:type="dxa"/>
        <w:jc w:val="left"/>
        <w:tblInd w:w="0" w:type="dxa"/>
        <w:tblLayout w:type="fixed"/>
        <w:tblCellMar>
          <w:top w:w="0" w:type="dxa"/>
          <w:left w:w="0" w:type="dxa"/>
          <w:bottom w:w="0" w:type="dxa"/>
          <w:right w:w="0" w:type="dxa"/>
        </w:tblCellMar>
      </w:tblPr>
      <w:tblGrid>
        <w:gridCol w:w="395"/>
        <w:gridCol w:w="23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restatement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on and from the Amendment and Restatement Date, the Original SPA shall be amended and restated so that it shall be replaced in its entirety by this Agreement and it shall, on and from the Amendment and Restatement Date, be read, construed and take effect in accordance with the terms of this Agreement, provided that all references to “the date of this Agreement” in this Agreement shall continue to refer to 16 April 2026. Any references to the Original SPA in the Transaction Documents or any documents in relation thereto shall be construed as references to this Agreement, as may be amended, consolidated, supplemented, novated or replaced from time to time.</w:t>
      </w:r>
    </w:p>
    <w:p>
      <w:pPr>
        <w:pStyle w:val="TextBody"/>
        <w:bidi w:val="0"/>
        <w:spacing w:before="0" w:after="0"/>
        <w:ind w:left="72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85"/>
        <w:gridCol w:w="20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0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20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and purchase of Sale Shares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6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each Seller shall sell, and the Purchaser shall purchase, the entire legal and beneficial ownership in the Sale Shares listed against that Seller’s name in column (3) of Part 1 of Schedule 1, with all rights attaching to them at Completion, free from all Encumbrances, on the terms and conditions of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Sellers or the Purchaser shall be obliged to complete the sale and purchase of any of the Sale Shares unless the sale and purchase of all of the Sale Shares are completed simultaneously.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 of restrictions on transfer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hereby waives, subject only to Completion, any rights it may have in respect of the redemption, pre-emption, first refusal or any other restrictions in relation to the transfer of the Sale Shares, whether under the constitution of the Company or otherwise.</w:t>
      </w:r>
    </w:p>
    <w:p>
      <w:pPr>
        <w:pStyle w:val="TextBody"/>
        <w:bidi w:val="0"/>
        <w:spacing w:before="0" w:after="0"/>
        <w:ind w:left="72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185"/>
        <w:gridCol w:w="16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67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purchase price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price for the Sale Shares to be paid by the Purchaser is such amount equal to 600,000,000 multiplied by the Consideration Share Issue Price (the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which shall be satisfied by the allotment and issuance of the Consideration Shares by the Purchaser to the Sellers in accordance with this Agreement.</w:t>
      </w:r>
    </w:p>
    <w:p>
      <w:pPr>
        <w:pStyle w:val="TextBody"/>
        <w:bidi w:val="0"/>
        <w:spacing w:before="0" w:after="0"/>
        <w:ind w:left="72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90"/>
        <w:gridCol w:w="26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proportional entitlement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be entitled to the Consideration Shares in their Relevant Proportions.</w:t>
      </w:r>
    </w:p>
    <w:p>
      <w:pPr>
        <w:pStyle w:val="TextBody"/>
        <w:bidi w:val="0"/>
        <w:spacing w:before="0" w:after="0"/>
        <w:ind w:left="72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90"/>
        <w:gridCol w:w="1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Shares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188" w:type="dxa"/>
        <w:jc w:val="left"/>
        <w:tblInd w:w="0" w:type="dxa"/>
        <w:tblLayout w:type="fixed"/>
        <w:tblCellMar>
          <w:top w:w="0" w:type="dxa"/>
          <w:left w:w="0" w:type="dxa"/>
          <w:bottom w:w="0" w:type="dxa"/>
          <w:right w:w="0" w:type="dxa"/>
        </w:tblCellMar>
      </w:tblPr>
      <w:tblGrid>
        <w:gridCol w:w="38"/>
        <w:gridCol w:w="23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Allotment and issuance of Consideration Shares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Purchaser shall allot and issue to each of the Sellers (or its nominee(s)), such Seller’s Relevant Proportion of the Consideration Shares (rounded to the nearest whole share), free from all Encumbrances, at a nil or nominal subscription price, in accordance with Clause 3.4.</w:t>
      </w:r>
    </w:p>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14</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245"/>
        <w:gridCol w:w="189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 later than 5 days prior to the First Release Date, issue a public press release or file with the SEC a report on Form 6-K containing any material non-public information about the Purchaser that has been disclosed by the Purchaser to any Seller, provided that the Purchaser shall provide each applicable Seller to which such information has been disclosed a reasonable opportunity to review and comment on such disclosure and shall not include in any such disclosure any confidential information relating to the Company or any of the Founders without the written consent of each, as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510" w:type="dxa"/>
        <w:jc w:val="left"/>
        <w:tblInd w:w="0" w:type="dxa"/>
        <w:tblLayout w:type="fixed"/>
        <w:tblCellMar>
          <w:top w:w="0" w:type="dxa"/>
          <w:left w:w="0" w:type="dxa"/>
          <w:bottom w:w="0" w:type="dxa"/>
          <w:right w:w="0" w:type="dxa"/>
        </w:tblCellMar>
      </w:tblPr>
      <w:tblGrid>
        <w:gridCol w:w="290"/>
        <w:gridCol w:w="42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Purchaser Shareholder Approval</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2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Purchaser undertakes any corporate action to reclassify, combine (including by reverse share split), combine, split, subdivide or redeem, or repurchase or otherwise acquire, or otherwise reorganize, its authorised or issued share capital or issues any bonus shares during or by reference to any period between the date of this Agreement and the date of allotment of any of the Consideration Shares, the number of such Consideration Shares, and/or the relevant subscription price, shall be appropriately adjusted by such amount as shall be necessary to take account of the same </w:t>
            </w:r>
            <w:r>
              <w:rPr>
                <w:rFonts w:ascii="Times New Roman;Times;Serif" w:hAnsi="Times New Roman;Times;Serif"/>
                <w:b w:val="false"/>
                <w:i w:val="false"/>
                <w:caps w:val="false"/>
                <w:smallCaps w:val="false"/>
                <w:sz w:val="20"/>
                <w:shd w:fill="FFFFFF" w:val="clear"/>
              </w:rPr>
              <w:t xml:space="preserve">to provide to the Sellers the same economic effect as contemplated by this Agreement prior to such action,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nothing in this Clause 3.4(a) shall be construed to permit the Purchaser to take any action with respect to any securities that is prohibited by this Agreement, including Clause 6.1</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 </w:t>
            </w:r>
          </w:p>
        </w:tc>
        <w:tc>
          <w:tcPr>
            <w:tcW w:w="995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forthwith after the execution of this Agreement, file with Nasdaq an Initial Listing Application and, if applicable, any other required listing application. For the avoidance of doubt, the Purchaser agrees to comply with all requirements of Nasdaq, and take all actions that may be required, for the listing of the Consideration Shares on Nasdaq, and shall ensure that the Initial Listing Application and, if applicable, any other required listing application, are submitted, and Nasdaq permission therefor is obtained, by the date such shares are required to be issued in accordance with this Agreement. The Purchaser shall supply all such information, give all such undertakings, execute all such documents, pay all such fees and do or procure to be done all such things as may be required to be done by Nasdaq in respect of such listing and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file a registration statement registering for resale securities held by the Sellers in accordance with the Registration Rights and Lock-Up Agreement, substantially in the form as set out in Schedule 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issue the Issuance Ordinary Resolution Notice within five (5) business days of the Amendment and Restatement Date to all members of the Purchaser to procure the Purchaser Shareholder Approval in accordance with the Purchaser’s memorandum and articles of association. The Purchaser shall not withdraw or amend the Issuance Ordinary Resolution Notice without the consent of the Sellers. Without limiting the generality of the foregoing, the Purchaser shall, as promptly as practicable following the Amendment and Restatement Date (and in any event prior to the issuance of any Consideration Shares), procure delivery of the Purchaser Shareholder Approval required to authorise the issuance of the Consideration Shares in full compliance with the rules and regulations of Nasdaq, the Companies Act (as amended) of the Cayman Islands, the Purchaser’s memorandum and articles of association and by way of written resolutions of the members. Such Purchaser Shareholder Approval shall be effective prior to the issuance of any Consideration Shares.</w:t>
            </w:r>
          </w:p>
        </w:tc>
      </w:tr>
    </w:tbl>
    <w:p>
      <w:pPr>
        <w:pStyle w:val="TextBody"/>
        <w:bidi w:val="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w:t>
            </w:r>
          </w:p>
        </w:tc>
      </w:tr>
    </w:tbl>
    <w:p>
      <w:pPr>
        <w:pStyle w:val="TextBody"/>
        <w:bidi w:val="0"/>
        <w:spacing w:before="0" w:after="0"/>
        <w:ind w:left="709" w:right="0" w:hanging="709"/>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90"/>
        <w:gridCol w:w="32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obligations of the Parties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Parties to complete the Transaction are subject to the satisfaction (or waiver in writing) of the following Conditions: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consents, approvals, clearances, permissions and/or waivers required under Applicable Law or from any Governmental Authority (including any competition authority) for the execution of this Agreement and the consummation of the transactions contemplated hereunder having been obtained and remaining in full force and effect, and all applicable waiting periods having expired, lapsed or been terminated;</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15</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Listing Application and, if applicable, any other required listing application, having been submitted by the Purchaser to, and approved by, Nasdaq (the “</w:t>
            </w:r>
            <w:r>
              <w:rPr>
                <w:rFonts w:ascii="Times New Roman;Times;Serif" w:hAnsi="Times New Roman;Times;Serif"/>
                <w:b/>
                <w:i w:val="false"/>
                <w:caps w:val="false"/>
                <w:smallCaps w:val="false"/>
                <w:sz w:val="20"/>
              </w:rPr>
              <w:t>Nasdaq Condition</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of the nomination committee and the board of directors of the Purchaser having been passed, approving the Agreed Board Changes and resolving to implement the Agreed Board Changes with effect on Completion, and such resolutions not having been withdrawn, amended or otherwise revoked, and the Agreed Board Changes having been effected at Completion;</w:t>
            </w:r>
          </w:p>
        </w:tc>
      </w:tr>
    </w:tbl>
    <w:p>
      <w:pPr>
        <w:pStyle w:val="TextBody"/>
        <w:bidi w:val="0"/>
        <w:spacing w:before="0" w:after="0"/>
        <w:ind w:left="1440" w:right="0" w:hanging="72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245"/>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Shareholder Approval having been obtained and not withdrawn, amended or otherwise revoked;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written consents to the Transaction and the resulting change of control of the Group having been obtained from each 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Ascertis Credit – India Fund III Limited and Madison Pacific Trust Limited, in accordance with the terms of the Ascertis Facilities Documents;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Anicut and Catalyst Trusteeship Limited in accordance with the terms of the India Facilities Documents (and/or from any other lender of the Group in accordance with the terms of the relevant loan facilities, in the event of a Permitted Debt Refinancing);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having been given to HDFC Bank Limited. in accordance with the terms of the Master Services Agreement signed on 6th February 2018, and Sonata Information Technology Limited, in accordance with the terms of the Google Cloud Platform Services Agreement signed on 27 October 2025, notifying both parties of the proposed change of control of the Company arising from the transactions contemplated by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Permitted Equity Financing occurs between the date of this Agreement and Completion, each of the investors participating in such transaction(s) (“</w:t>
            </w:r>
            <w:r>
              <w:rPr>
                <w:rFonts w:ascii="Times New Roman;Times;Serif" w:hAnsi="Times New Roman;Times;Serif"/>
                <w:b/>
                <w:i w:val="false"/>
                <w:caps w:val="false"/>
                <w:smallCaps w:val="false"/>
                <w:sz w:val="20"/>
              </w:rPr>
              <w:t>New Investors</w:t>
            </w:r>
            <w:r>
              <w:rPr>
                <w:rFonts w:ascii="Times New Roman;Times;Serif" w:hAnsi="Times New Roman;Times;Serif"/>
                <w:b w:val="false"/>
                <w:i w:val="false"/>
                <w:caps w:val="false"/>
                <w:smallCaps w:val="false"/>
                <w:sz w:val="20"/>
              </w:rPr>
              <w:t>”) shall have executed and delivered to the Purchaser a deed of adherence to this Agreement under which such investor agrees to be bound by the terms hereof;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Diginex Founder Warrants and the Outstanding IPO Warrants having been terminated and cancelled in full with no further liability to the Purchaser’s Group, with effect from Completion, for nil consideration;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Purchaser in extraordinary general meeting having been duly obtained to increase the authorised share capital of the Purchaser to the extent necessary to permit the allotment and issuance of the Consideration Shares and the Relevant Treasury Shares;</w:t>
            </w:r>
          </w:p>
        </w:tc>
      </w:tr>
    </w:tbl>
    <w:p>
      <w:pPr>
        <w:pStyle w:val="TextBody"/>
        <w:bidi w:val="0"/>
        <w:spacing w:before="0" w:after="0"/>
        <w:ind w:left="1440" w:right="0" w:hanging="72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Diginex Additional Investment: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portion of the Diginex Additional Investment representing investment proceeds of at least USD 3,500,000 having been completed and such proceeds from the Diginex Additional Investment having been received in full in cash by the Purchaser, and (B) from the date of receipt of the proceeds of the Diginex Additional Investment until Completion, all of such proceeds having been retained within the Purchaser’s Group and not applied, paid, utilised or transferred within or outside the Purchaser’s Group, for any purpose except (I) for payments in the ordinary course of business of the Purchaser’s Group consistent with past practice and in adherence to a budget agreed in writing between the Purchaser and the Seller’s Representative on or prior to the Amendment and Restatement Date or (II) with the prior written consent of the Sellers’ Representative; </w:t>
            </w:r>
            <w:r>
              <w:rPr>
                <w:rFonts w:ascii="Times New Roman;Times;Serif" w:hAnsi="Times New Roman;Times;Serif"/>
                <w:b w:val="false"/>
                <w:i w:val="false"/>
                <w:caps w:val="false"/>
                <w:smallCaps w:val="false"/>
                <w:sz w:val="20"/>
                <w:u w:val="single"/>
              </w:rPr>
              <w:t>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remaining portion of the Diginex Additional Investment which has not been completed prior to Completion: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all of the relevant transaction documents relating to such remaining portion of the Diginex Additional Investment having been amended on terms satisfactory to the Sellers’ Representative; and</w:t>
            </w:r>
          </w:p>
        </w:tc>
      </w:tr>
    </w:tbl>
    <w:p>
      <w:pPr>
        <w:pStyle w:val="TextBody"/>
        <w:bidi w:val="0"/>
        <w:spacing w:before="0" w:after="0"/>
        <w:ind w:left="2835"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16</w:t>
            </w:r>
          </w:p>
        </w:tc>
      </w:tr>
    </w:tbl>
    <w:p>
      <w:pPr>
        <w:pStyle w:val="TextBody"/>
        <w:bidi w:val="0"/>
        <w:spacing w:before="0" w:after="0"/>
        <w:ind w:left="0" w:right="0" w:hanging="0"/>
        <w:jc w:val="left"/>
        <w:rPr/>
      </w:pPr>
      <w:r>
        <w:rPr/>
        <w:t> </w:t>
      </w:r>
    </w:p>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Subscription and Buyback Agreement having been duly executed, the Relevant Security Arrangement Steps having been effected in accordance with Applicable Law on or before Completion and evidence thereof (including the updated register of members of the Purchaser evidencing that the Relevant Treasury Shares are held by the Purchaser as treasury shares) having been delivered by the Purchaser to the Sellers’ Representative, and all of the Relevant Treasury Shares being held by the Purchaser as treasury shares as at Completion (or such other alternative security arrangement over such 40,000,000 Diginex Shares having been effected, including by way of the pledging of such Diginex Shares or an escrow arrangement over such Diginex Shares, to guarantee the successful completion of such remaining portion of the Diginex Additional Investment in accordance with such amended terms, as the Parties may agree in writing);</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Group having sufficient cash, in the reasonable determination of the Sellers’ Representative, for the Purchaser’s Group to be able to (A) repay, satisfy and discharge in full all of the past, current, outstanding and contingent liabilities of the Purchaser’s Group (including but not limited to any liabilities incurred in connection with any payments in connection with the termination or resignation of the appointment, employment or engagement of any officers, employees or independent contractors of any member of the Purchaser’s Group, and any introducer fee or other similar consideration payable by any member of the Purchaser’s Group to any introducer), as determined at the Completion Date, and (B) cover the operating expenses of the Purchaser’s Group following Completion, up to at least 31 December 2026;</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Resulticks Additional Investment having been completed, and the proceeds from the Resulticks Additional Investment having been received in full in cash by the Group;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Group having taken out such business insurance policies (including but not limited to (A) director and officer insurance, including coverage for liabilities of each member of the Purchaser’s Group in respect of securities-related claims (including shareholder class actions and market manipulation claims) and (B) professional indemnity insurance and error and omissions insurance up to a coverage amount of not less than USD 1,000,000), on such terms as the Sellers’ Representative may require, and such policies remaining in full force and effect as at Completion.</w:t>
            </w:r>
          </w:p>
        </w:tc>
      </w:tr>
    </w:tbl>
    <w:p>
      <w:pPr>
        <w:pStyle w:val="TextBody"/>
        <w:bidi w:val="0"/>
        <w:spacing w:before="0" w:after="0"/>
        <w:ind w:left="1440" w:right="0" w:hanging="72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90"/>
        <w:gridCol w:w="32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obligations of the Sellers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Sellers to complete the Transaction are subject to the satisfaction (or waiver in writing by the Sellers’ Representative) of the following Conditions:</w:t>
      </w:r>
    </w:p>
    <w:p>
      <w:pPr>
        <w:pStyle w:val="TextBody"/>
        <w:bidi w:val="0"/>
        <w:spacing w:before="0" w:after="0"/>
        <w:ind w:left="72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23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Purchaser Material Adverse Change having occurred;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Purchaser’s Fundamental Warranties being true and accurate in all respects as of the date of this Agreement and as at Completion as if made at Completion (except to the extent such warranties expressly relate to an earlier date, in which case as of such earlier date), and (ii) all of the other Purchaser’s Warranties being true and accurate in all material respects as of the date of this Agreement and as at Completion as if made at Completion (except to the extent such representations and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23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having complied in all material respects with all of its obligations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having delivered an irrevocable written notice to each of the Senior Employees confirming their eligibility to participate in the Diginex Incentive Plan on and from the Completion Date;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having used all reasonable endeavours to procure the satisfaction of the Conditions set out in Clauses 4.1(a), 4.1(b), 4.1(c), 4.1(d), 4.1(h) and 4.1(i).</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17</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90"/>
        <w:gridCol w:w="34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obligations of the Purchaser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Purchaser to complete the Transaction are subject to the satisfaction (or waiver in writing by the Purchaser) of the following Conditions:</w:t>
      </w:r>
    </w:p>
    <w:p>
      <w:pPr>
        <w:pStyle w:val="TextBody"/>
        <w:bidi w:val="0"/>
        <w:spacing w:before="0" w:after="0"/>
        <w:ind w:left="720" w:right="0" w:hanging="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23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Company Material Adverse Change having occurred;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Sellers’ Fundamental Warranties being true and accurate in all respects as of the date of this Agreement and as at Completion as if made at Completion (except to the extent such warranties expressly relate to an earlier date, in which case as of such earlier date), and (ii) all of the other Sellers’ Warranties being true and accurate in all material respects as of the date of this Agreement and as at Completion as if made at Completion (except to the extent such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23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Sellers having complied in all material respects with all of their obligations under this Agreement; </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Founders having used all reasonable endeavours to procure the satisfaction of the Conditions set out in Clauses 4.1(a), 4.1(e), 4.1(f) and 4.1(g); and</w:t>
            </w:r>
          </w:p>
        </w:tc>
      </w:tr>
    </w:tbl>
    <w:p>
      <w:pPr>
        <w:pStyle w:val="TextBody"/>
        <w:bidi w:val="0"/>
        <w:spacing w:before="0" w:after="0"/>
        <w:ind w:left="1418" w:right="0" w:hanging="709"/>
        <w:jc w:val="both"/>
        <w:rPr>
          <w:caps w:val="false"/>
          <w:smallCaps w:val="false"/>
        </w:rPr>
      </w:pPr>
      <w:r>
        <w:rPr>
          <w:caps w:val="false"/>
          <w:smallCaps w:val="false"/>
        </w:rPr>
        <w:t> </w:t>
      </w:r>
    </w:p>
    <w:tbl>
      <w:tblPr>
        <w:tblW w:w="933" w:type="dxa"/>
        <w:jc w:val="left"/>
        <w:tblInd w:w="0" w:type="dxa"/>
        <w:tblLayout w:type="fixed"/>
        <w:tblCellMar>
          <w:top w:w="0" w:type="dxa"/>
          <w:left w:w="0" w:type="dxa"/>
          <w:bottom w:w="0" w:type="dxa"/>
          <w:right w:w="0" w:type="dxa"/>
        </w:tblCellMar>
      </w:tblPr>
      <w:tblGrid>
        <w:gridCol w:w="38"/>
        <w:gridCol w:w="275"/>
        <w:gridCol w:w="6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20" w:type="dxa"/>
            <w:tcBorders/>
            <w:vAlign w:val="center"/>
          </w:tcPr>
          <w:p>
            <w:pPr>
              <w:pStyle w:val="TableContents"/>
              <w:bidi w:val="0"/>
              <w:spacing w:before="0" w:after="283"/>
              <w:jc w:val="both"/>
              <w:rPr/>
            </w:pPr>
            <w:r>
              <w:rPr/>
              <w:t>either: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w:t>
            </w:r>
          </w:p>
        </w:tc>
        <w:tc>
          <w:tcPr>
            <w:tcW w:w="9905" w:type="dxa"/>
            <w:tcBorders/>
            <w:vAlign w:val="center"/>
          </w:tcPr>
          <w:p>
            <w:pPr>
              <w:pStyle w:val="TableContents"/>
              <w:bidi w:val="0"/>
              <w:spacing w:before="0" w:after="283"/>
              <w:jc w:val="both"/>
              <w:rPr/>
            </w:pPr>
            <w:r>
              <w:rPr/>
              <w:t>one or more of the Sellers (or such other investor(s)) (collectively, “</w:t>
            </w:r>
            <w:r>
              <w:rPr>
                <w:rFonts w:ascii="Times New Roman;Times;Serif" w:hAnsi="Times New Roman;Times;Serif"/>
                <w:b/>
                <w:sz w:val="20"/>
              </w:rPr>
              <w:t>Seller A</w:t>
            </w:r>
            <w:r>
              <w:rPr/>
              <w:t>”) having acquired all of the Ordinary Shares held by each of Equiom Fiduciary Services (Hong Kong) Limited as Trustee of the Giorgini Trust, and Artemis Holdings Limited, and where Seller A shall sell such Ordinary Shares as Sale Shares in accordance with the terms of this Agreement, provided that if any of Seller A is an investor who is not a Seller as at the Amendment and Restatement Date, such investor(s) having executed and delivered to the Purchaser a deed of adherence to this Agreement under which such investor agrees to be bound by the terms hereof as a Seller; or</w:t>
            </w:r>
          </w:p>
        </w:tc>
      </w:tr>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such other alternative arrangement having been implemented to ensure that the Sale Shares to be sold at Completion represents the entire issued and paid-up share capital of the Company, and such necessary amendments to the Transaction Documents having been made for consistency with such alternative arrangement, on such terms reasonably satisfactory to the Purchaser and the Sellers’ Representative.</w:t>
            </w:r>
          </w:p>
        </w:tc>
      </w:tr>
    </w:tbl>
    <w:p>
      <w:pPr>
        <w:pStyle w:val="TextBody"/>
        <w:bidi w:val="0"/>
        <w:spacing w:before="0" w:after="0"/>
        <w:ind w:left="1418" w:right="0" w:hanging="709"/>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90"/>
        <w:gridCol w:w="18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Commitments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use its reasonable endeavours to procure the satisfaction of the Conditions (other than Conditions which by their nature can only be satisfied on and subject to Completion taking place) set out in Clause 4.2 as soon as reasonably practicable following the date of this Agreement and in any event prior to the Long Stop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use their respective reasonable endeavours to procure the satisfaction of the Conditions (other than Conditions which by their nature can only be satisfied on and subject to Completion taking place) set out in Clause 4.3 as soon as reasonably practicable following the date of this Agreement and in any event prior to the Long Stop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and the Purchaser shall provide such assistance to the other as is necessary or desirable to ensure the satisfaction of the Conditions as soon as reasonably practicable and in any event before the Long Stop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undertakes not to take any action, enter into any transaction (including any merger or acquisition) or enter into any agreement to effect any such transaction, that might reasonably be expected to preclude or make it materially more difficult, or to increase materially the time required, to satisfy the Conditions.</w:t>
            </w:r>
          </w:p>
        </w:tc>
      </w:tr>
    </w:tbl>
    <w:p>
      <w:pPr>
        <w:pStyle w:val="TextBody"/>
        <w:bidi w:val="0"/>
        <w:spacing w:before="0" w:after="0"/>
        <w:ind w:left="1440" w:right="0" w:hanging="72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Nasdaq Condition: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be primarily responsible for preparing the draft Initial Listing Application, and the Purchaser shall be primarily responsible for reviewing and confirming the draft Initial Listing Application, and submitting the Initial Listing Application. Each Party shall consult with each other in respect of the preparation and submission of any further documentation required by Nasdaq in connection therewith;</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generality of Clause 4.4(a), the Purchaser shall cause the Initial Listing Application, when filed, to comply with all requirements applicable thereto and ensure that the Initial Listing Application is submitted to Nasdaq as soon as reasonably practicable after the Amended and Restatement Date;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provide (A) such assistance to the Purchaser as is reasonably required to ensure that the Initial Listing Application is submitted in accordance with Clause 4.4(e)(ii) and (B) such information as may be required in connection with the Initial Listing Application and, if applicable, any other required listing application (in redacted form if deemed appropriate for reasons of confidentiality, legal privilege or compliance with Applicable Law). The Sellers shall use their respective reasonable efforts to procure that the audits of the Group in respect of financial years 2024 and 2025 by a PCAOB registered independent accounting firm in accordance with U.S. GAAS are completed within 45 days from the Amendment and Restatement Date;</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18</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provide such information about it and its Affiliates as may be reasonably required to ensure that any request for information by Nasdaq or any other Governmental Authority is fulfilled promptly and in any event in accordance with any applicable time limit;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consult with each other and agree on to the form and contents of the Initial Listing Application, and all documents proposed to be submitted to Nasdaq in connection therewith, in each case prior to submission.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respond as promptly as reasonably practicable to and resolve all comments received from Nasdaq or its staff concerning the Initial Listing Application and have the Initial Listing Application approved by Nasdaq, as promptly as practicable after such filing;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period during which the Initial Listing Application and the Transaction are being considered by Nasdaq and/or any other the Governmental Authority: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consult with the Sellers’ Representative sufficiently in advance of any material communication (whether written or otherwise) which it or its advisers or representatives propose to make or submit to Nasdaq and/or any other Governmental Authority or publicly announce, in relation to the Initial Listing Application and/or the Transaction. The Purchaser undertakes to incorporate into any such communication any reasonable comments that the Sellers’ Representative may provide to the Purchaser prior to the Purchaser making such communication;</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keep the Sellers’ Representative promptly and fully informed as to the progress of the Initial Listing Application and any material communication with Nasdaq and/or any other Governmental Authority, including, without limitation, providing copies to the Sellers’ Representative of any written communications sent to, or received from, Nasdaq and/or any other Governmental Authority, or publicly announced by the Purchaser, in each case in relation to the Initial Listing Application and/or the Transaction;</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and/or any other Governmental Authority requests a meeting with the Purchaser and/or the Sellers, the Purchaser shall promptly notify the Sellers’ Representative sufficiently in advance of such meeting, and consult with the Sellers’ Representative as to the proposed contents of and attendees at such meeting;</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and the Sellers shall fully co-operate in any consultation process undertaken by Nasdaq and/or any other Governmental Authority in connection with the Initial Listing Application and/or the Transaction;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Nasdaq and/or any other Governmental Authority indicates that the Nasdaq Condition may only be satisfied if the Parties accept certain conditions, obligations or modifications to the terms of the Transaction, the Purchaser shall promptly inform the Sellers’ Representative of the same and consult with the Sellers’ Representative in relation thereto.</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notify the Sellers’ Representative of the time of the approval of the Initial Listing Application and the approval for listing on the Nasdaq of the applicable securities in connection with the Transactions, promptly after the Purchaser has received notice thereof.</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4.4(e) shall apply equally to any other Nasdaq listing requirement or application required in connection with the Transaction.</w:t>
            </w:r>
          </w:p>
        </w:tc>
      </w:tr>
    </w:tbl>
    <w:p>
      <w:pPr>
        <w:pStyle w:val="TextBody"/>
        <w:bidi w:val="0"/>
        <w:spacing w:before="0" w:after="0"/>
        <w:ind w:left="1440" w:right="0" w:hanging="72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90"/>
        <w:gridCol w:w="34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Satisfaction of Conditions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Parties becomes aware:</w:t>
      </w:r>
    </w:p>
    <w:p>
      <w:pPr>
        <w:pStyle w:val="TextBody"/>
        <w:bidi w:val="0"/>
        <w:spacing w:before="0" w:after="0"/>
        <w:ind w:left="709" w:right="0" w:hanging="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23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material developments in relation to the satisfaction of any Condition;</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19</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245"/>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any Condition has been satisfied; or</w:t>
            </w:r>
          </w:p>
        </w:tc>
      </w:tr>
    </w:tbl>
    <w:p>
      <w:pPr>
        <w:pStyle w:val="TextBody"/>
        <w:bidi w:val="0"/>
        <w:spacing w:before="0" w:after="0"/>
        <w:ind w:left="1440" w:right="0" w:hanging="72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23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any Condition has become incapable of being satisfied prior to the Long Stop Date,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Party shall as soon as reasonably practicable notify the other Parties in writing of such circumstances, setting forth in reasonable detail the facts or circumstances related thereto.</w:t>
      </w:r>
    </w:p>
    <w:p>
      <w:pPr>
        <w:pStyle w:val="TextBody"/>
        <w:bidi w:val="0"/>
        <w:spacing w:before="0" w:after="0"/>
        <w:ind w:left="709"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90"/>
        <w:gridCol w:w="22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Fulfil Conditions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of the Conditions have not been fulfilled, satisfied or waived pursuant to this Clause 4 by the Long Stop Date, then, subject to the remainder of this Clause, each of the Sellers’ Representative (on behalf of the Sellers) and the Purchaser shall have the right to terminate this Agreement by written notice to the other;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neither the Sellers’ Representative (on behalf of the Sellers) nor the Purchaser shall have the right to terminate this Agreement pursuant to this Clause 4.6 if a Seller’s (in the case of purported termination by the Sellers’ Representative) or the Purchaser’s (in the case of purported termination by the Purchaser) failure to fulfill in any material respect any of its obligations under this Agreement has been the primary cause of, or the primary factor that resulted in, the failure of any Condition to be satisfied by the Long Stop Date. Upon such termination, this Agreement shall cease to have further effect except for the Continuing Provisions (which shall remain in force) but without prejudice to any rights or liabilities arising in respect of claims arising out of any antecedent breach of this Agreement.</w:t>
      </w:r>
    </w:p>
    <w:p>
      <w:pPr>
        <w:pStyle w:val="TextBody"/>
        <w:bidi w:val="0"/>
        <w:spacing w:before="0" w:after="0"/>
        <w:ind w:left="72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185"/>
        <w:gridCol w:w="42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42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PRE-COMPLETION OBLIGATIONS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5.2, each Seller undertakes to the Purchaser to exercise its voting rights and all powers available to it, within the confines of Applicable Law, to ensure that between the date of this Agreement and Completion, each Group Company shall carry on its respective business as a going concern in the ordinary course of business consistent with past practice, and that no Group Company shall: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 or issue, sell, pledge, transfer, dispose of or otherwise subject to any Encumbrance any shares or other equity securities of such Group Company or any options, warrants, convertible securities or other rights of any kind to acquire any such shares, or any other equity or ownership interest in such Group Company, other than the issuance of shares to the Employee Award SPV Seller in connection with the employee share option plan of the Group (provided that such Employee Award SPV Seller shall, following its incorporation, accede to this Agreement as a Seller in respect of such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 set aside, make or pay any non-cash dividend or other distribution on or with respect to any of its shares or other equity or ownership interest;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reclassify, combine, split, subdivide or redeem, or repurchase or otherwise acquire, directly or indirectly, any of its shares or other equity or ownership interest, or make any other change with respect to its capital structure;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any indebtedness or issue any debt securities, or make any loans or advances, except in the ordinary course of business consistent with past practice, provided that such indebtedness does not result in a breach of, or default under, any existing financing or facility agreement entered into by the Group, and provided further that in no event shall such Group Company (A) incur, assume or guarantee any long-term indebtedness for borrowed money or (B) make any optional repayment of any indebtedness for borrowed money;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compensation payable or the benefits provided to its Senior Employees, except for normal merit and cost-of-living increases or annual increments in salaries or wages or annual bonuses consistent with past practice, or grant any severance or termination payment to any Senior Employee, or establish or amend any share incentive scheme, share option scheme or profit sharing scheme for all or any of its directors or employees;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contract or other arrangement with any Seller or any Seller’s Affiliates except on arms’ length terms and other than in the ordinary course consistent with past practice;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in any method of accounting or accounting practice or policy of such Group Company, except as required by the Relevant Accounting Standards;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20</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revoke or modify any Tax election, settle or compromise any Tax liability or file any Tax return other than on a basis consistent with past practice;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 discharge or satisfy any claim, liability or obligation (absolute, accrued, asserted or unasserted, contingent or otherwise), </w:t>
            </w:r>
            <w:r>
              <w:rPr>
                <w:rFonts w:ascii="Times New Roman;Times;Serif" w:hAnsi="Times New Roman;Times;Serif"/>
                <w:b w:val="false"/>
                <w:i w:val="false"/>
                <w:caps w:val="false"/>
                <w:smallCaps w:val="false"/>
                <w:sz w:val="20"/>
                <w:u w:val="single"/>
              </w:rPr>
              <w:t>other</w:t>
            </w:r>
            <w:r>
              <w:rPr>
                <w:rFonts w:ascii="Times New Roman;Times;Serif" w:hAnsi="Times New Roman;Times;Serif"/>
                <w:b w:val="false"/>
                <w:i w:val="false"/>
                <w:caps w:val="false"/>
                <w:smallCaps w:val="false"/>
                <w:sz w:val="20"/>
              </w:rPr>
              <w:t xml:space="preserve"> than (A) the payment, discharge or satisfaction, in the ordinary course of business consistent with past practice, of liabilities reflected or reserved against on the Accounts or subsequently incurred in the ordinary course of business consistent with past practice or (B) the payment of the agreed settlement with Versium Shareholder Group LLC (as representative of the former shareholders and optionholders of Versium Analytics, Inc.);</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compromise, waive or release any right or claim other than in the ordinary course of business consistent with past practice;</w:t>
            </w:r>
          </w:p>
        </w:tc>
      </w:tr>
    </w:tbl>
    <w:p>
      <w:pPr>
        <w:pStyle w:val="TextBody"/>
        <w:bidi w:val="0"/>
        <w:spacing w:before="0" w:after="0"/>
        <w:ind w:left="1440" w:right="0" w:hanging="72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245"/>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lapse of any existing material policy of insurance relating to the business or assets of the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the collection of or discount any accounts receivable, delay the payment of accounts payable or defer expenses, reduce inventories or otherwise increase cash on hand, except in the ordinary course of business consistent with past practice;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lapse of any right relating to Intellectual Property or any other intangible asset used in the business of the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dispose of or agree to dispose of any asset, involving consideration, expenditure or liabilities in excess of USD 10,000,000, exclusive of Taxes, other than those transactions carried out or executed in the ordinary and usual course of business consistent with past practice;</w:t>
            </w:r>
          </w:p>
        </w:tc>
      </w:tr>
    </w:tbl>
    <w:p>
      <w:pPr>
        <w:pStyle w:val="TextBody"/>
        <w:bidi w:val="0"/>
        <w:spacing w:before="0" w:after="0"/>
        <w:ind w:left="1440" w:right="0" w:hanging="720"/>
        <w:jc w:val="both"/>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245"/>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alteration to the constitutional documents of such Group Company except for ministerial amendments;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to its policies and practice in relation to the payment of creditors except in the ordinary course of business consistent with past practice;</w:t>
            </w:r>
          </w:p>
        </w:tc>
      </w:tr>
    </w:tbl>
    <w:p>
      <w:pPr>
        <w:pStyle w:val="TextBody"/>
        <w:bidi w:val="0"/>
        <w:spacing w:before="0" w:after="0"/>
        <w:ind w:left="1440" w:right="0" w:hanging="72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45"/>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any merger, consolidation, reorganisation, reclassification or similar transaction;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proposal for the liquidation of such Group Company, for the appointment of any receiver or administrator, or judicial manager to such Group Company, or for any analogous proceedings or actions; or</w:t>
            </w:r>
          </w:p>
        </w:tc>
      </w:tr>
    </w:tbl>
    <w:p>
      <w:pPr>
        <w:pStyle w:val="TextBody"/>
        <w:bidi w:val="0"/>
        <w:spacing w:before="0" w:after="0"/>
        <w:ind w:left="1440" w:right="0" w:hanging="72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15"/>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conditionally or unconditionally, to do any of the foregoing.</w:t>
            </w:r>
          </w:p>
        </w:tc>
      </w:tr>
    </w:tbl>
    <w:p>
      <w:pPr>
        <w:pStyle w:val="TextBody"/>
        <w:bidi w:val="0"/>
        <w:spacing w:before="0" w:after="0"/>
        <w:ind w:left="1440" w:right="0" w:hanging="72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90"/>
        <w:gridCol w:w="71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5.1 does not apply in respect of, and shall not operate so as to restrict or prevent: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or the omission to take any action, which is necessary to discharge any obligation undertaken pursuant to any contract, agreement, arrangement, licence or consent entered into by or granted to any Group Company or any contract, agreement, arrangement, licence or consent that has been entered into or granted to by any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reasonably undertaken by any Group Company in an emergency or disaster situation, including relating to life, fire or health and safety, with the intention of minimising any adverse effect of such situation; or</w:t>
            </w:r>
          </w:p>
        </w:tc>
      </w:tr>
    </w:tbl>
    <w:p>
      <w:pPr>
        <w:pStyle w:val="TextBody"/>
        <w:bidi w:val="0"/>
        <w:spacing w:before="0" w:after="0"/>
        <w:ind w:left="1440" w:right="0" w:hanging="72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23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or performance of any action, or the omission to take any action:</w:t>
            </w:r>
          </w:p>
        </w:tc>
      </w:tr>
    </w:tbl>
    <w:p>
      <w:pPr>
        <w:pStyle w:val="TextBody"/>
        <w:bidi w:val="0"/>
        <w:spacing w:before="0" w:after="0"/>
        <w:ind w:left="1440" w:right="0" w:hanging="72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20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matter permitted by or required in respect of any Transaction Document;</w:t>
            </w:r>
          </w:p>
        </w:tc>
      </w:tr>
    </w:tbl>
    <w:p>
      <w:pPr>
        <w:pStyle w:val="TextBody"/>
        <w:bidi w:val="0"/>
        <w:spacing w:before="0" w:after="0"/>
        <w:ind w:left="2160" w:right="0" w:hanging="72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6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Applicable Law or as required by a Governmental Authority;</w:t>
            </w:r>
          </w:p>
        </w:tc>
      </w:tr>
    </w:tbl>
    <w:p>
      <w:pPr>
        <w:pStyle w:val="TextBody"/>
        <w:bidi w:val="0"/>
        <w:spacing w:before="0" w:after="0"/>
        <w:ind w:left="2160" w:right="0" w:hanging="72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32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Resulticks Additional Investment, any Permitted Equity Financing or any Permitted Debt Refinancing;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bona fide transaction or series of transactions with the principal purpose of raising debt capital, provided that immediately after giving effect to such indebtedness, the aggregate Indebtedness of the Group does not exceed USD 200,000,000; or</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21</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245"/>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written request or with the consent of the Purchaser, such consent:</w:t>
            </w:r>
          </w:p>
        </w:tc>
      </w:tr>
    </w:tbl>
    <w:p>
      <w:pPr>
        <w:pStyle w:val="TextBody"/>
        <w:bidi w:val="0"/>
        <w:spacing w:before="0" w:after="0"/>
        <w:ind w:left="2160" w:right="0" w:hanging="72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275"/>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be unreasonably withheld, delayed or conditioned;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deemed to have been given by the Purchaser if the Purchaser does not respond to a written request for consent from the Seller within ten (10) Business Days of having received such request.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this Agreement up to the Completion Date, to the extent permitted under Applicable Laws, the Sellers shall, and shall cause the Company and its Subsidiaries to, afford the Purchaser and its Agents reasonable access during normal office hours to the properties, offices, management, employees, books, records and financial information of the Group, provided that the Purchaser’s access right under this Clause 5.3 is subject to (a) the Sellers and the Group’s right to withhold any information that is price-sensitive, privileged or of a commercially sensitive nature; and (b) the Purchaser having given reasonable prior notice and such access being requested at reasonable times and intervals. The Purchaser acknowledges and agrees that any information accessed pursuant to this Clause is subject to the terms of Clause 16.</w:t>
            </w:r>
          </w:p>
        </w:tc>
      </w:tr>
    </w:tbl>
    <w:p>
      <w:pPr>
        <w:pStyle w:val="TextBody"/>
        <w:bidi w:val="0"/>
        <w:spacing w:before="0" w:after="0"/>
        <w:ind w:left="709" w:right="0" w:hanging="709"/>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90"/>
        <w:gridCol w:w="18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shall cooperate and take all such steps as may be reasonably required by the Purchaser’s registered agent (including, if applicable, providing to the Purchaser’s registered agent, or to the Purchaser for onward delivery to its registered agent, all information, documents and other materials required for “know-your-client”, anti-money laundering and other compliance purposes) in order to enable the Purchaser to issue to such Seller the Consideration Shares in accordance with the terms of this Agreement, and to enable the Purchaser’s registered agent to comply with its applicable legal and regulatory obligations.</w:t>
            </w:r>
          </w:p>
        </w:tc>
      </w:tr>
    </w:tbl>
    <w:p>
      <w:pPr>
        <w:pStyle w:val="TextBody"/>
        <w:bidi w:val="0"/>
        <w:spacing w:before="0" w:after="0"/>
        <w:ind w:left="709" w:right="0" w:hanging="709"/>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185"/>
        <w:gridCol w:w="46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4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PRE-COMPLETION OBLIGATIONS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6.2, the Purchaser undertakes to the Sellers that, within the confines of Applicable Law, it shall ensure that between the date of this Agreement and Completion, the Purchaser’s Group shall maintain its listing on the Nasdaq and carry on its respective business as a going concern in the ordinary course of business consistent with past practice, and that no Purchaser’s Group Company shall: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alteration to the constitutional documents of such Purchaser’s Group Company except for ministerial amendments, or make any change to the composition, independence, charters, voting rights or responsibilities of the board of directors or any board committee of such Purchaser’s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proposal for the liquidation of any Purchaser’s Group Company, for the appointment of any receiver or administrator, or judicial manager to such Purchaser’s Group Company or any analogous proceedings or actions;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allot or issue any shares or other equity securities of such Purchaser’s Group Company, or (ii) issue any options, warrants, convertible securities or other rights of any kind to acquire any such shares or other equity securities, or any other equity or ownership interest of such Purchaser’s Group Company other than issuances to the extent necessary to discharge any obligation undertaken pursuant to such contracts entered into by the Purchaser relating to acquisitions undertaken by the Purchaser and/or relating to the issuance of Diginex Shares to non-executive directors of the Purchaser up to an annual value of USD 100,000 per non-executive director, in each case provided that such contracts have been Disclosed to the Sellers prior to the date of this Agreement, or (iii) amend the terms of any existing options, warrants, convertible securities or other rights of any kind to acquire any such shares or other equity securities, including any of the Outstanding IPO Warrants and any of the Diginex Founder Warrants;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22</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or indirectly: (a) encourage, solicit, initiate, facilitate or continue inquiries regarding any potential acquisition or business combination (whether through a merger, recapitalisation or otherwise) of any business, assets or undertaking from a third party (“</w:t>
            </w:r>
            <w:r>
              <w:rPr>
                <w:rFonts w:ascii="Times New Roman;Times;Serif" w:hAnsi="Times New Roman;Times;Serif"/>
                <w:b/>
                <w:i w:val="false"/>
                <w:caps w:val="false"/>
                <w:smallCaps w:val="false"/>
                <w:sz w:val="20"/>
              </w:rPr>
              <w:t>Potential M&amp;A</w:t>
            </w:r>
            <w:r>
              <w:rPr>
                <w:rFonts w:ascii="Times New Roman;Times;Serif" w:hAnsi="Times New Roman;Times;Serif"/>
                <w:b w:val="false"/>
                <w:i w:val="false"/>
                <w:caps w:val="false"/>
                <w:smallCaps w:val="false"/>
                <w:sz w:val="20"/>
              </w:rPr>
              <w:t>”), (b) enter into discussions or negotiations with any person with, or provide any information to, any person concerning any Potential M&amp;A, and/or (c) enter into any agreements or other instruments (whether binding or not) regarding any Potential M&amp;A;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 set aside, make or pay any non-cash dividend or other distribution on or with respect to any of its shares or other equity or ownership interest;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reclassify, combine (including by reverse share split), combine, split, subdivide or redeem, or repurchase or otherwise acquire, or otherwise reorganize, directly or indirectly, any of its shares or other equity or ownership interest; or</w:t>
            </w:r>
          </w:p>
        </w:tc>
      </w:tr>
    </w:tbl>
    <w:p>
      <w:pPr>
        <w:pStyle w:val="TextBody"/>
        <w:bidi w:val="0"/>
        <w:spacing w:before="0" w:after="0"/>
        <w:ind w:left="1440" w:right="0" w:hanging="72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45"/>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conditionally or unconditionally, to do any of the foregoing.</w:t>
            </w:r>
          </w:p>
        </w:tc>
      </w:tr>
    </w:tbl>
    <w:p>
      <w:pPr>
        <w:pStyle w:val="TextBody"/>
        <w:bidi w:val="0"/>
        <w:spacing w:before="0" w:after="0"/>
        <w:ind w:left="1440" w:right="0" w:hanging="72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90"/>
        <w:gridCol w:w="71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6.1 does not apply in respect of, and shall not operate so as to restrict or prevent: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reasonably undertaken by any Purchaser’s Group Company in an emergency or disaster situation, including relating to life, fire or health and safety, with the intention of minimising any adverse effect of such situation; or</w:t>
            </w:r>
          </w:p>
        </w:tc>
      </w:tr>
    </w:tbl>
    <w:p>
      <w:pPr>
        <w:pStyle w:val="TextBody"/>
        <w:bidi w:val="0"/>
        <w:spacing w:before="0" w:after="0"/>
        <w:ind w:left="1440" w:right="0" w:hanging="72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4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or performance of any action, or the omission to take any action:</w:t>
            </w:r>
          </w:p>
        </w:tc>
      </w:tr>
    </w:tbl>
    <w:p>
      <w:pPr>
        <w:pStyle w:val="TextBody"/>
        <w:bidi w:val="0"/>
        <w:spacing w:before="0" w:after="0"/>
        <w:ind w:left="1440" w:right="0" w:hanging="72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20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matter permitted by or required in respect of any Transaction Document;</w:t>
            </w:r>
          </w:p>
        </w:tc>
      </w:tr>
    </w:tbl>
    <w:p>
      <w:pPr>
        <w:pStyle w:val="TextBody"/>
        <w:bidi w:val="0"/>
        <w:spacing w:before="0" w:after="0"/>
        <w:ind w:left="2160" w:right="0" w:hanging="72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26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Applicable Law or as required by any Governmental Authority;</w:t>
            </w:r>
          </w:p>
        </w:tc>
      </w:tr>
    </w:tbl>
    <w:p>
      <w:pPr>
        <w:pStyle w:val="TextBody"/>
        <w:bidi w:val="0"/>
        <w:spacing w:before="0" w:after="0"/>
        <w:ind w:left="2160" w:right="0" w:hanging="72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32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Diginex Additional Investment; or</w:t>
            </w:r>
          </w:p>
        </w:tc>
      </w:tr>
    </w:tbl>
    <w:p>
      <w:pPr>
        <w:pStyle w:val="TextBody"/>
        <w:bidi w:val="0"/>
        <w:spacing w:before="0" w:after="0"/>
        <w:ind w:left="2160" w:right="0" w:hanging="72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305"/>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written request or with the consent of the Sellers’ Representative, such consent:</w:t>
            </w:r>
          </w:p>
        </w:tc>
      </w:tr>
    </w:tbl>
    <w:p>
      <w:pPr>
        <w:pStyle w:val="TextBody"/>
        <w:bidi w:val="0"/>
        <w:spacing w:before="0" w:after="0"/>
        <w:ind w:left="2126" w:right="0" w:hanging="708"/>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275"/>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be unreasonably withheld, delayed or conditioned;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deemed to have been given by the Sellers’ Representative if the Sellers’ Representative does not respond to a written request for consent from the Purchaser within ten (10) Business Days of having received such request.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undertakes that there has been no, and there shall be no, amendment or variation, or any agreement to amend or vary, any of the terms of the Diginex Founder Warrant Agreement and/or the Outstanding IPO Warrant Agreements (as disclosed in Purchaser’s Form 6K filing with the SEC dated 23 March 2026), in each case without the prior written consent of the Sellers’ Representative.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this Agreement up to the Completion Date, to the extent permitted under Applicable Laws, the Purchaser shall, and shall cause each Purchaser’s Group Company to, afford each of the Sellers and its respective Agents reasonable access during normal office hours to the properties, offices, management, employees, books, records and financial information of the Purchaser’s Group, provided that the Sellers’ access right under this Clause 6.4 is subject to (a) the Purchaser’s Group’s right to withhold any information that is price-sensitive, privileged or of a commercially sensitive nature; and (b) the relevant Seller having given reasonable prior notice and such access being requested at reasonable times and intervals. The Sellers acknowledge and agree that any information accessed pursuant to this Clause is subject to the terms of Clause 16.</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Date, the Purchaser shall procure run-off directors and officers insurance cover for a period of no more than 5 years from Completion in respect of the liability of each of the existing directors on the board of directors of the Purchaser who shall resign or be removed in accordance with the Agreed Board Changes, on such terms as shall be agreed in writing between the Purchaser and the Sellers’ Representative.</w:t>
            </w:r>
          </w:p>
        </w:tc>
      </w:tr>
    </w:tbl>
    <w:p>
      <w:pPr>
        <w:pStyle w:val="TextBody"/>
        <w:bidi w:val="0"/>
        <w:spacing w:before="0" w:after="0"/>
        <w:ind w:left="720" w:right="0" w:hanging="72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3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w:t>
            </w:r>
          </w:p>
        </w:tc>
      </w:tr>
    </w:tbl>
    <w:p>
      <w:pPr>
        <w:pStyle w:val="TextBody"/>
        <w:bidi w:val="0"/>
        <w:spacing w:before="0" w:after="0"/>
        <w:ind w:left="720" w:right="0" w:hanging="72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90"/>
        <w:gridCol w:w="29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location of Completion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shall take place on the Completion Date electronically, or at such other time and place or in such other manner as may be agreed in writing between the Sellers and the Purchaser.</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90"/>
        <w:gridCol w:w="47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the Sellers and the Purchaser at Completion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Sellers shall undertake those actions listed in Part 1 of Schedule 3, the Purchaser shall undertake those actions listed in Part 2 of Schedule 3 and the Parties shall undertake those actions listed in Part 3 of Schedule 3.</w:t>
      </w:r>
    </w:p>
    <w:p>
      <w:pPr>
        <w:pStyle w:val="TextBody"/>
        <w:bidi w:val="0"/>
        <w:spacing w:before="0" w:after="0"/>
        <w:ind w:left="72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90"/>
        <w:gridCol w:w="16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complete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Purchaser fails to comply with any material obligations under Clause 7.2 on the Completion Date, the Sellers’ Representative (acting on behalf of all the Sellers) may in its absolute discretion (in addition and without prejudice to any other right or remedy available to it) by written notice to the other Parties: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 Completion by a period of not more than fifteen (15) Business Days to such other date as it may specify in such notice (and so that the provisions of this Clause 7 shall apply to Completion as so deferred), provided that Completion may be deferred a maximum of once;</w:t>
            </w:r>
          </w:p>
        </w:tc>
      </w:tr>
    </w:tbl>
    <w:p>
      <w:pPr>
        <w:pStyle w:val="TextBody"/>
        <w:bidi w:val="0"/>
        <w:spacing w:before="0" w:after="0"/>
        <w:ind w:left="2126" w:right="0" w:hanging="708"/>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6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 to Completion so far as practicable without limiting its rights under this Agreement and/or Applicable Law; or</w:t>
            </w:r>
          </w:p>
        </w:tc>
      </w:tr>
    </w:tbl>
    <w:p>
      <w:pPr>
        <w:pStyle w:val="TextBody"/>
        <w:bidi w:val="0"/>
        <w:spacing w:before="0" w:after="0"/>
        <w:ind w:left="2126" w:right="0" w:hanging="708"/>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32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this Agreement without any liability on its part.</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Seller fails to comply with any material obligations under Clause 7.2 on the Completion Date, the Purchaser may in its absolute discretion (in addition and without prejudice to any other right or remedy available to it) by written notice to the Sellers’ Representative: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 Completion by a period of not more than fifteen (15) Business Days to such other date as it may specify in such notice (and so that the provisions of this Clause 7 shall apply to Completion as so deferred), provided that Completion may be deferred a maximum of once;</w:t>
            </w:r>
          </w:p>
        </w:tc>
      </w:tr>
    </w:tbl>
    <w:p>
      <w:pPr>
        <w:pStyle w:val="TextBody"/>
        <w:bidi w:val="0"/>
        <w:spacing w:before="0" w:after="0"/>
        <w:ind w:left="2126" w:right="0" w:hanging="708"/>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6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 to Completion so far as practicable without limiting its rights under this Agreement and/or Applicable Law; or</w:t>
            </w:r>
          </w:p>
        </w:tc>
      </w:tr>
    </w:tbl>
    <w:p>
      <w:pPr>
        <w:pStyle w:val="TextBody"/>
        <w:bidi w:val="0"/>
        <w:spacing w:before="0" w:after="0"/>
        <w:ind w:left="2126" w:right="0" w:hanging="708"/>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32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this Agreement without any liability on its part.</w:t>
            </w:r>
          </w:p>
        </w:tc>
      </w:tr>
    </w:tbl>
    <w:p>
      <w:pPr>
        <w:pStyle w:val="TextBody"/>
        <w:bidi w:val="0"/>
        <w:spacing w:before="0" w:after="0"/>
        <w:ind w:left="2126" w:right="0" w:hanging="708"/>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85"/>
        <w:gridCol w:w="23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3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WARRANTIES</w:t>
            </w:r>
          </w:p>
        </w:tc>
      </w:tr>
    </w:tbl>
    <w:p>
      <w:pPr>
        <w:pStyle w:val="TextBody"/>
        <w:bidi w:val="0"/>
        <w:spacing w:before="0" w:after="0"/>
        <w:ind w:left="709" w:right="0" w:hanging="709"/>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90"/>
        <w:gridCol w:w="20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 of the Sellers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severally warrants to the Purchaser that, in respect only of itself and the Sale Shares legally and beneficially held by it, except as Disclosed, each of the Sellers’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severally (but not jointly and severally) warrant to the Purchaser that, except as Disclosed, each of the Sellers’ Warranties (other than the Sellers’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3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Warranties are given subject to Clause 10 and Schedule 5.</w:t>
            </w:r>
          </w:p>
        </w:tc>
      </w:tr>
    </w:tbl>
    <w:p>
      <w:pPr>
        <w:pStyle w:val="TextBody"/>
        <w:bidi w:val="0"/>
        <w:spacing w:before="0" w:after="0"/>
        <w:ind w:left="1440" w:right="0" w:hanging="72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90"/>
        <w:gridCol w:w="30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warranties or representations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and agrees that other than the Sellers’ Warranties, none of the Sellers or their respective Affiliates makes any warranties or representations of any nature to the Purchaser under or in connection with any of the Transaction Documents (whether express or implied by law, trade, custom, usage or otherwise) and that the Purchaser has not relied on or been induced by any other representations or warranties made by any Seller or any of their respective Affiliates or Agents to enter into this Agreement. The Purchaser hereby irrevocably and unconditionally waives any right it might have to claim damages for breach of any warranty not contained in this Agreement.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90"/>
        <w:gridCol w:w="21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warranties on forecasts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do not give or make any warranty or representation as to the accuracy of the forecasts, estimates, projections, statements of intent or statements of opinion provided to the Purchaser or any of its Agents on or prior to the date of this Agreement, including in the Disclosed Information.</w:t>
      </w:r>
    </w:p>
    <w:p>
      <w:pPr>
        <w:pStyle w:val="TextBody"/>
        <w:bidi w:val="0"/>
        <w:spacing w:before="0" w:after="0"/>
        <w:ind w:left="72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185"/>
        <w:gridCol w:w="61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6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SECURITIES LAW MATTERS AND TRANSFER RESTRICTIONS</w:t>
            </w:r>
          </w:p>
        </w:tc>
      </w:tr>
    </w:tbl>
    <w:p>
      <w:pPr>
        <w:pStyle w:val="TextBody"/>
        <w:bidi w:val="0"/>
        <w:spacing w:before="0" w:after="0"/>
        <w:ind w:left="709" w:right="0" w:hanging="709"/>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90"/>
        <w:gridCol w:w="22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Law Matters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reasonably cooperate with the Purchaser in connection with the issuance of the Consideration Shares and to facilitate the listing of such shares on Nasdaq, including by taking any action or providing any information regarding the Sellers as may be required under the Securities Act, the Exchange Act, any applicable foreign or state securities or blue-sky laws and the rules and regulations thereunder.</w:t>
      </w:r>
    </w:p>
    <w:p>
      <w:pPr>
        <w:pStyle w:val="TextBody"/>
        <w:bidi w:val="0"/>
        <w:spacing w:before="0" w:after="0"/>
        <w:ind w:left="72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agree that, during the Lock-up Period, the Consideration Shares may only be disposed pursuant to the terms of the Registration Rights and Lock-Up Agreement (including without limitation a sale pursuant to any exemptions from the registration requirements of the Securities Act after the expiration of the Lock-up Period), the form of which is set out in Schedule 8 to this Agreement, which shall be executed and delivered by each of the Sellers and the Purchaser.</w:t>
            </w:r>
          </w:p>
        </w:tc>
      </w:tr>
    </w:tbl>
    <w:p>
      <w:pPr>
        <w:pStyle w:val="TextBody"/>
        <w:bidi w:val="0"/>
        <w:spacing w:before="0" w:after="0"/>
        <w:ind w:left="1418" w:right="0" w:hanging="709"/>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45"/>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Legends</w:t>
            </w:r>
          </w:p>
        </w:tc>
      </w:tr>
    </w:tbl>
    <w:p>
      <w:pPr>
        <w:pStyle w:val="TextBody"/>
        <w:bidi w:val="0"/>
        <w:spacing w:before="0" w:after="0"/>
        <w:ind w:left="1418" w:right="0" w:hanging="709"/>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20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Consideration Shares will include a restrictive legend substantially in the form as follows: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THE SECURITIES REPRESENTED HEREBY ARE SUBJECT TO RESTRICTIONS ON TRANSFERABILITY AND RESALE, INCLUDING A LOCK-UP PERIOD AND MAY NOT BE OFFERED, SOLD, TRANSFERRED, PLEDGED OR OTHERWISE DISPOSED, EXCEPT IN ACCORDANCE WITH THE TERMS AS SET FORTH IN THE REGISTRATION RIGHTS AND LOCK-UP AGREEMENT DATED [●] 2026.</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restrictive legend described in Clause 9.2(b)(i) above, the Reg S Consideration Shares will also include a restrictive legend substantially in the form as follows: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SECURITY HAS NOT BEEN REGISTERED UNDER THE U.S. SECURITIES ACT OF 1933, AS AMENDED (THE “SECURITIES ACT”), OR ANY OTHER SECURITIES LAWS OF ANY STATE OF THE UNITED STATES. THE HOLDER HEREOF, BY PURCHASING THIS SECURITY, AGREES THAT NEITHER THIS SECURITY NOR ANY INTEREST OR PARTICIPATION HEREIN MAY BE OFFERED, RESOLD, PLEDGED OR OTHERWISE TRANSFERRED IN THE ABSENCE OF SUCH REGISTRATION UNLESS SUCH TRANSACTION IS EXEMPT FROM, OR NOT SUBJECT TO, SUCH REGISTRATION. THE FOREGOING LEGEND MAY BE REMOVED FROM THIS SECURITY AFTER 40 DAYS BEGINNING ON AND INCLUDING THE ISSUE DATE OF THIS SECURITY.</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forthwith after the execution of this Agreement and at its own expense, coordinate in advance with the Purchaser’s transfer agent to effect removal of such legend on any of the Reg S Consideration Shares as soon as any such legend is not required under applicable requirements of the Securities Act (including judicial interpretations and pronouncements issued by the staff of the SEC). For the avoidance of doubt, the Purchaser agrees that any such legends included pursuant to Clause 9.2(b) shall not be required on the 40th day after each of the Reg S Consideration Shares is issued pursuant to this Agreement, and shall arrange in advance for removal on such dates. In connection with any legend removal, if required by the Purchaser’s transfer agent, the Purchaser shall cause an opinion of counsel to be delivered to and maintained with the Purchaser’s transfer agent, together with any other authorizations, certificates and directions required by the transfer agent that authorize and direct the transfer agent to issue the Reg S Consideration Shares without any such legend. The Purchaser shall bear all direct costs and expenses associated with the removal of such legend.</w:t>
      </w:r>
    </w:p>
    <w:p>
      <w:pPr>
        <w:pStyle w:val="TextBody"/>
        <w:bidi w:val="0"/>
        <w:spacing w:before="0" w:after="0"/>
        <w:ind w:left="21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25</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restrictive legend described in Clause 9.2(b)(i) above, the 4(a)(2) Consideration Shares will also include the restrictive legend substantially in the form as follows: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SECURITY HAS NOT BEEN REGISTERED UNDER THE U.S. SECURITIES ACT OF 1933, AS AMENDED (THE “SECURITIES ACT”), OR APPLICABLE STATE SECURITIES LAWS. THIS SECURITY MAY NOT BE OFFERED FOR SALE, SOLD, TRANSFERRED OR ASSIGNED (I) IN THE ABSENCE OF (A) AN EFFECTIVE REGISTRATION STATEMENT FOR THIS SECURITY UNDER THE SECURITIES ACT OR (B) AN OPINION OF COUNSEL, IN A FORM REASONABLY ACCEPTABLE TO THE COMPANY, THAT REGISTRATION IS NOT REQUIRED UNDER SAID ACT OR (II) UNLESS SOLD PURSUANT TO RULE 144 UNDER SAID ACT. NOTWITHSTANDING THE FOREGOING, THIS SECURITY MAY BE PLEDGED IN CONNECTION WITH A BONA FIDE MARGIN ACCOUNT OR OTHER LOAN OR FINANCING ARRANGEMENT SECURED BY THIS SECURITY.</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with respect to the 4(a)(2) Consideration Shares, the legend set forth in this Clause 9.2(b)(iii) shall be removed and the Purchaser shall cause its transfer agent to issue a certificate without such legend to the holder of the 4(a)(2) Consideration Shares upon which it is stamped, if (A) such 4(a)(2) Consideration Shares are registered for resale under the Securities Act, (B) in connection with a sale, assignment or other transfer, such holder provides the Purchaser with an opinion of a law firm reasonably acceptable to the Purchaser, in a form reasonably acceptable to the Purchaser, to the effect that such sale, assignment or transfer of the 4(a)(2) Consideration Shares may be made without registration under the applicable requirements of the Securities Act, or (C) such holder provides the Purchaser with reasonable assurance that the 4(a)(2) Consideration Shares can be sold, assigned or transferred pursuant to Rule 144 (in which case, the Purchaser shall facilitate the removal of the legend). The Purchaser shall bear all direct costs and expenses associated with the removal of such legend.</w:t>
      </w:r>
    </w:p>
    <w:p>
      <w:pPr>
        <w:pStyle w:val="TextBody"/>
        <w:bidi w:val="0"/>
        <w:spacing w:before="0" w:after="0"/>
        <w:ind w:left="2160" w:right="0" w:hanging="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agree that the Consideration Shares will be resold pursuant to either the registration requirements of the Securities Act, including any applicable prospectus delivery requirements, or an exemption or exclusion therefrom, and in accordance with this Agreement and the Registration Rights and Lock-Up Agreement to be entered into by each of the Sellers and the Purchaser (including without limitation a sale pursuant to any exemptions or exclusions from the registration requirements of the Securities Act after the expiration of the Lock-up Period).</w:t>
            </w:r>
          </w:p>
        </w:tc>
      </w:tr>
    </w:tbl>
    <w:p>
      <w:pPr>
        <w:pStyle w:val="TextBody"/>
        <w:bidi w:val="0"/>
        <w:spacing w:before="0" w:after="0"/>
        <w:ind w:left="1418" w:right="0" w:hanging="709"/>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90"/>
        <w:gridCol w:w="37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37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LIMITATIONS ON LIABILITY</w:t>
            </w:r>
          </w:p>
        </w:tc>
      </w:tr>
    </w:tbl>
    <w:p>
      <w:pPr>
        <w:pStyle w:val="TextBody"/>
        <w:bidi w:val="0"/>
        <w:spacing w:before="0" w:after="0"/>
        <w:ind w:left="709" w:right="0" w:hanging="709"/>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395"/>
        <w:gridCol w:w="75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the Sellers in respect of any Claim shall be limited as provided in Schedule 5.</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Claim that Purchaser may have under this Agreement and the other Transaction Documents against the Sellers, the Purchaser undertakes to the Sellers that, to the fullest extent permitted by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23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Purchaser’s Group Company has any rights; and</w:t>
            </w:r>
          </w:p>
        </w:tc>
      </w:tr>
    </w:tbl>
    <w:p>
      <w:pPr>
        <w:pStyle w:val="TextBody"/>
        <w:bidi w:val="0"/>
        <w:spacing w:before="0" w:after="0"/>
        <w:ind w:left="1440" w:right="0" w:hanging="72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245"/>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 and shall procure that no other Purchaser’s Group Company shall, make any claim,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transactions contemplated under this Agreement, against any Seller’s Affiliates, or any former or current Agent of any Seller or any Seller’s Affiliates, provided that nothing in this Clause 10.2 shall exclude or limit any liability arising from fraud, fraudulent misrepresentation, wilful concealment, or gross negligence.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WARRANTIES</w:t>
            </w:r>
          </w:p>
        </w:tc>
      </w:tr>
    </w:tbl>
    <w:p>
      <w:pPr>
        <w:pStyle w:val="TextBody"/>
        <w:bidi w:val="0"/>
        <w:spacing w:before="0" w:after="0"/>
        <w:ind w:left="720" w:right="0" w:hanging="72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395"/>
        <w:gridCol w:w="22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 of the Purchaser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to the Sellers that each of the Purchaser’s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to the Sellers that each of the Purchaser’s Warranties (other than the Purchaser’s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3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Warranties are given subject to Clause ‎12 and Schedule 5.</w:t>
            </w:r>
          </w:p>
        </w:tc>
      </w:tr>
    </w:tbl>
    <w:p>
      <w:pPr>
        <w:pStyle w:val="TextBody"/>
        <w:bidi w:val="0"/>
        <w:spacing w:before="0" w:after="0"/>
        <w:ind w:left="1440" w:right="0" w:hanging="72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warranties or representations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acknowledge and agree that other than the Purchaser’s Warranties (and the terms of any other agreements in writing entered into in relation to the Transaction), none of the Purchaser or any of its Affiliates makes any warranties or representations of any nature to the Sellers under or in connection with any of the Transaction Documents (whether express or implied by law, trade, custom, usage or otherwise) and that the Sellers have not relied on or been induced by any other representations or warranties made by the Purchaser or any of its Affiliates or Agents to enter into this Agreement. The Sellers hereby irrevocably and unconditionally waive any right they might have to claim damages for breach of any warranty not contained in this Agreement (or any other agreement in writing entered into in relation to the Transaction).</w:t>
      </w:r>
    </w:p>
    <w:p>
      <w:pPr>
        <w:pStyle w:val="TextBody"/>
        <w:bidi w:val="0"/>
        <w:spacing w:before="0" w:after="0"/>
        <w:ind w:left="72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warranties on forecasts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does not give or make any warranty or representation as to the accuracy of the forecasts, estimates, projections, statements of intent or statements of opinion provided to the Sellers or any of their respective Agents on or prior to the date of this Agreement.</w:t>
      </w:r>
    </w:p>
    <w:p>
      <w:pPr>
        <w:pStyle w:val="TextBody"/>
        <w:bidi w:val="0"/>
        <w:spacing w:before="0" w:after="0"/>
        <w:ind w:left="72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90"/>
        <w:gridCol w:w="41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41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LIMITATIONS ON LIABILITY</w:t>
            </w:r>
          </w:p>
        </w:tc>
      </w:tr>
    </w:tbl>
    <w:p>
      <w:pPr>
        <w:pStyle w:val="TextBody"/>
        <w:bidi w:val="0"/>
        <w:spacing w:before="0" w:after="0"/>
        <w:ind w:left="720" w:right="0" w:hanging="72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395"/>
        <w:gridCol w:w="78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the Purchaser in respect of any Claim shall be limited as provided in Schedule 5.</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Claim that the Sellers may have under this Agreement and the other Transaction Documents (and any other agreements in writing entered into in relation to the Transaction) against the Purchaser, the Sellers undertake to the Purchaser that, to the fullest extent permitted by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23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nor any Affiliate of any Seller has any rights; and</w:t>
            </w:r>
          </w:p>
        </w:tc>
      </w:tr>
    </w:tbl>
    <w:p>
      <w:pPr>
        <w:pStyle w:val="TextBody"/>
        <w:bidi w:val="0"/>
        <w:spacing w:before="0" w:after="0"/>
        <w:ind w:left="1440" w:right="0" w:hanging="720"/>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245"/>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not, and shall procure that none of their respective Affiliates shall, make any claim,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transactions contemplated under this Agreement, against the Purchaser’s Affiliates, or any former or current Agent of the Purchaser or the Purchaser’s Affiliates, provided that nothing in this Clause 12.2 shall exclude or limit any liability arising from fraud, fraudulent misrepresentation, wilful concealment, or gross negligence.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90"/>
        <w:gridCol w:w="13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INDEMNITIES</w:t>
            </w:r>
          </w:p>
        </w:tc>
      </w:tr>
    </w:tbl>
    <w:p>
      <w:pPr>
        <w:pStyle w:val="TextBody"/>
        <w:bidi w:val="0"/>
        <w:spacing w:before="0" w:after="0"/>
        <w:ind w:left="720" w:right="0" w:hanging="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395"/>
        <w:gridCol w:w="1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 Indemnities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with effect from, Completion, the Purchaser shall indemnify the Sellers and their Affiliates (the “</w:t>
      </w:r>
      <w:r>
        <w:rPr>
          <w:rFonts w:ascii="Times New Roman;Times;Serif" w:hAnsi="Times New Roman;Times;Serif"/>
          <w:b/>
          <w:i w:val="false"/>
          <w:caps w:val="false"/>
          <w:smallCaps w:val="false"/>
          <w:sz w:val="20"/>
        </w:rPr>
        <w:t>Seller Indemnitees</w:t>
      </w:r>
      <w:r>
        <w:rPr>
          <w:rFonts w:ascii="Times New Roman;Times;Serif" w:hAnsi="Times New Roman;Times;Serif"/>
          <w:b w:val="false"/>
          <w:i w:val="false"/>
          <w:caps w:val="false"/>
          <w:smallCaps w:val="false"/>
          <w:sz w:val="20"/>
        </w:rPr>
        <w:t>”), in its/his Relevant Proportion, against all Losses arising out of, relating to or which results from:</w:t>
      </w:r>
    </w:p>
    <w:p>
      <w:pPr>
        <w:pStyle w:val="TextBody"/>
        <w:bidi w:val="0"/>
        <w:spacing w:before="0" w:after="0"/>
        <w:ind w:left="720" w:right="0" w:hanging="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23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 Purchaser’s Warranties;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any covenant, undertaking or agreement by the Purchaser contained in this Agreement or the Transaction Documents.</w:t>
            </w:r>
          </w:p>
        </w:tc>
      </w:tr>
    </w:tbl>
    <w:p>
      <w:pPr>
        <w:pStyle w:val="TextBody"/>
        <w:bidi w:val="0"/>
        <w:spacing w:before="0" w:after="0"/>
        <w:ind w:left="1440" w:right="0" w:hanging="72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395"/>
        <w:gridCol w:w="16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Indemnities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with effect from, Completion, the Sellers shall indemnify the Purchaser and its Affiliates (the “</w:t>
      </w:r>
      <w:r>
        <w:rPr>
          <w:rFonts w:ascii="Times New Roman;Times;Serif" w:hAnsi="Times New Roman;Times;Serif"/>
          <w:b/>
          <w:i w:val="false"/>
          <w:caps w:val="false"/>
          <w:smallCaps w:val="false"/>
          <w:sz w:val="20"/>
        </w:rPr>
        <w:t>Purchaser Indemnitees</w:t>
      </w:r>
      <w:r>
        <w:rPr>
          <w:rFonts w:ascii="Times New Roman;Times;Serif" w:hAnsi="Times New Roman;Times;Serif"/>
          <w:b w:val="false"/>
          <w:i w:val="false"/>
          <w:caps w:val="false"/>
          <w:smallCaps w:val="false"/>
          <w:sz w:val="20"/>
        </w:rPr>
        <w:t>”) against all Losses arising out of, relating to or which results from:</w:t>
      </w:r>
    </w:p>
    <w:p>
      <w:pPr>
        <w:pStyle w:val="TextBody"/>
        <w:bidi w:val="0"/>
        <w:spacing w:before="0" w:after="0"/>
        <w:ind w:left="72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3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 Sellers’ Warranties;</w:t>
            </w:r>
          </w:p>
        </w:tc>
      </w:tr>
    </w:tbl>
    <w:p>
      <w:pPr>
        <w:pStyle w:val="TextBody"/>
        <w:bidi w:val="0"/>
        <w:spacing w:before="0" w:after="0"/>
        <w:ind w:left="1440" w:right="0" w:hanging="72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245"/>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 Indemnity Claim;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any covenant, undertaking or agreement by the Sellers or the Sellers’ Representative contained in this Agreement or the Transaction Documents.</w:t>
            </w:r>
          </w:p>
        </w:tc>
      </w:tr>
    </w:tbl>
    <w:p>
      <w:pPr>
        <w:pStyle w:val="TextBody"/>
        <w:bidi w:val="0"/>
        <w:spacing w:before="0" w:after="0"/>
        <w:ind w:left="1440" w:right="0" w:hanging="72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90"/>
        <w:gridCol w:w="14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tc>
      </w:tr>
    </w:tbl>
    <w:p>
      <w:pPr>
        <w:pStyle w:val="TextBody"/>
        <w:bidi w:val="0"/>
        <w:spacing w:before="0" w:after="0"/>
        <w:ind w:left="720" w:right="0" w:hanging="72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395"/>
        <w:gridCol w:w="5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 prior to Completion:</w:t>
            </w:r>
          </w:p>
        </w:tc>
      </w:tr>
    </w:tbl>
    <w:p>
      <w:pPr>
        <w:pStyle w:val="TextBody"/>
        <w:bidi w:val="0"/>
        <w:spacing w:before="0" w:after="0"/>
        <w:ind w:left="720" w:right="0" w:hanging="72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3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mutual written consent of the Purchaser and the Sellers’ Representative (acting on behalf of all the Sellers);</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45"/>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Purchaser if:</w:t>
            </w:r>
          </w:p>
        </w:tc>
      </w:tr>
    </w:tbl>
    <w:p>
      <w:pPr>
        <w:pStyle w:val="TextBody"/>
        <w:bidi w:val="0"/>
        <w:spacing w:before="0" w:after="0"/>
        <w:ind w:left="1440" w:right="0" w:hanging="720"/>
        <w:jc w:val="both"/>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20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entitled to terminate this Agreement in accordance with Clause 4.6 or 7.3;</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are in breach of any of their obligations under Clause 5 and such breach or breaches taken together are material to the Group as a whole;</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Seller is in breach of any of the Sellers’ Warranties as given at the date of this Agreement and such breach or breaches taken together are material to the Group as a whole; or</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would be, if Completion were to occur, a breach of any of the Sellers’ Warranties as repeated immediately before Completion under Clause 8.1(b) and such breach would give rise to a Company Material Adverse Change;</w:t>
            </w:r>
          </w:p>
        </w:tc>
      </w:tr>
    </w:tbl>
    <w:p>
      <w:pPr>
        <w:pStyle w:val="TextBody"/>
        <w:bidi w:val="0"/>
        <w:spacing w:before="0" w:after="0"/>
        <w:ind w:left="2126" w:right="0" w:hanging="72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3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Sellers’ Representative (acting on behalf of all the Sellers) if: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Representative (acting on behalf of all the Sellers) is entitled to terminate this Agreement in accordance with Clause 4.6 or 7.3;</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in breach of (A) any of its obligations under Clause 6 and such breach or breaches taken together are material to the Purchaser’s Group as a whole or are material to the value of the Consideration Shares to be issued to the Sellers or (B) Clause 6.1(c), or any of the Diginex Founder Warrants or Outstanding IPO Warrants have been exercised on or after the date of this Agreement;</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in breach of any of the Purchaser’s Warranties as given at the date of this Agreement and such breach or breaches taken together are material to the Purchaser’s Group as a whole;</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would be, if Completion were to occur, a breach of any of the Purchaser’s Warranties as repeated immediately before Completion under Clause 11.1 and such breach would give rise to a Purchaser Material Adverse Change;</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Shareholder Approval is not obtained pursuant to Clause 3.4(d) or is otherwise withdrawn, amended or revoked; or</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Completion, the Group is impeded or restricted from obtaining such funding as is necessary to adequately fund the Group’s operating costs and outstanding liabilities on terms reasonably acceptable to the Sellers’ Representative, due to or in connection with any of the transactions contemplated in the Transaction Documents; or</w:t>
            </w:r>
          </w:p>
        </w:tc>
      </w:tr>
    </w:tbl>
    <w:p>
      <w:pPr>
        <w:pStyle w:val="TextBody"/>
        <w:bidi w:val="0"/>
        <w:spacing w:before="0" w:after="0"/>
        <w:ind w:left="2126"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Purchaser or the Sellers’ Representative (acting on behalf of all the Sellers) in the event that any Governmental Authority shall have issued an order, decree or ruling or taken any other action restraining, enjoining or otherwise prohibiting the transactions contemplated by this Agreement and such order, decree, ruling or other action shall have become final and non-appealable.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termination of this Agreement as provided in Clause 14.1, this Agreement shall cease to have further effect except for the Continuing Provisions (which shall remain in force) but without prejudice to any rights or liabilities that have accrued prior to termination.</w:t>
            </w:r>
          </w:p>
        </w:tc>
      </w:tr>
    </w:tbl>
    <w:p>
      <w:pPr>
        <w:pStyle w:val="TextBody"/>
        <w:bidi w:val="0"/>
        <w:spacing w:before="0" w:after="0"/>
        <w:ind w:left="720" w:right="0" w:hanging="72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90"/>
        <w:gridCol w:w="19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POST-COMPLETION</w:t>
            </w:r>
          </w:p>
        </w:tc>
      </w:tr>
    </w:tbl>
    <w:p>
      <w:pPr>
        <w:pStyle w:val="TextBody"/>
        <w:bidi w:val="0"/>
        <w:spacing w:before="0" w:after="0"/>
        <w:ind w:left="720" w:right="0" w:hanging="72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95"/>
        <w:gridCol w:w="18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Date, no Seller (other than the Founders) shall retain in its possession or under its control, in any form, any agreements, documents, books and records, files or other information, or any computer disks, records, tapes or any other storage medium that contains any agreements, documents, books and records, files and other information, relating to the business and operations of the Group (including any personal or other information stored on any media by any employees of the Group), including any of the foregoing that is stored on any server or other storage media maintained by a third party on behalf of a Seller (including any “cloud” storage platform). If, notwithstanding the foregoing, any Seller (other than the Founders) discovers following the Completion Date that it is in possession of or has under its control any such items, such Seller shall as soon as reasonably practicable (a) deliver to the Purchaser any such items and (b) thereafter permanently delete and erase all such information (including all copies thereof) in its possession or under its control.</w:t>
            </w:r>
          </w:p>
        </w:tc>
      </w:tr>
    </w:tbl>
    <w:p>
      <w:pPr>
        <w:pStyle w:val="TextBody"/>
        <w:bidi w:val="0"/>
        <w:spacing w:before="0" w:after="0"/>
        <w:ind w:left="720" w:right="0" w:hanging="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expressly provided in Clause 16.2, each Party shall treat all Confidential Information as strictly confidential and not disclose or use any Confidential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395"/>
        <w:gridCol w:w="84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confidentiality restrictions in Clause 16.1 shall not apply to disclosure of Confidential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Party to its Agents and Affiliates, provided such recipient’s function requires it to have such Confidential Information and provided that such recipient is subject to confidentiality obligations that are no less restrictive than this Clause 16;</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Seller to any potential sources of Permitted Equity Financing and/or debt capital as referred to in Clause 5.2(c)(iv), on a need-to-know basis and provided that such recipient is subject to confidentiality obligations that are no less restrictive than this Clause 16;</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is required by Applicable Law or any securities exchange, regulatory or governmental body or Tax Authority, whether or not the requirement has the force of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where permitted pursuant to Applicable Law and so far as it is practicable to do so, prior written notice of any Confidential Information to be disclosed pursuant to this Clause 16.2(c) shall be given to the other Parties so that such other Parties may (at their own expense) obtain a protective order (it being understood and agreed that the disclosing party shall only disclose such Confidential Information as it is advised by counsel is required to be disclosed by Applicable Law in such circumstance);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which is required pursuant to an order of a court of competent jurisdiction or in connection with legal proceedings in relation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where permitted pursuant to Applicable Law and so far as it is practicable to do so, prior written notice of any Confidential Information to be disclosed pursuant to this Clause 16.2(d) shall be given to the other Parties so that such other Parties may (at their own expense) obtain a protective order (it being understood and agreed that the disclosing party shall only disclose such Confidential Information as it is advised by counsel is required to be disclosed by Applicable Law in such circumstance);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Party in circumstances where such Confidential Information was already in the lawful possession of that Party or its Agents without any obligation of confidentiality prior to disclosure by any other Party (as evidenced by written records);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0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comes into the public domain other than as a result of a breach by a Party of this Clause 16;</w:t>
            </w:r>
          </w:p>
        </w:tc>
      </w:tr>
    </w:tbl>
    <w:p>
      <w:pPr>
        <w:pStyle w:val="TextBody"/>
        <w:bidi w:val="0"/>
        <w:spacing w:before="0" w:after="0"/>
        <w:ind w:left="144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Party in circumstances where the other Parties have given prior written approval to the disclosure or use; or</w:t>
            </w:r>
          </w:p>
        </w:tc>
      </w:tr>
    </w:tbl>
    <w:p>
      <w:pPr>
        <w:pStyle w:val="TextBody"/>
        <w:bidi w:val="0"/>
        <w:spacing w:before="0" w:after="0"/>
        <w:ind w:left="1440" w:right="0" w:hanging="72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45"/>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independently developed by the disclosing Party after Completion.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Completion the confidentiality restrictions in this Clause 16 shall (a) terminate with respect to the Purchaser, the Purchaser’s Group Companies and their respective Affiliates and Agents and (b) continue to apply to the Sellers and their respective Affiliates and Agents;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confidentiality restrictions in this Clause 16 shall continue apply after the termination of this Agreement for a period of three years following the date thereof.</w:t>
            </w:r>
          </w:p>
        </w:tc>
      </w:tr>
    </w:tbl>
    <w:p>
      <w:pPr>
        <w:pStyle w:val="TextBody"/>
        <w:bidi w:val="0"/>
        <w:spacing w:before="0" w:after="0"/>
        <w:ind w:left="720" w:right="0" w:hanging="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90"/>
        <w:gridCol w:w="18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announcement shall be made by or on behalf of any Party or any of their Affiliates relating to the existence or subject matter of this Agreement without the prior written approval of the other Parties, such approval not to be unreasonably withheld, conditioned or delayed, and provided that where a Party requests to make an announcement, the other Party shall respond within 24 hours of receipt of request and the disclosing Party shall take into reasonable comments from the other Party as to the form and content of the proposed announcement.</w:t>
      </w:r>
    </w:p>
    <w:p>
      <w:pPr>
        <w:pStyle w:val="TextBody"/>
        <w:bidi w:val="0"/>
        <w:spacing w:before="0" w:after="0"/>
        <w:ind w:left="72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terms implied by law, the Transaction Documents constitute the whole and only agreement between the Parties in relation to the Transaction, and supersedes any previous arrangements or agreements (whether written or oral) between them in relation to the subject matter of any such document.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conflict between the terms of this Agreement and any other agreement, this Agreement shall prevail as between the Parties unless:</w:t>
            </w:r>
          </w:p>
        </w:tc>
      </w:tr>
    </w:tbl>
    <w:p>
      <w:pPr>
        <w:pStyle w:val="TextBody"/>
        <w:bidi w:val="0"/>
        <w:spacing w:before="0" w:after="0"/>
        <w:ind w:left="72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agreement expressly states that it overrides this Agreement in the relevant respect;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and the Purchaser are either also parties to that other agreement or otherwise expressly agree in writing that such other agreement shall override this Agreement in that respect.</w:t>
            </w:r>
          </w:p>
        </w:tc>
      </w:tr>
    </w:tbl>
    <w:p>
      <w:pPr>
        <w:pStyle w:val="TextBody"/>
        <w:bidi w:val="0"/>
        <w:spacing w:before="0" w:after="0"/>
        <w:ind w:left="1440" w:right="0" w:hanging="72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is or becomes illegal, invalid or unenforceable in any respect under Applicable Law, it shall be deemed to be severed from this Agreement. The remaining provisions will remain in full force in that jurisdiction and all provisions will continue in full force in any other jurisdiction.</w:t>
      </w:r>
    </w:p>
    <w:p>
      <w:pPr>
        <w:pStyle w:val="TextBody"/>
        <w:bidi w:val="0"/>
        <w:spacing w:before="0" w:after="0"/>
        <w:ind w:left="72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without the prior written consent of the Purchaser and the Sellers’ Representative, assign, transfer, charge, declare a trust of or otherwise dispose of all or any part of its rights and benefits under this Agreement (including any cause of action arising in connection with any of them) or of any right or interest in any of them.</w:t>
      </w:r>
    </w:p>
    <w:p>
      <w:pPr>
        <w:pStyle w:val="TextBody"/>
        <w:bidi w:val="0"/>
        <w:spacing w:before="0" w:after="0"/>
        <w:ind w:left="72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90"/>
        <w:gridCol w:w="12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2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variation of this Agreement shall be effective unless in writing and signed by or on behalf of the Purchaser and the Sellers’ Representative (acting on behalf of all the Sellers).</w:t>
      </w:r>
    </w:p>
    <w:p>
      <w:pPr>
        <w:pStyle w:val="TextBody"/>
        <w:bidi w:val="0"/>
        <w:spacing w:before="0" w:after="0"/>
        <w:ind w:left="72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90"/>
        <w:gridCol w:w="24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4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AND WAIVERS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of any right under this Agreement shall be effective unless in writing and signed by or on behalf of the Party waving compliance (it being understood and agreed that the Sellers’ Representative shall be entitled to waive compliance on behalf of all Sellers). Unless expressly stated otherwise, a waiver shall be effective only in the circumstances for which it is given.</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delay or omission by any Party in exercising any right or remedy provided by law or under or pursuant to this Agreement, except in relation to any right or remedy contained in Schedule 5, shall impair such right or remedy or operate or be construed as a waiver or variation of such right or remedy or preclude its exercise at any subsequent time.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single or partial exercise of a right or remedy by any Party under this Agreement shall not preclude any other nor restrict any further exercise of any such right or remedy.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provided in this Agreement are cumulative, may be exercised as often as a Party considers appropriate and are in addition to its rights or remedies provided by Applicable Law, except as otherwise expressly provided. Each Party acknowledges and agrees that a claim for damages may not always provide adequate remedy for every breach of this Agreement and therefore, without prejudice to any rights and/or remedies the Parties may have (including, but not limited to, damages) under this Agreement, each Party will be entitled to the remedies of injunction, specific performance, rescission, termination and other equitable remedy for any threatened or actual breach of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Clause 22 shall have the effect of excluding or limiting any liability for or remedy in respect of fraud, wilful misconduct or wilful concealment.</w:t>
            </w:r>
          </w:p>
        </w:tc>
      </w:tr>
    </w:tbl>
    <w:p>
      <w:pPr>
        <w:pStyle w:val="TextBody"/>
        <w:bidi w:val="0"/>
        <w:spacing w:before="0" w:after="0"/>
        <w:ind w:left="720" w:right="0" w:hanging="72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90"/>
        <w:gridCol w:w="25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2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COMPLETION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provision of this Agreement shall continue in full force and effect after Completion, except to the extent that a provision has been fully performed on or before Completion.</w:t>
      </w:r>
    </w:p>
    <w:p>
      <w:pPr>
        <w:pStyle w:val="TextBody"/>
        <w:bidi w:val="0"/>
        <w:spacing w:before="0" w:after="0"/>
        <w:ind w:left="72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to perform (or procure the performance of) all further acts and things, and execute and deliver (or procure the execution and delivery of) such further documents, as may be required by Applicable Law or as another Party may reasonably require to implement and/or give effect to this Agreement and each other Transaction Document.</w:t>
      </w:r>
    </w:p>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PARTY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is not a Party has no right under the Contracts (Rights of Third Parties) Act 2001 of Singapore to enforce any term of this Agreement.</w:t>
      </w:r>
    </w:p>
    <w:p>
      <w:pPr>
        <w:pStyle w:val="TextBody"/>
        <w:bidi w:val="0"/>
        <w:spacing w:before="0" w:after="0"/>
        <w:ind w:left="72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1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to be made under this Agreement shall be paid by telegraphic transfer in immediately available cleared funds and in the case of:</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to any Seller, to such account that is notified by such Seller to the relevant payee in writing at least ten (10) Business Days before the due date for that payment;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to the Purchaser, to such account that is notified by the Purchaser to the relevant payee in writing at least ten (10) Business Days before the due date for that payment.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telegraphic transfer made in connection with this Agreement, any costs or bank or other charges of the sending bank shall be borne by the Party making that payment and any costs or bank or other charges of the recipient bank shall be borne by the Party receiving that payment.</w:t>
            </w:r>
          </w:p>
        </w:tc>
      </w:tr>
    </w:tbl>
    <w:p>
      <w:pPr>
        <w:pStyle w:val="TextBody"/>
        <w:bidi w:val="0"/>
        <w:spacing w:before="0" w:after="0"/>
        <w:ind w:left="720" w:right="0" w:hanging="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395"/>
        <w:gridCol w:w="56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to be made under this Agreement shall be made in USD.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pay all sums payable by them under this Agreement free and clear of all deductions or withholdings unless any Applicable Law requires a deduction or withholding to be made.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by the Sellers to the Purchaser pursuant to a Claim under this Agreement shall, so far as possible, be deemed to be a reduction of the purchase price referred to in Clause 3.1.</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Tax Authority brings any sum paid by any Seller under or pursuant to this Agreement into charge to Tax, then such Seller shall pay such additional amount as will ensure that the total amount paid, less the Tax chargeable on such amount, is equal to the amount that would otherwise be payable under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otherwise, each Party shall pay its own costs and expenses incurred in connection with the negotiation, preparation and performance of the Transaction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bear the cost of all stamp duty, transfer taxes and duties or their equivalents in all jurisdictions where such fees, taxes and duties are payable as a result of the Transaction, as well as any deed, instrument, transfer or other document executed to give effect to any provisions of this Agreement or any of the other Transaction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demand or other communication to be given by a Party under or in connection with this Agreement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shall be in the English language in writing and signed by or on behalf of the Party giving it. A Notice shall be served by delivering it personally, sending it by email to the email address set out in Clause 28.2 or delivering it by courier to the address set out in Clause 28.2, in each case marked for the attention of the person specified in that Clause. A Notice so served by email, courier or hand shall be deemed to have been received:</w:t>
            </w:r>
          </w:p>
        </w:tc>
      </w:tr>
    </w:tbl>
    <w:p>
      <w:pPr>
        <w:pStyle w:val="TextBody"/>
        <w:bidi w:val="0"/>
        <w:spacing w:before="0" w:after="0"/>
        <w:ind w:left="720" w:right="0" w:hanging="72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3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delivery, if delivered personally;</w:t>
            </w:r>
          </w:p>
        </w:tc>
      </w:tr>
    </w:tbl>
    <w:p>
      <w:pPr>
        <w:pStyle w:val="TextBody"/>
        <w:bidi w:val="0"/>
        <w:spacing w:before="0" w:after="0"/>
        <w:ind w:left="1440" w:right="0" w:hanging="72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24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transmission, if sent by email; or</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(3) Business Days after the time and date of posting, if sent by courier,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if deemed receipt of any Notice occurs after 6 p.m. or is not on a Business Day, deemed receipt of the Notice shall be 9 a.m. on the next Business Day. References to time in this Clause 28 are to local time in the country of the addressee.</w:t>
      </w:r>
    </w:p>
    <w:p>
      <w:pPr>
        <w:pStyle w:val="TextBody"/>
        <w:bidi w:val="0"/>
        <w:spacing w:before="0" w:after="0"/>
        <w:ind w:left="72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95"/>
        <w:gridCol w:w="48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and email addresses for service of Notice 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Sellers: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relevant addressee, address and email address set out against the relevant Seller’s name in column (2) of Part 2 of Schedule 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p>
      <w:pPr>
        <w:pStyle w:val="TextBody"/>
        <w:bidi w:val="0"/>
        <w:spacing w:before="0" w:after="0"/>
        <w:ind w:left="72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1640"/>
        <w:gridCol w:w="3515"/>
      </w:tblGrid>
      <w:tr>
        <w:trPr/>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r>
          </w:p>
        </w:tc>
      </w:tr>
      <w:tr>
        <w:trPr/>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Room 1311, Level 13 Leighton Centre</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Leighton Road</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Causeway Bay</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r>
      <w:tr>
        <w:trPr/>
        <w:tc>
          <w:tcPr>
            <w:tcW w:w="1640" w:type="dxa"/>
            <w:tcBorders/>
            <w:vAlign w:val="center"/>
          </w:tcPr>
          <w:p>
            <w:pPr>
              <w:pStyle w:val="TableContents"/>
              <w:bidi w:val="0"/>
              <w:spacing w:before="0" w:after="283"/>
              <w:jc w:val="both"/>
              <w:rPr>
                <w:caps w:val="false"/>
                <w:smallCaps w:val="false"/>
              </w:rPr>
            </w:pPr>
            <w:r>
              <w:rPr>
                <w:caps w:val="false"/>
                <w:smallCaps w:val="false"/>
              </w:rPr>
              <w:t> </w:t>
            </w:r>
          </w:p>
        </w:tc>
        <w:tc>
          <w:tcPr>
            <w:tcW w:w="3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Ewing</w:t>
            </w:r>
          </w:p>
        </w:tc>
      </w:tr>
      <w:tr>
        <w:trPr/>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paul.ewing@diginex.com</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shall notify the other Parties of any change to its details in Clause 28.2 for the purposes of this Clause 28, provided that such notification shall only be effective on the later of the date specified in the notification and five (5) Business Days after deemed receipt.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proving service it shall be sufficient to prove that delivery by hand was made, the envelope containing such Notice was properly addressed and delivered either to the address shown thereon or into the custody of the postal authorities as a pre-paid recorded post or international courier, or that the electronic mail was properly addressed and transmitted to the relevant electronic mail address, as the case may be.</w:t>
            </w:r>
          </w:p>
        </w:tc>
      </w:tr>
    </w:tbl>
    <w:p>
      <w:pPr>
        <w:pStyle w:val="TextBody"/>
        <w:bidi w:val="0"/>
        <w:spacing w:before="0" w:after="0"/>
        <w:ind w:left="720" w:right="0" w:hanging="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90"/>
        <w:gridCol w:w="16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and by each Party on separate counterparts and each such counterpart shall constitute an original of this Agreement but all of which together constitute one and the same instrument as if each Party had signed the same document. Delivery of a counterpart of this Agreement in Adobe Acrobat Portable Document Format (PDF) sent by e-mail shall be an effective mode of delivery. This Agreement shall not be effective until each Party has executed at least one (1) counterpart.</w:t>
      </w:r>
    </w:p>
    <w:p>
      <w:pPr>
        <w:pStyle w:val="TextBody"/>
        <w:bidi w:val="0"/>
        <w:spacing w:before="0" w:after="0"/>
        <w:ind w:left="72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90"/>
        <w:gridCol w:w="4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4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DISPUTE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construction, validity and performance of this Agreement and all non-contractual obligations arising from or connected with this Agreement shall be governed by the laws of Singapore.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arising out of or in connection with this Agreement, including any question regarding its existence, validity or termination, shall be referred to, and finally settled by, arbitration administered by the Singapore International Arbitration Centre in accordance with the Arbitration Rules of the Singapore International Arbitration Centre in force at the commencement of the arbitration. The arbitration tribunal shall consist of one (1) arbitrator. The language of arbitration shall be English. The seat of arbitration shall be Singapore. This agreement to arbitrate is governed by Singapore law.</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 – Particulars of the Sellers1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6"/>
        <w:gridCol w:w="60"/>
        <w:gridCol w:w="1191"/>
        <w:gridCol w:w="60"/>
        <w:gridCol w:w="1278"/>
      </w:tblGrid>
      <w:tr>
        <w:trPr/>
        <w:tc>
          <w:tcPr>
            <w:tcW w:w="761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r>
      <w:tr>
        <w:trPr/>
        <w:tc>
          <w:tcPr>
            <w:tcW w:w="7616"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name and details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Sale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Relevant Proportion (%)</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RADHIKA SUNDARAM</w:t>
            </w:r>
            <w:r>
              <w:rPr>
                <w:rFonts w:ascii="Times New Roman;Times;Serif" w:hAnsi="Times New Roman;Times;Serif"/>
                <w:b w:val="false"/>
                <w:i w:val="false"/>
                <w:caps w:val="false"/>
                <w:smallCaps w:val="false"/>
                <w:sz w:val="20"/>
              </w:rPr>
              <w:t xml:space="preserve">, an individual with NRIC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47 Kew Heights, #01-47, Singapore 465927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754,244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25.5105%</w:t>
            </w:r>
          </w:p>
        </w:tc>
      </w:tr>
      <w:tr>
        <w:trPr/>
        <w:tc>
          <w:tcPr>
            <w:tcW w:w="761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RAMBACTHAVACHALAM DHAKSHINA MOORTHY, </w:t>
            </w:r>
            <w:r>
              <w:rPr>
                <w:rFonts w:ascii="Times New Roman;Times;Serif" w:hAnsi="Times New Roman;Times;Serif"/>
                <w:b w:val="false"/>
                <w:i w:val="false"/>
                <w:caps w:val="false"/>
                <w:smallCaps w:val="false"/>
                <w:sz w:val="20"/>
              </w:rPr>
              <w:t xml:space="preserve">an individual with Aadhar Card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D-2, Plot no 13-18, Ramchitra Apartments, 2nd Cross Street United Colony, Medavakkam, Kancheepuram, Tamil Nadu – 600100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754,244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25.5105%</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BLUE PENNY PTE. LTD.</w:t>
            </w:r>
            <w:r>
              <w:rPr>
                <w:rFonts w:ascii="Times New Roman;Times;Serif" w:hAnsi="Times New Roman;Times;Serif"/>
                <w:b w:val="false"/>
                <w:i w:val="false"/>
                <w:caps w:val="false"/>
                <w:smallCaps w:val="false"/>
                <w:sz w:val="20"/>
              </w:rPr>
              <w:t xml:space="preserve">, a company incorporated under the laws of Singapore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101 Cecil Street, #19-13 Tong Eng Building, Singapore 069533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355,094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12.0102%</w:t>
            </w:r>
          </w:p>
        </w:tc>
      </w:tr>
      <w:tr>
        <w:trPr/>
        <w:tc>
          <w:tcPr>
            <w:tcW w:w="761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 PENNY PTE. LTD.</w:t>
            </w:r>
            <w:r>
              <w:rPr>
                <w:rFonts w:ascii="Times New Roman;Times;Serif" w:hAnsi="Times New Roman;Times;Serif"/>
                <w:b w:val="false"/>
                <w:i w:val="false"/>
                <w:caps w:val="false"/>
                <w:smallCaps w:val="false"/>
                <w:sz w:val="20"/>
              </w:rPr>
              <w:t xml:space="preserve">, a company incorporated under the laws of Singapore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101 Cecil Street, #19-13 Tong Eng Building, Singapore 069533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284,447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9.6207%</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KASSNIK PTY LTD</w:t>
            </w:r>
            <w:r>
              <w:rPr>
                <w:rFonts w:ascii="Times New Roman;Times;Serif" w:hAnsi="Times New Roman;Times;Serif"/>
                <w:b w:val="false"/>
                <w:i w:val="false"/>
                <w:caps w:val="false"/>
                <w:smallCaps w:val="false"/>
                <w:sz w:val="20"/>
              </w:rPr>
              <w:t xml:space="preserve">, a company incorporated under the laws of Australia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Level 5, 607 St Kilda Road, Melbourne, Vic 3004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189,246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6.4008%</w:t>
            </w:r>
          </w:p>
        </w:tc>
      </w:tr>
      <w:tr>
        <w:trPr/>
        <w:tc>
          <w:tcPr>
            <w:tcW w:w="761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CENTILLION INNOVATIONS PRIVATE LIMITED</w:t>
            </w:r>
            <w:r>
              <w:rPr>
                <w:rFonts w:ascii="Times New Roman;Times;Serif" w:hAnsi="Times New Roman;Times;Serif"/>
                <w:b w:val="false"/>
                <w:i w:val="false"/>
                <w:caps w:val="false"/>
                <w:smallCaps w:val="false"/>
                <w:sz w:val="20"/>
              </w:rPr>
              <w:t xml:space="preserve">, a company incorporated under the laws of Singapore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160 Robinson Road, #14-04, Singapore Business Federation Centre, Singapore 068914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129,046 Preference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4.3647%</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HARESH RAM KHOOBCHANDANI</w:t>
            </w:r>
            <w:r>
              <w:rPr>
                <w:rFonts w:ascii="Times New Roman;Times;Serif" w:hAnsi="Times New Roman;Times;Serif"/>
                <w:b w:val="false"/>
                <w:i w:val="false"/>
                <w:caps w:val="false"/>
                <w:smallCaps w:val="false"/>
                <w:sz w:val="20"/>
              </w:rPr>
              <w:t xml:space="preserve">, an individual with NRIC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16 Lorong K Telok Kurau, #01-06, The Amery, Singapore 425612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91,232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3.0857%</w:t>
            </w:r>
          </w:p>
        </w:tc>
      </w:tr>
      <w:tr>
        <w:trPr/>
        <w:tc>
          <w:tcPr>
            <w:tcW w:w="7616" w:type="dxa"/>
            <w:tcBorders/>
            <w:shd w:fill="FFFFFF" w:val="clear"/>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35,371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1.1963%</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500 TUKTUKS, L.P.</w:t>
            </w:r>
            <w:r>
              <w:rPr>
                <w:rFonts w:ascii="Times New Roman;Times;Serif" w:hAnsi="Times New Roman;Times;Serif"/>
                <w:b w:val="false"/>
                <w:i w:val="false"/>
                <w:caps w:val="false"/>
                <w:smallCaps w:val="false"/>
                <w:sz w:val="20"/>
              </w:rPr>
              <w:t xml:space="preserve">, an exempted limited partnership formed under the laws of the Cayman Islands with EIN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3478 Buskirk Avenue, Suite 1000, Pleasant Hill, CA 94523, United States of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32,909 Preference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1.1131%</w:t>
            </w:r>
          </w:p>
        </w:tc>
      </w:tr>
      <w:tr>
        <w:trPr/>
        <w:tc>
          <w:tcPr>
            <w:tcW w:w="761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BRELKO CONVEYOR PRODUCTS (PTY) LTD</w:t>
            </w:r>
            <w:r>
              <w:rPr>
                <w:rFonts w:ascii="Times New Roman;Times;Serif" w:hAnsi="Times New Roman;Times;Serif"/>
                <w:b w:val="false"/>
                <w:i w:val="false"/>
                <w:caps w:val="false"/>
                <w:smallCaps w:val="false"/>
                <w:sz w:val="20"/>
              </w:rPr>
              <w:t xml:space="preserve">, a company incorporated under the laws of South Africa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44, Chambers Street, Reuven Ext.1, Booyens, Johannesburg 2091, South Africa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27,159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0.9186%</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KANABARAN PADAYACHEE AND SHARON RUNGANAIGIE PADAYACHEE*</w:t>
            </w:r>
            <w:r>
              <w:rPr>
                <w:rFonts w:ascii="Times New Roman;Times;Serif" w:hAnsi="Times New Roman;Times;Serif"/>
                <w:b w:val="false"/>
                <w:i w:val="false"/>
                <w:caps w:val="false"/>
                <w:smallCaps w:val="false"/>
                <w:sz w:val="20"/>
              </w:rPr>
              <w:t xml:space="preserve">, individuals with Passport numbers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22 Ferero Street, Eden Glen X1, Johannesburg, Republic of South Africa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27,159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0.9186%</w:t>
            </w:r>
          </w:p>
        </w:tc>
      </w:tr>
      <w:tr>
        <w:trPr/>
        <w:tc>
          <w:tcPr>
            <w:tcW w:w="761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TIGER SEE FINANCING LIMITED</w:t>
            </w:r>
            <w:r>
              <w:rPr>
                <w:rFonts w:ascii="Times New Roman;Times;Serif" w:hAnsi="Times New Roman;Times;Serif"/>
                <w:b w:val="false"/>
                <w:i w:val="false"/>
                <w:caps w:val="false"/>
                <w:smallCaps w:val="false"/>
                <w:sz w:val="20"/>
              </w:rPr>
              <w:t xml:space="preserve">, a company incorporated under the laws of Malta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Level 3 (Suite No. 3494) Tower Business Centre, Triq It-Torri, Swatar, Birkirkara Bkr 4013, Malta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26,445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0.8944%</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22,764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0.7699%</w:t>
            </w:r>
          </w:p>
        </w:tc>
      </w:tr>
      <w:tr>
        <w:trPr/>
        <w:tc>
          <w:tcPr>
            <w:tcW w:w="761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DELPHAI TEAMS HOLDING PTE LTD*</w:t>
            </w:r>
            <w:r>
              <w:rPr>
                <w:rFonts w:ascii="Times New Roman;Times;Serif" w:hAnsi="Times New Roman;Times;Serif"/>
                <w:b w:val="false"/>
                <w:i w:val="false"/>
                <w:caps w:val="false"/>
                <w:smallCaps w:val="false"/>
                <w:sz w:val="20"/>
              </w:rPr>
              <w:t xml:space="preserve">, a company incorporated under the laws of Singapore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3 Temasek Avenue, #21-27, Centennial Tower, Singapore 039190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227,245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7.6860%</w:t>
            </w:r>
          </w:p>
        </w:tc>
      </w:tr>
      <w:tr>
        <w:trPr/>
        <w:tc>
          <w:tcPr>
            <w:tcW w:w="761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616" w:type="dxa"/>
            <w:tcBorders/>
            <w:shd w:fill="FFFF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2,956,605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Shares to be issued prior to Completion.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 The Parties agree that this Part 1 of Schedule 1 shall be subject to such updates pursuant to Clause 4.3(e).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 Notice Details of the Sellers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8"/>
        <w:gridCol w:w="60"/>
        <w:gridCol w:w="6717"/>
      </w:tblGrid>
      <w:tr>
        <w:trPr/>
        <w:tc>
          <w:tcPr>
            <w:tcW w:w="342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r>
      <w:tr>
        <w:trPr/>
        <w:tc>
          <w:tcPr>
            <w:tcW w:w="34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details</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47 Kew Heights, #01-47, Singapore 465927</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Radhika Sundaram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Rambackthavachalam Dhakshina Moorthy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D-2, Plot no 13-18, Ramchitra Apartments, 2nd Cross Street United Colony, Medavakkam, Kancheepuram, Tamilnadu - 600100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Rambackthavachalam Dhakshina Moorthy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101 Cecil Street, #19-13 Tong Eng Building, Singapore 069533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Giandeo Pittea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101 Cecil Street, #19-13 Tong Eng Building, Singapore 069533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Giandeo Pittea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Kassnik Pty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Level 5, 607 St Kilda Road, Melbourne, Vic 3004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Arthur Charlaftis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Centillion Innovations Private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160 Robinson Road, #14-04, Singapore Business Federation Centre, Singapore 068914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Buvan.P</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Haresh Ram Khoobchandani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16 Lorong K Telok Kurau, #01-06, The Amery, Singapore 425612</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Haresh Ram Khoobchandani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Tuktuks,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3478 Buskirk Avenue, Suite 1000, Pleasant Hill, CA 94523, United States of America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Mameaw Sappraset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Brelko Conveyor Products (Pty) Limited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44, Chambers Street, Reuven Ext.1, Booyens, Johannesburg 2091, South Africa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Gasin Padayachee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Kanabaran Padayachee and Sharon Runganaigie Padayachee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22 Ferero Street, Eden Glen X1, Johannesburg, Republic of South Africa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Kanabaran Padayachee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Tiger See Financing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93, Mill Street Qormi, QRM 3102, Malta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Vassil Terdziev</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DelphAI Teams Holding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3 Temasek Avenue, #21-27, Centennial Tower, Singapore 039190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Ramesh Vijayan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3 – Consideration Shares2</w:t>
      </w:r>
    </w:p>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4820"/>
        <w:gridCol w:w="60"/>
        <w:gridCol w:w="1850"/>
      </w:tblGrid>
      <w:tr>
        <w:trPr/>
        <w:tc>
          <w:tcPr>
            <w:tcW w:w="48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r>
      <w:tr>
        <w:trPr/>
        <w:tc>
          <w:tcPr>
            <w:tcW w:w="48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(and/or its nominee)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 Shares</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153,062,854</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Rambackthavachalam Dhakshina Moorthy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153,062,854</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72,061,165</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57,724,383</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Kassnik Pty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38,404,724</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Centillion Innovations Private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26,188,010</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Haresh Ram Khoobchandani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18,514,208</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7,178,030</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Tuktuks,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6,678,403</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Brelko Conveyor Products (PTY)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5,511,524</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Kanabaran Padayachee &amp; Sharon Runganaigie Padayachee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5,511,524</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Tiger See Financing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5,366,628</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4,619,623</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DelphAI Teams Holding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46,116,069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Parties agree that this Part 3 of Schedule 1 shall be subject to such updates pursuant to Clause 4.3(e).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of the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1 - Details of the Company</w:t>
      </w:r>
    </w:p>
    <w:p>
      <w:pPr>
        <w:pStyle w:val="TextBody"/>
        <w:bidi w:val="0"/>
        <w:spacing w:before="0" w:after="0"/>
        <w:ind w:left="0" w:right="0" w:hanging="0"/>
        <w:jc w:val="left"/>
        <w:rPr>
          <w:caps w:val="false"/>
          <w:smallCaps w:val="false"/>
        </w:rPr>
      </w:pPr>
      <w:r>
        <w:rPr>
          <w:caps w:val="false"/>
          <w:smallCaps w:val="false"/>
        </w:rPr>
        <w:t> </w:t>
      </w:r>
    </w:p>
    <w:tbl>
      <w:tblPr>
        <w:tblW w:w="9570" w:type="dxa"/>
        <w:jc w:val="left"/>
        <w:tblInd w:w="0" w:type="dxa"/>
        <w:tblLayout w:type="fixed"/>
        <w:tblCellMar>
          <w:top w:w="0" w:type="dxa"/>
          <w:left w:w="0" w:type="dxa"/>
          <w:bottom w:w="0" w:type="dxa"/>
          <w:right w:w="0" w:type="dxa"/>
        </w:tblCellMar>
      </w:tblPr>
      <w:tblGrid>
        <w:gridCol w:w="3710"/>
        <w:gridCol w:w="60"/>
        <w:gridCol w:w="275"/>
        <w:gridCol w:w="5525"/>
      </w:tblGrid>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Companies Pte. Limited</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202127753C</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Temasek Avenue, #21-27, Centennial Tower, Singapore 039190</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August 2021</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Company Limited by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525" w:type="dxa"/>
            <w:tcBorders/>
            <w:vAlign w:val="center"/>
          </w:tcPr>
          <w:p>
            <w:pPr>
              <w:pStyle w:val="TableContents"/>
              <w:bidi w:val="0"/>
              <w:spacing w:before="0" w:after="0"/>
              <w:ind w:left="682" w:right="0" w:hanging="6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93,460,664 represented by 2,517,135 ordinary shares; and</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10,350,000 represented by 161,955 preference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525" w:type="dxa"/>
            <w:tcBorders/>
            <w:vAlign w:val="center"/>
          </w:tcPr>
          <w:p>
            <w:pPr>
              <w:pStyle w:val="TableContents"/>
              <w:bidi w:val="0"/>
              <w:spacing w:before="0" w:after="0"/>
              <w:ind w:left="682" w:right="0" w:hanging="6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2,517,135 ordinary shares; and</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161,955 preference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Agreement:</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525"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 (754,244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 (754,244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Penny Pte. Ltd. (355,094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Penny Pte. Ltd. (284,447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Kassnik Pty Ltd (189,246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Centillion Innovations Private Limited (129,046 preference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Haresh Ram Khoobchandani (91,232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Artemis Holdings Limited (35,371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Tuktuks, L.P. (32,909 preference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Brelko Conveyor Products (PTY) Limited (27,159 ordinary shares)</w:t>
            </w:r>
          </w:p>
        </w:tc>
      </w:tr>
    </w:tbl>
    <w:p>
      <w:pPr>
        <w:pStyle w:val="TextBody"/>
        <w:bidi w:val="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275"/>
        <w:gridCol w:w="8660"/>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6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Kanabaran Padayachee and Sharon Runganaigie Padayachee (27,159 Ordinary shares)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Tiger See Financing Limited (26,445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Equiom Fiduciary Services (Hong Kong) Limited as Trustee of The Giorgini Trust (22,764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DelphAI Teams Holding Pte Ltd (227,245 Ordinary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8"/>
        <w:gridCol w:w="163"/>
        <w:gridCol w:w="8474"/>
      </w:tblGrid>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74"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Noor Mohamed Farooq</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Athanasios Charlaftis</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Giandeo Pittea</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Michael Jupp</w:t>
            </w:r>
          </w:p>
        </w:tc>
      </w:tr>
      <w:tr>
        <w:trPr/>
        <w:tc>
          <w:tcPr>
            <w:tcW w:w="15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474" w:type="dxa"/>
            <w:tcBorders/>
            <w:vAlign w:val="center"/>
          </w:tcPr>
          <w:p>
            <w:pPr>
              <w:pStyle w:val="TableContents"/>
              <w:bidi w:val="0"/>
              <w:spacing w:before="0" w:after="283"/>
              <w:jc w:val="left"/>
              <w:rPr>
                <w:sz w:val="4"/>
                <w:szCs w:val="4"/>
              </w:rPr>
            </w:pPr>
            <w:r>
              <w:rPr>
                <w:sz w:val="4"/>
                <w:szCs w:val="4"/>
              </w:rPr>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863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Sriram</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863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December</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863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Audit PAC</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8637"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C202414632) registered on 3 December 2024 in favour of Madison Pacific Trust Limited</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C202414634) registered on 3 December 2024 in favour of Madison Pacific Trust Limited</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4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C202505069) registered on 3 April 2025 in favour of Catalyst Trusteeship Ltd</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4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C202505431) registered on 11 April 2025 in favour of Catalyst Trusteeship Ltd</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 Details of the Subsidiaries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8"/>
        <w:gridCol w:w="245"/>
        <w:gridCol w:w="6932"/>
      </w:tblGrid>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Pte. Limited</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200720116M</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Temasek Avenue, #21-27, Centennial Tower, Singapore 039190</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7177"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7177"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October 2007</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7177"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Company Limited by Shares</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32"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23,180,686 represented by 2,203,838 ordinary shares; and</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350,000 represented by 32,909 preference shares</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32"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2,203,838 ordinary shares; and</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32,909 preference shares</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Companies Pte. Limited (aggregate of 2,203,838 ordinary shares and 32,909 preference shares)</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32"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Athanasios Charlaftis</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Giandeo Pittea</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Michael Jupp</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Subramanian Gopalaratnam</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December</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Audit PAC</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8"/>
        <w:gridCol w:w="163"/>
        <w:gridCol w:w="8474"/>
      </w:tblGrid>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C202416253) registered on 30 December 2024 in favour of Madison Pacific Trust Limited</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C202416306) registered on 30 December 2024 in favour of Madison Pacific Trust Limited</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7"/>
        <w:gridCol w:w="455"/>
        <w:gridCol w:w="8413"/>
      </w:tblGrid>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Solution Inc.</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6155258</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A Registered Agent, Inc., 8 The Green, Ste A, Dover, Kent County, DE 19901</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August 2021</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8868"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Stock</w:t>
            </w:r>
            <w:r>
              <w:rPr>
                <w:rFonts w:ascii="Times New Roman;Times;Serif" w:hAnsi="Times New Roman;Times;Serif"/>
                <w:b w:val="false"/>
                <w:i w:val="false"/>
                <w:caps w:val="false"/>
                <w:smallCaps w:val="false"/>
                <w:sz w:val="20"/>
              </w:rPr>
              <w:t>: 1,000 shares of common stock, par value $1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Issued and Outstanding Stock</w:t>
            </w:r>
            <w:r>
              <w:rPr>
                <w:rFonts w:ascii="Times New Roman;Times;Serif" w:hAnsi="Times New Roman;Times;Serif"/>
                <w:b w:val="false"/>
                <w:i w:val="false"/>
                <w:caps w:val="false"/>
                <w:smallCaps w:val="false"/>
                <w:sz w:val="20"/>
              </w:rPr>
              <w:t>: 1,000 shares of common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shares of common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Companies Pte. Limited (100% of all issued and outstanding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13"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 and</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December</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886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UCC-1 Financing Statement No. 2024 8354852 evidencing a security interest held by Madison Pacific Trust Limited in Resulticks Solution Inc.’s existing and after-acquired Accounts (including Health-Care-Insurance Receivables), Chattel Paper (including Electronic Chattel Paper), Commercial Tort Claims, Computer Hardware and Software (and all rights with respect thereto, including all licenses, options, warranties, service contracts, program services, test rights, maintenance rights, support rights, improvement rights, renewal rights and indemnifications and any substitution, replacement, addition or model conversion of any of the foregoing), Deposit Accounts, Documents, Financial Assets, General Intangibles, Goods (including all its Equipment, Fixtures and Inventory) together with all embedded software, accessions, additions, attachments, improvements, substitutions and replacements thereto and therefor, Instruments, Intellectual Property, Investment Property (including Commodity Accounts, Commodity Contracts, Securities (whether Certificated Securities or Uncertificated Securities), Security Entitlements and Securities Accounts), Letter-of-Credit Rights, money (of every jurisdiction whatsoever), Supporting Obligations, and all other personal assets and property of any kind or description and all books, records, writings, data bases, information and other property relating to, used or useful in connection with, or evidencing, embodying, incorporating or referring to any of the foregoing, all claims and insurance proceedings arising out of the loss, nonconformity or any interference with the use of, or any defect or infringement of rights in, or damage to, any of the foregoing, and all proceeds, products, offspring, rents, issues, profits and returns of and from, and all distributions on and rights arising out of, any of the foregoing.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7"/>
        <w:gridCol w:w="456"/>
        <w:gridCol w:w="8412"/>
      </w:tblGrid>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Communication USA Corp.</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7360007</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USACORP DE Inc., 1811 Silverside Road, Wilmington, County of New Castle, DE, 19810</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April 2019</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8868"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Stock</w:t>
            </w:r>
            <w:r>
              <w:rPr>
                <w:rFonts w:ascii="Times New Roman;Times;Serif" w:hAnsi="Times New Roman;Times;Serif"/>
                <w:b w:val="false"/>
                <w:i w:val="false"/>
                <w:caps w:val="false"/>
                <w:smallCaps w:val="false"/>
                <w:sz w:val="20"/>
              </w:rPr>
              <w:t>: 1,000 shares of common stock, no par value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Issued and Outstanding Stock</w:t>
            </w:r>
            <w:r>
              <w:rPr>
                <w:rFonts w:ascii="Times New Roman;Times;Serif" w:hAnsi="Times New Roman;Times;Serif"/>
                <w:b w:val="false"/>
                <w:i w:val="false"/>
                <w:caps w:val="false"/>
                <w:smallCaps w:val="false"/>
                <w:sz w:val="20"/>
              </w:rPr>
              <w:t>: 100 shares of common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shares of common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8868"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Pte. Limited (100% of all issued and outstanding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12"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 and</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sz w:val="4"/>
                <w:szCs w:val="4"/>
              </w:rPr>
            </w:pPr>
            <w:r>
              <w:rPr>
                <w:sz w:val="4"/>
                <w:szCs w:val="4"/>
              </w:rPr>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December</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886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UCC-1 Financing Statement No. 2024 8354852 evidencing a security interest held by Madison Pacific Trust Limited in Resulticks Communication USA Corp.’s existing and after-acquired Accounts (including Health-Care-Insurance Receivables), Chattel Paper (including Electronic Chattel Paper), Commercial Tort Claims, Computer Hardware and Software (and all rights with respect thereto, including all licenses, options, warranties, service contracts, program services, test rights, maintenance rights, support rights, improvement rights, renewal rights and indemnifications and any substitution, replacement, addition or model conversion of any of the foregoing), Deposit Accounts, Documents, Financial Assets, General Intangibles, Goods (including all its Equipment, Fixtures and Inventory) together with all embedded software, accessions, additions, attachments, improvements, substitutions and replacements thereto and therefor, Instruments, Intellectual Property, Investment Property (including Commodity Accounts, Commodity Contracts, Securities (whether Certificated Securities or Uncertificated Securities), Security Entitlements and Securities Accounts), Letter-of-Credit Rights, money (of every jurisdiction whatsoever), Supporting Obligations, and all other personal assets and property of any kind or description and all books, records, writings, data bases, information and other property relating to, used or useful in connection with, or evidencing, embodying, incorporating or referring to any of the foregoing, all claims and insurance proceedings arising out of the loss, nonconformity or any interference with the use of, or any defect or infringement of rights in, or damage to, any of the foregoing, and all proceeds, products, offspring, rents, issues, profits and returns of and from, and all distributions on and rights arising out of, any of the foregoing.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4"/>
        <w:gridCol w:w="322"/>
        <w:gridCol w:w="7739"/>
      </w:tblGrid>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Digitals India Private Limited</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U72200TN2005PTC056134</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SKCL Central Square 1, 5th Floor, C-28 to C35, Thiru Vi-Ka Industrial Estate, Guindy, Chennai – 600032 Tamil Nadu, India</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Chennai, Tamil Nadu</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April 2005</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Limited Company</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806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capital</w:t>
            </w:r>
            <w:r>
              <w:rPr>
                <w:rFonts w:ascii="Times New Roman;Times;Serif" w:hAnsi="Times New Roman;Times;Serif"/>
                <w:b w:val="false"/>
                <w:i w:val="false"/>
                <w:caps w:val="false"/>
                <w:smallCaps w:val="false"/>
                <w:sz w:val="20"/>
              </w:rPr>
              <w:t>: INR 15,000,000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Paid up capital</w:t>
            </w:r>
            <w:r>
              <w:rPr>
                <w:rFonts w:ascii="Times New Roman;Times;Serif" w:hAnsi="Times New Roman;Times;Serif"/>
                <w:b w:val="false"/>
                <w:i w:val="false"/>
                <w:caps w:val="false"/>
                <w:smallCaps w:val="false"/>
                <w:sz w:val="20"/>
              </w:rPr>
              <w:t>: INR 5,000,000</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 equity shares</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39"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Pte. Limited (499,500 equity shares); and</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 (500 equity shares)</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39"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Ramesh Vijayan;</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Karumury Srinagesh; and</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Farooq Noor Mohammed</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March</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Kabra &amp; Co LLP, Charted Accountants</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806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ranking charge created by Resulticks Digital India Private Limited over its fixed, current, tangible, intangible assets, debt service reserve amount and identified receivables as security for the following debentures: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unrated, unlisted, secured, redeemable, non-convertible debentures issued/ to be issued by Resulticks Edge Solution Technologies Private Limited aggregating to INR 600,000,000 pursuant to and in accordance with the terms of the debenture trust deed dated 19 February 2025 entered into between Resulticks Edge Solution Technologies Private Limited and Catalyst Trusteeship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rated, unlisted, secured, redeemable, non-convertible debentures issued/ to be issued by Resulticks Digital India Private Limited aggregating to INR 200,000,000 pursuant to and in accordance with the terms of the debenture trust deed dated 31 December 2022 entered into between Resulticks Digitals India Private Limited and Catalyst Trusteeship Limited;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rated, unlisted, secured, redeemable, non-convertible debentures issued/ to be issued by Resulticks Digitals India Private Limited aggregating to INR 400,000,000 pursuant to and in accordance with the terms of the debenture trust deed dated 22 December 2022 entered into between Resulticks Digitals India Private Limited and Catalyst Trusteeship Limited.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2"/>
        <w:gridCol w:w="170"/>
        <w:gridCol w:w="8303"/>
      </w:tblGrid>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Edge Solution Technologies Private Limited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U72900TN2021PTC145434</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SKCL Central Square 1, 5th Floor, C-28 to C35, Thiru Vi-Ka Industrial Estate, Guindy, Chennai – 600032 Tamil Nadu, India</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Chennai, Tamil Nadu</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August 2021</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Limited Company</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8473"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capital</w:t>
            </w:r>
            <w:r>
              <w:rPr>
                <w:rFonts w:ascii="Times New Roman;Times;Serif" w:hAnsi="Times New Roman;Times;Serif"/>
                <w:b w:val="false"/>
                <w:i w:val="false"/>
                <w:caps w:val="false"/>
                <w:smallCaps w:val="false"/>
                <w:sz w:val="20"/>
              </w:rPr>
              <w:t>: INR 1,500,000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Paid up capital</w:t>
            </w:r>
            <w:r>
              <w:rPr>
                <w:rFonts w:ascii="Times New Roman;Times;Serif" w:hAnsi="Times New Roman;Times;Serif"/>
                <w:b w:val="false"/>
                <w:i w:val="false"/>
                <w:caps w:val="false"/>
                <w:smallCaps w:val="false"/>
                <w:sz w:val="20"/>
              </w:rPr>
              <w:t>: INR 100,000</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equity shares</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03"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Companies Pte. Limited (999 equity shares); and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 (1 equity share)</w:t>
            </w:r>
          </w:p>
        </w:tc>
      </w:tr>
      <w:tr>
        <w:trPr/>
        <w:tc>
          <w:tcPr>
            <w:tcW w:w="17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ind w:left="720" w:right="0" w:hanging="720"/>
              <w:jc w:val="left"/>
              <w:rPr>
                <w:sz w:val="4"/>
                <w:szCs w:val="4"/>
              </w:rPr>
            </w:pPr>
            <w:r>
              <w:rPr>
                <w:sz w:val="4"/>
                <w:szCs w:val="4"/>
              </w:rPr>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Ramesh Vijayan;</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Karumury Srinagesh; and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Farooq Noor Mohammed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March</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Kabra &amp; Co LLP, Charted Accountants</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ranking charge created by Resulticks Edge Solution Technologies Private Limited over its current assets, non-current assets, intellectual property and receivables as security for the following debentures:</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unrated, unlisted, secured, redeemable, non-convertible debentures issued/ to be issued by Resulticks Edge Solution Technologies Private Limited aggregating to INR 2,000,000,000 pursuant to and in accordance with the terms of the debenture trust deed dated 31 January 2025 entered into between Resulticks Edge Solution Technologies Private Limited and Catalyst Trusteeship Limited;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unrated, unlisted, secured, redeemable, non-convertible debentures issued/ to be issued by Resulticks Edge Solution Technologies Private Limited aggregating to INR 600,000,000 pursuant to and in accordance with the terms of the debenture trust deed dated 19 February 2025 entered into between Resulticks Edge Solution Technologies Private Limited and Catalyst Trusteeship Limited;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rated, unlisted, secured, redeemable, non-convertible debentures issued/ to be issued by Resulticks Digital India Private Limited aggregating to INR 200,000,000 pursuant to and in accordance with the terms of the debenture trust deed dated 31 December 2022 entered into between Resulticks Digitals India Private Limited and Catalyst Trusteeship Limited; and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rated, unlisted, secured, redeemable, non-convertible debentures issued/ to be issued by Resulticks Digitals India Private Limited aggregating to INR 400,000,000 pursuant to and in accordance with the terms of the debenture trust deed dated 22 December 2022 entered into between Resulticks Digitals India Private Limited and Catalyst Trusteeship Limited.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8"/>
        <w:gridCol w:w="60"/>
        <w:gridCol w:w="153"/>
        <w:gridCol w:w="7214"/>
      </w:tblGrid>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Star Tech Services Private Limited</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U72502TN2021PTC145432</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SKCL Central Square 1, 5th Floor, C-28 to C35, Thiru Vi-Ka Industrial Estate, Guindy, Chennai – 600032 Tamil Nadu, India</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Chennai, Tamil Nadu</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August 2021</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Limited Company</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capital</w:t>
            </w:r>
            <w:r>
              <w:rPr>
                <w:rFonts w:ascii="Times New Roman;Times;Serif" w:hAnsi="Times New Roman;Times;Serif"/>
                <w:b w:val="false"/>
                <w:i w:val="false"/>
                <w:caps w:val="false"/>
                <w:smallCaps w:val="false"/>
                <w:sz w:val="20"/>
              </w:rPr>
              <w:t>: INR 1,500,000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Paid up capital</w:t>
            </w:r>
            <w:r>
              <w:rPr>
                <w:rFonts w:ascii="Times New Roman;Times;Serif" w:hAnsi="Times New Roman;Times;Serif"/>
                <w:b w:val="false"/>
                <w:i w:val="false"/>
                <w:caps w:val="false"/>
                <w:smallCaps w:val="false"/>
                <w:sz w:val="20"/>
              </w:rPr>
              <w:t>: INR 100,000</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equity shares</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214"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Edge Solution Technologies Private Limited (990 equity shares); and</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 (10 equity shares)</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214"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Santhakumar; and</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March</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Kabra &amp; Co LLP, Charted Accountants</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4"/>
        <w:gridCol w:w="60"/>
        <w:gridCol w:w="166"/>
        <w:gridCol w:w="6445"/>
      </w:tblGrid>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Versar Data Solutions, Inc.</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605 770 867</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7530 164TH AVE NE STE A204, REDMOND, WA, 98052-7825, UNITED STATES</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January 2025</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Issued and Outstanding Stock</w:t>
            </w:r>
            <w:r>
              <w:rPr>
                <w:rFonts w:ascii="Times New Roman;Times;Serif" w:hAnsi="Times New Roman;Times;Serif"/>
                <w:b w:val="false"/>
                <w:i w:val="false"/>
                <w:caps w:val="false"/>
                <w:smallCaps w:val="false"/>
                <w:sz w:val="20"/>
              </w:rPr>
              <w:t>: $4,339,173</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29,825,590 shares of common stock</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Pte. Limited (100% of all issued and outstanding stock)</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445"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 and</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December</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Arrangements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1 - Seller’s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and subject to the Purchaser having complied with its obligations set out in Part 2 of this Schedule: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shall deliver to the Purchaser, in respect only of the Sale Shares to be sold by such Seller under this Agreement, as set out against such Seller’s name in column (2) of Part 1 of Schedule 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share transfer form in respect of the transfer of such Sale Shares to the Purchaser, duly executed by such Seller;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share certificate(s) in respect of such Sale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Stamp Duty Documents in respect of such Sale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Centillion Innovations Private Limited, 500 Tuk Tuks L.P, Red Penny Pte. Ltd., Blue Penny Pte. Ltd., Kassnik Pty Ltd and Tiger See Financing Limited shall deliver to the Purchaser, a copy of the minutes of meeting or written resolutions of the board of directors of such Seller (or an extract thereof) (or equivalent authorising resolutions), authorising the execution of and the performance by such Seller of its obligations under this Agreement and each of the other Transaction Documents to which it is a party;</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deliver to the Purchaser a copy of the minutes of meeting or written resolutions of the board of directors of each Group Company (or an extract thereof):</w:t>
            </w:r>
          </w:p>
        </w:tc>
      </w:tr>
    </w:tbl>
    <w:p>
      <w:pPr>
        <w:pStyle w:val="TextBody"/>
        <w:bidi w:val="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23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and authorising the transfer of the Sale Shares to the Purchaser and the lodgement with ACRA of the necessary forms in order subject to the relevant share transfer forms being duly stamped, update the electronic register of members of the Company in respect of the transfers of the Sale Shares by the Seller to the Purchaser;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 w:type="dxa"/>
            <w:tcBorders/>
            <w:vAlign w:val="center"/>
          </w:tcPr>
          <w:p>
            <w:pPr>
              <w:pStyle w:val="TableContents"/>
              <w:bidi w:val="0"/>
              <w:spacing w:before="0" w:after="283"/>
              <w:jc w:val="left"/>
              <w:rPr>
                <w:caps w:val="false"/>
                <w:smallCaps w:val="false"/>
              </w:rPr>
            </w:pPr>
            <w:r>
              <w:rPr>
                <w:caps w:val="false"/>
                <w:smallCaps w:val="false"/>
              </w:rPr>
              <w:t> </w:t>
            </w:r>
          </w:p>
        </w:tc>
        <w:tc>
          <w:tcPr>
            <w:tcW w:w="98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resolving to cancel the existing share certificates issued to the Sellers in respect of the Sale Shares, and approving the issuance of a new share certificate in respect of the Sale Shares in favour of the Purchaser;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 w:type="dxa"/>
            <w:tcBorders/>
            <w:vAlign w:val="center"/>
          </w:tcPr>
          <w:p>
            <w:pPr>
              <w:pStyle w:val="TableContents"/>
              <w:bidi w:val="0"/>
              <w:spacing w:before="0" w:after="283"/>
              <w:jc w:val="left"/>
              <w:rPr>
                <w:caps w:val="false"/>
                <w:smallCaps w:val="false"/>
              </w:rPr>
            </w:pPr>
            <w:r>
              <w:rPr>
                <w:caps w:val="false"/>
                <w:smallCaps w:val="false"/>
              </w:rPr>
              <w:t> </w:t>
            </w:r>
          </w:p>
        </w:tc>
        <w:tc>
          <w:tcPr>
            <w:tcW w:w="98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authorising the execution of and the performance by the Company of its obligations under the Transaction Documents and each of the other documents to be executed by the Company in connection with the Transaction;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deliver to the Purchaser a deed of termination of the Resulticks Shareholders Agreement in form and substance reasonably satisfactory to the Purchaser, executed by such Seller and the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deliver to the Purchaser a no objection certificate issued by each of Ascertis Credit – India Fund III Limited and Madison Pacific Trust Limited, and each of Anicut and Catalyst Trusteeship Limited (and/or the relevant incoming lender of the Group in the event of a Permitted Debt Refinancing), in respect of the Transaction;</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deliver to the Purchaser the Registration Rights and Lock-Up Agreement, substantially in the form as set out in Schedule 8, duly executed by such Seller;</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 shall execute and deliver to the Purchaser undated and unaddressed depository instruction slips (or, where applicable, instruments of transfer) in respect of the shares held by him in each of Marketing Star Tech Services Private Limited, Resulticks Edge Solution Technologies Private Limited and Resulticks Digitals India Private Limited, and any other documents or authorisations reasonably required (including all documents required by the depository or depository participant) to give effect to such transfer;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deliver to the Purchaser a deed of accession, in relation to the Employee Award SPV Seller’s agreement to accede to the terms of this Agreement as if the Employee Award SPV Seller had executed this Agreement as a “Seller”, duly executed by the Employee Award SPV Seller.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 Purchaser’s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Purchaser shall and subject to the Sellers having complied with their obligations set out in Part 1 of this Schedule: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 and issue the Consideration Shares to the Sellers, and deliver to the Sellers documentary evidence confirming the valid issuance of such shares;</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procure that all of the Diginex Founder Warrants and the Outstanding IPO Warrants are terminated and cancelled in full with no further liability to the Purchaser’s Group, with effect from Completion, for nil consideration, and deliver to the Sellers a deed of termination in respect of the termination and cancellation of all of the Diginex Founder Warrants and the Outstanding IPO Warrants, in the agreed form, duly executed by the Purchaser and RVL;</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the Sellers a copy of the letters of resignation in the agreed form duly executed by each of the existing directors of the Purchaser;</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the Sellers a copy of the validly signed minutes of meeting or written resolutions of the board of directors of the Purchaser (or an extract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authorising the execution of and the performance by the Purchaser of its obligations under this Agreement and each of the other Transaction Documents to which it is a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and confirming that, notwithstanding Completion, the business of the Group shall operate in line with any applicable delegated authority framework adopted by the board of directors of the Purchaser and agreed with the Founders;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allotment and issuance of the Consideration Shares to the Sellers in accordance with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between the Purchaser and the Sellers’ Representative in writing in accordance with Clause 4.1(j)(ii)) approving the Relevant Security Arrangement Steps and the execution of the Relevant Subscription and Buyback Agreement by the Purchaser;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authorising the updating of the register of members of the Purchaser to reflect: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(or its nominee) as the registered holder of its Relevant Proportion of the Consideration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between the Purchaser and the Sellers’ Representative in writing in accordance with Clause 4.1(j)(ii)) the Purchaser as the holder of the Relevant Treasury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accepting the resignation of the existing directors of the Purchaser, each such acceptance to take effect at Completion;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such changes to the board of directors (and any committee of the board of directors), and appointing such executive officer(s) of the Purchaser’s Group, as are necessary to implement the Agreed Board Changes;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terms of such management incentive arrangement(s) with specified key personnel of the Purchaser’s Group and any introducer agreements, and the allotment and issuance of Diginex Shares to the existing non-executive directors of the Purchaser and such specified key personnel and introducer, in each case as agreed between the Purchaser and the Sellers’ Representative in writing prior to Completion;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procure that the Agreed Board Changes are implemented with effect from Completion; and</w:t>
            </w:r>
          </w:p>
        </w:tc>
      </w:tr>
      <w:tr>
        <w:trPr/>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00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and deliver to the Sellers the Registration Rights and Lock-Up Agreement, substantially in the form as set out in Schedule 8, duly executed by the Purchaser.</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3 – Further Actions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at Completion, each of the Parties shall exercise its voting rights and all other powers available to it (if any) to ensure that the Company shall make the necessary lodgements with ACRA to, subject to the relevant share transfer forms being duly stamped, update the electronic register of members of the Company maintained by ACRA in respect of the transfers of the Sale Shares by the Sellers to the Purchaser.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 – Fundamental Warranties</w:t>
      </w:r>
    </w:p>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has the necessary right, power and authority to enter into and perform its/his obligations under each of the Transaction Documents to which it is a party. All requisite corporate actions on behalf of the Sellers have been taken to duly authorise the execution, delivery and performance of the Transaction Documents to which it is a party. This Agreement has been, and the other Transaction Documents to which such Seller is a party will be when executed, duly executed and delivered by the Seller and, assuming due execution and delivery by each of the other parties thereto, constitutes legal, valid and binding obligations on the Seller, enforceable against it/him in accordance with its respective terms.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which is not a natural person is duly incorporated and validly existing under its laws of incorporation. Each such Seller has full corporate power and authority to carry on its business as it is now being conducted and to own the assets it now owns.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entry into the Transaction Documents nor the implementation of the transactions contemplated by the Transaction Documents by each Seller will: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Seller who is not a natural person) violate or conflict with the provisions of its constitutional documents;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breach of any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default with respect to any relevant order, decree or judgment of any court or any Governmental Authority in any jurisdiction to which such Seller is a party or by which such Seller is bound;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or give any third party a right to terminate or modify, or result in the creation of any Encumbrance under, any agreement, licence or other instrument to which such Seller is a party or by which such Seller is bound;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any consent, approval, licence or authorisation of, or notice to, any Governmental Authority (other than those set forth in Clause 4.1(a)). </w:t>
            </w:r>
          </w:p>
        </w:tc>
      </w:tr>
    </w:tbl>
    <w:p>
      <w:pPr>
        <w:pStyle w:val="TextBody"/>
        <w:bidi w:val="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90"/>
        <w:gridCol w:w="17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warrants: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where the Seller is a natural person) no action, suit, proceeding, litigation or dispute against him is presently taking place or pending or, to the best of such Seller’s knowledge, threatened which would or might reasonably be expected to inhibit his ability to perform his obligations under this Agreement or any other Transaction Documents to which he is a party. No order has been made or petition presented with respect to his bankruptcy, and no trustee in bankruptcy (or equivalent) has been appointed in respect of all or any of his assets and he is not subject to any analogous proceedings, appointments or arrangements under the laws of any applicable jurisdiction. To the best of such Seller’s knowledge, no steps have been taken to initiate any such appointment. He is not acting as nominee, agent, trustee or representative of any other person in respect of the Sale Shares held by him;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where the Seller is not a natural person) no action, suit, proceeding, litigation or dispute against it is presently taking place or pending or, to the best of such Seller’s knowledge, threatened which would or might reasonably be expected to inhibit its ability to perform its obligations under this Agreement or any other Transaction Documents to which it is a party. No order has been made or petition presented with respect to its insolvency, and no trustee in insolvency (or equivalent) has been appointed in respect of all or any of its assets and it is not subject to any analogous proceedings, appointments or arrangements under the laws of any applicable jurisdiction. To the best of such Seller’s knowledge, no steps have been taken to initiate any such appointment. It is not acting as nominee, agent, trustee or representative of any other person in respect of the Sale Shares held by it.</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85"/>
        <w:gridCol w:w="16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tc>
      </w:tr>
    </w:tbl>
    <w:p>
      <w:pPr>
        <w:pStyle w:val="TextBody"/>
        <w:bidi w:val="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is the sole legal and beneficial owner of the Sale Shares listed against that Seller’s name in column (2) of Part 1 of Schedule 1 and that it/he will on Completion be legally and beneficially entitled to or is otherwise able to transfer all the legal and beneficial ownership to such Sale Shares held by it to the Purchaser under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held by each Seller (as listed against that Seller’s name in column (2) of Part 1 of Schedule 1) will on Completion be free from any Encumbrances.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voting agreements, trust arrangements, pre-emption rights, or rights of first refusal in relation to the Sale Shares.</w:t>
            </w:r>
          </w:p>
        </w:tc>
      </w:tr>
    </w:tbl>
    <w:p>
      <w:pPr>
        <w:pStyle w:val="TextBody"/>
        <w:bidi w:val="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90"/>
        <w:gridCol w:w="25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Allotted and Fully Paid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Sale Shares held by it/him are validly allotted, issued and fully paid or properly credited as fully paid and there is no liability to pay any additional contributions on any of the Sale Shares held by it/him.</w:t>
      </w:r>
    </w:p>
    <w:p>
      <w:pPr>
        <w:pStyle w:val="TextBody"/>
        <w:bidi w:val="0"/>
        <w:spacing w:before="0" w:after="0"/>
        <w:ind w:left="720" w:right="0" w:hanging="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w:t>
            </w:r>
          </w:p>
        </w:tc>
      </w:tr>
    </w:tbl>
    <w:p>
      <w:pPr>
        <w:pStyle w:val="TextBody"/>
        <w:bidi w:val="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Insolvency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not insolvent or unable to pay its or his debts, and has not stopped paying its or his debts as they fall due.</w:t>
      </w:r>
    </w:p>
    <w:p>
      <w:pPr>
        <w:pStyle w:val="TextBody"/>
        <w:bidi w:val="0"/>
        <w:spacing w:before="0" w:after="0"/>
        <w:ind w:left="72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Winding Up</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order has been made, petition presented or resolution passed for the winding up, bankruptcy or dissolution of any Group Company or the Seller or for the appointment of any provisional liquidator. No petition has been presented for an administration order to be made in relation to such Seller, and no judicial manager, administrator or receiver (including any administrative receiver) has been appointed in respect of the property, assets and/or undertaking of such Seller.</w:t>
      </w:r>
    </w:p>
    <w:p>
      <w:pPr>
        <w:pStyle w:val="TextBody"/>
        <w:bidi w:val="0"/>
        <w:spacing w:before="0" w:after="0"/>
        <w:ind w:left="72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90"/>
        <w:gridCol w:w="13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 in satisfaction of the debts of the Seller or scheme of arrangement or compromise between it and its creditors and/or members by reason of insolvency has been proposed, sanctioned or approved.</w:t>
      </w:r>
    </w:p>
    <w:p>
      <w:pPr>
        <w:pStyle w:val="TextBody"/>
        <w:bidi w:val="0"/>
        <w:spacing w:before="0" w:after="0"/>
        <w:ind w:left="72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85"/>
        <w:gridCol w:w="51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1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THE SHARES AND THE SUBSIDIARIES</w:t>
            </w:r>
          </w:p>
        </w:tc>
      </w:tr>
    </w:tbl>
    <w:p>
      <w:pPr>
        <w:pStyle w:val="TextBody"/>
        <w:bidi w:val="0"/>
        <w:jc w:val="left"/>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275"/>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r>
    </w:tbl>
    <w:p>
      <w:pPr>
        <w:pStyle w:val="TextBody"/>
        <w:bidi w:val="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is duly incorporated and validly existing and has all requisite power and capacity to conduct its business as presently conducted.</w:t>
      </w:r>
    </w:p>
    <w:p>
      <w:pPr>
        <w:pStyle w:val="TextBody"/>
        <w:bidi w:val="0"/>
        <w:spacing w:before="0" w:after="0"/>
        <w:ind w:left="720" w:right="0" w:hanging="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290"/>
        <w:gridCol w:w="5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r>
    </w:tbl>
    <w:p>
      <w:pPr>
        <w:pStyle w:val="TextBody"/>
        <w:bidi w:val="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constitute the whole of the issued share capital of the Company.</w:t>
      </w:r>
    </w:p>
    <w:p>
      <w:pPr>
        <w:pStyle w:val="TextBody"/>
        <w:bidi w:val="0"/>
        <w:spacing w:before="0" w:after="0"/>
        <w:ind w:left="72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Freedom from Encumbrances</w:t>
            </w:r>
          </w:p>
        </w:tc>
      </w:tr>
    </w:tbl>
    <w:p>
      <w:pPr>
        <w:pStyle w:val="TextBody"/>
        <w:bidi w:val="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respect of any Encumbrances pursuant to the Ascertis Facilities Documents and the India Facilities Documents, all of the shares of each Group Company will at Completion be free from and unaffected by any Encumbrance.</w:t>
      </w:r>
    </w:p>
    <w:p>
      <w:pPr>
        <w:pStyle w:val="TextBody"/>
        <w:bidi w:val="0"/>
        <w:spacing w:before="0" w:after="0"/>
        <w:ind w:left="720" w:right="0" w:hanging="0"/>
        <w:jc w:val="both"/>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290"/>
        <w:gridCol w:w="96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Resulticks Shareholders Agreement and the India Facilities Documents, there are in existence no rights to or options for the issue, allotment or transfer of any loan or share capital of any Group Company, nor any rights to convert any loan or share capital into share capital or share capital with a different description.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Amendment and Restatement Date and immediately prior to Completion, (i) the information set out in Schedule 2 is true and accurate in all material respects and (ii) the shareholders specified in Part 2 of Schedule 2 are the sole legal and beneficial owners of the shares in the companies specified in Part 2 of Schedule 2 and have the right to exercise all voting and other rights over such shares.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Amendment and Restatement Date and immediately prior to Completion, the shares in the companies specified in Part 2 of Schedule 2 comprise the whole of the issued and allotted shares in such companies, have been properly and validly issued and allotted and each are fully paid or credited as fully paid.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of Schedule 2 lists all the Subsidiaries and no Group Company has any interest in or right to acquire any interest in any other body corporate, partnership, unincorporated association or undertaking.</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 Non-Fundamental Warranties</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85"/>
        <w:gridCol w:w="28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CONSTITUTIONAL MATTERS</w:t>
            </w:r>
          </w:p>
        </w:tc>
      </w:tr>
    </w:tbl>
    <w:p>
      <w:pPr>
        <w:pStyle w:val="TextBody"/>
        <w:bidi w:val="0"/>
        <w:spacing w:before="0" w:after="0"/>
        <w:ind w:left="720" w:right="0" w:hanging="72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275"/>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Constitutional Documents</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copies of the constitution of each Group Company provided in the Data Room are complete and accurate and there have not been and are not any material breaches by any Group Company of its constitution.</w:t>
      </w:r>
    </w:p>
    <w:p>
      <w:pPr>
        <w:pStyle w:val="TextBody"/>
        <w:bidi w:val="0"/>
        <w:spacing w:before="0" w:after="0"/>
        <w:ind w:left="720" w:right="0" w:hanging="0"/>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75"/>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registers and statutory books and records of each Group Company which are required to be maintained under Applicable Law are, in all material respects, up-to-date, are maintained in accordance with Applicable Law and contain complete and accurate records of all matters required to be dealt with in such books and records.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material financial statements, documents and returns required by Applicable Law to be delivered or made by each Group Company have been delivered or made.</w:t>
            </w:r>
          </w:p>
        </w:tc>
      </w:tr>
    </w:tbl>
    <w:p>
      <w:pPr>
        <w:pStyle w:val="TextBody"/>
        <w:bidi w:val="0"/>
        <w:spacing w:before="0" w:after="0"/>
        <w:ind w:left="1418" w:right="0" w:hanging="709"/>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85"/>
        <w:gridCol w:w="24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4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r>
    </w:tbl>
    <w:p>
      <w:pPr>
        <w:pStyle w:val="TextBody"/>
        <w:bidi w:val="0"/>
        <w:spacing w:before="0" w:after="0"/>
        <w:ind w:left="720" w:right="0" w:hanging="720"/>
        <w:jc w:val="both"/>
        <w:rPr>
          <w:caps w:val="false"/>
          <w:smallCaps w:val="false"/>
        </w:rPr>
      </w:pPr>
      <w:r>
        <w:rPr>
          <w:caps w:val="false"/>
          <w:smallCaps w:val="false"/>
        </w:rPr>
        <w:t> </w:t>
      </w:r>
    </w:p>
    <w:tbl>
      <w:tblPr>
        <w:tblW w:w="1113" w:type="dxa"/>
        <w:jc w:val="left"/>
        <w:tblInd w:w="0" w:type="dxa"/>
        <w:tblLayout w:type="fixed"/>
        <w:tblCellMar>
          <w:top w:w="0" w:type="dxa"/>
          <w:left w:w="0" w:type="dxa"/>
          <w:bottom w:w="0" w:type="dxa"/>
          <w:right w:w="0" w:type="dxa"/>
        </w:tblCellMar>
      </w:tblPr>
      <w:tblGrid>
        <w:gridCol w:w="38"/>
        <w:gridCol w:w="275"/>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have been prepared in accordance with Applicable Law and SFRS (the “</w:t>
            </w:r>
            <w:r>
              <w:rPr>
                <w:rFonts w:ascii="Times New Roman;Times;Serif" w:hAnsi="Times New Roman;Times;Serif"/>
                <w:b/>
                <w:i w:val="false"/>
                <w:caps w:val="false"/>
                <w:smallCaps w:val="false"/>
                <w:sz w:val="20"/>
              </w:rPr>
              <w:t>Relevant Accounting Standards</w:t>
            </w:r>
            <w:r>
              <w:rPr>
                <w:rFonts w:ascii="Times New Roman;Times;Serif" w:hAnsi="Times New Roman;Times;Serif"/>
                <w:b w:val="false"/>
                <w:i w:val="false"/>
                <w:caps w:val="false"/>
                <w:smallCaps w:val="false"/>
                <w:sz w:val="20"/>
              </w:rPr>
              <w:t>”) and on a basis consistent with that adopted in preparing the audited financial statements of the Group for the previous three (3) financial years.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give a true and fair view of the assets, liabilities and state of affairs of the Group at the Accounts Date and of the financial condition, cash flow and profits and losses of the Group for the accounting period to which they relate.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Accounts Date, the Accounts make provision for all actual liabilities, disclose all contingent liabilities and make provision reasonably regarded as adequate for all bad and doubtful debts in accordance with the Relevant Accounting Standards.</w:t>
            </w:r>
          </w:p>
        </w:tc>
      </w:tr>
    </w:tbl>
    <w:p>
      <w:pPr>
        <w:pStyle w:val="TextBody"/>
        <w:bidi w:val="0"/>
        <w:spacing w:before="0" w:after="0"/>
        <w:ind w:left="1418" w:right="0" w:hanging="709"/>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90"/>
        <w:gridCol w:w="19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Accounts</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accounts of the Group as at 30 June 2026 (the “</w:t>
            </w:r>
            <w:r>
              <w:rPr>
                <w:rFonts w:ascii="Times New Roman;Times;Serif" w:hAnsi="Times New Roman;Times;Serif"/>
                <w:b/>
                <w:i w:val="false"/>
                <w:caps w:val="false"/>
                <w:smallCaps w:val="false"/>
                <w:sz w:val="20"/>
              </w:rPr>
              <w:t>Management Accounts</w:t>
            </w:r>
            <w:r>
              <w:rPr>
                <w:rFonts w:ascii="Times New Roman;Times;Serif" w:hAnsi="Times New Roman;Times;Serif"/>
                <w:b w:val="false"/>
                <w:i w:val="false"/>
                <w:caps w:val="false"/>
                <w:smallCaps w:val="false"/>
                <w:sz w:val="20"/>
              </w:rPr>
              <w:t>”) have been prepared in accordance with accounting policies used in preparing the Accounts applied on a consistent basis.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Accounts, having regard to the fact that they have not been audited and that they have not been subject to year-end adjustments, do not materially misstate the assets and liabilities of the Group as at 31 December 2025 nor the financial condition, cash flow and profits and losses of the Group for the accounting period to which they relate.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the Management Accounts make provision for all actual liabilities, disclose all contingent liabilities and make provision reasonably regarded as adequate for all bad and doubtful debts.</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SINCE THE ACCOUNTS DATE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Accounts Date:</w:t>
      </w:r>
    </w:p>
    <w:p>
      <w:pPr>
        <w:pStyle w:val="TextBody"/>
        <w:bidi w:val="0"/>
        <w:spacing w:before="0" w:after="0"/>
        <w:ind w:left="709" w:right="0" w:hanging="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23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carried on its business in the ordinary and usual course;</w:t>
            </w:r>
          </w:p>
        </w:tc>
      </w:tr>
    </w:tbl>
    <w:p>
      <w:pPr>
        <w:pStyle w:val="TextBody"/>
        <w:bidi w:val="0"/>
        <w:spacing w:before="0" w:after="0"/>
        <w:ind w:left="1418" w:right="0" w:hanging="709"/>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event, occurrence or circumstance which results in a Company Material Adverse Change;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suffered any material damage, destruction or other casualty affecting any of its material properties or assets, whether or not covered by insurance;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taken any action that, if taken after the date of this Agreement, would constitute a breach of any of the covenants set forth in Clause 5.1.</w:t>
            </w:r>
          </w:p>
        </w:tc>
      </w:tr>
    </w:tbl>
    <w:p>
      <w:pPr>
        <w:pStyle w:val="TextBody"/>
        <w:bidi w:val="0"/>
        <w:spacing w:before="0" w:after="0"/>
        <w:ind w:left="1418" w:right="0" w:hanging="709"/>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85"/>
        <w:gridCol w:w="254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OBLIGATIONS</w:t>
            </w:r>
          </w:p>
        </w:tc>
      </w:tr>
    </w:tbl>
    <w:p>
      <w:pPr>
        <w:pStyle w:val="TextBody"/>
        <w:bidi w:val="0"/>
        <w:spacing w:before="0" w:after="0"/>
        <w:ind w:left="720" w:right="0" w:hanging="72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90"/>
        <w:gridCol w:w="11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all financial facilities (including loans, derivatives and hedging arrangements) outstanding or available to the Group (the “</w:t>
            </w:r>
            <w:r>
              <w:rPr>
                <w:rFonts w:ascii="Times New Roman;Times;Serif" w:hAnsi="Times New Roman;Times;Serif"/>
                <w:b/>
                <w:i w:val="false"/>
                <w:caps w:val="false"/>
                <w:smallCaps w:val="false"/>
                <w:sz w:val="20"/>
              </w:rPr>
              <w:t>Existing Facilities</w:t>
            </w:r>
            <w:r>
              <w:rPr>
                <w:rFonts w:ascii="Times New Roman;Times;Serif" w:hAnsi="Times New Roman;Times;Serif"/>
                <w:b w:val="false"/>
                <w:i w:val="false"/>
                <w:caps w:val="false"/>
                <w:smallCaps w:val="false"/>
                <w:sz w:val="20"/>
              </w:rPr>
              <w:t>”) are given in the Disclosure Letter.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received any written notice that an event of default has occurred and is outstanding under the terms of the Existing Facilities. To the best of the Seller’s knowledge, save as Disclosed, no Group Company has breached or is in breach of the terms of the Existing Facilities and no event that would entitle any third party to call for repayment of any of the Existing Facilities prior to scheduled maturity has occurred.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factored any of its debts or (other than operating leases) engaged in financing of a type which would not be required to be shown or reflected in the Accounts or the Management Accounts.</w:t>
            </w:r>
          </w:p>
        </w:tc>
      </w:tr>
    </w:tbl>
    <w:p>
      <w:pPr>
        <w:pStyle w:val="TextBody"/>
        <w:bidi w:val="0"/>
        <w:spacing w:before="0" w:after="0"/>
        <w:ind w:left="1418" w:right="0" w:hanging="709"/>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ordinary and usual course of business and/or under the Existing Facilities, there is no outstanding guarantee, indemnity, suretyship or security (whether or not legally binding) given by any Group Company or for the benefit of any Group Company.</w:t>
      </w:r>
    </w:p>
    <w:p>
      <w:pPr>
        <w:pStyle w:val="TextBody"/>
        <w:bidi w:val="0"/>
        <w:spacing w:before="0" w:after="0"/>
        <w:ind w:left="709"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90"/>
        <w:gridCol w:w="22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Undisclosed Liabilities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liabilities, whether actual or contingent, of any Group Company other than liabilities disclosed or provided for in the Accounts, liabilities incurred in the ordinary and usual course of business since the Accounts Date or liabilities disclosed elsewhere in or contemplated under this Agreement or the Disclosure Letter.</w:t>
      </w:r>
    </w:p>
    <w:p>
      <w:pPr>
        <w:pStyle w:val="TextBody"/>
        <w:bidi w:val="0"/>
        <w:spacing w:before="0" w:after="0"/>
        <w:ind w:left="709" w:right="0" w:hanging="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85"/>
        <w:gridCol w:w="7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r>
    </w:tbl>
    <w:p>
      <w:pPr>
        <w:pStyle w:val="TextBody"/>
        <w:bidi w:val="0"/>
        <w:spacing w:before="0" w:after="0"/>
        <w:ind w:left="720" w:right="0" w:hanging="72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290"/>
        <w:gridCol w:w="11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Properties comprise all the premises and land presently leased, occupied or otherwise used in connection with the businesses of each Group Company or in which any Group Company has an interest in respect of any real property.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Properties are occupied or used under lease or licence and the terms of any such lease or licence permit such occupation and use in the manner currently occupied or used by any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Property is occupied on a leasehold basis, a Group Company is solely legally and beneficially entitled to occupy that Property.</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245"/>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received any written notice of any material subsisting breach.</w:t>
            </w:r>
          </w:p>
        </w:tc>
      </w:tr>
    </w:tbl>
    <w:p>
      <w:pPr>
        <w:pStyle w:val="TextBody"/>
        <w:bidi w:val="0"/>
        <w:spacing w:before="0" w:after="0"/>
        <w:ind w:left="1418" w:right="0" w:hanging="709"/>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23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owns any real property.</w:t>
            </w:r>
          </w:p>
        </w:tc>
      </w:tr>
    </w:tbl>
    <w:p>
      <w:pPr>
        <w:pStyle w:val="TextBody"/>
        <w:bidi w:val="0"/>
        <w:spacing w:before="0" w:after="0"/>
        <w:ind w:left="1418" w:right="0" w:hanging="709"/>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90"/>
        <w:gridCol w:w="16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Assets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assets included in the Accounts or acquired by any Group Company or which have otherwise arisen since the Accounts Date, other than any assets disposed of or realised in the ordinary and usual course of business:</w:t>
      </w:r>
    </w:p>
    <w:p>
      <w:pPr>
        <w:pStyle w:val="TextBody"/>
        <w:bidi w:val="0"/>
        <w:spacing w:before="0" w:after="0"/>
        <w:ind w:left="709" w:right="0" w:hanging="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3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legally and beneficially owned by the relevant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where capable of possession, in the possession or under the control of the relevant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23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free from Encumbrances; and</w:t>
            </w:r>
          </w:p>
        </w:tc>
      </w:tr>
    </w:tbl>
    <w:p>
      <w:pPr>
        <w:pStyle w:val="TextBody"/>
        <w:bidi w:val="0"/>
        <w:spacing w:before="0" w:after="0"/>
        <w:ind w:left="1418" w:right="0" w:hanging="709"/>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245"/>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the subject of any factoring arrangement, conditional sale or credit agreement.</w:t>
            </w:r>
          </w:p>
        </w:tc>
      </w:tr>
    </w:tbl>
    <w:p>
      <w:pPr>
        <w:pStyle w:val="TextBody"/>
        <w:bidi w:val="0"/>
        <w:spacing w:before="0" w:after="0"/>
        <w:ind w:left="1418" w:right="0" w:hanging="709"/>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90"/>
        <w:gridCol w:w="17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Sufficiency of Assets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 property, rights and assets owned, leased or otherwise used by the Group comprise all the property, rights and assets necessary for the carrying on of the business of each Group Company substantially in the manner in, and to the extent to, which it is presently conducted.</w:t>
      </w:r>
    </w:p>
    <w:p>
      <w:pPr>
        <w:pStyle w:val="TextBody"/>
        <w:bidi w:val="0"/>
        <w:spacing w:before="0" w:after="0"/>
        <w:ind w:left="709"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5"/>
        <w:gridCol w:w="27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tc>
      </w:tr>
    </w:tbl>
    <w:p>
      <w:pPr>
        <w:pStyle w:val="TextBody"/>
        <w:bidi w:val="0"/>
        <w:spacing w:before="0" w:after="0"/>
        <w:ind w:left="720" w:right="0" w:hanging="72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Business IP is either legally and beneficially owned by a Group Company or lawfully used with the consent of the owner under a licence.</w:t>
            </w:r>
          </w:p>
        </w:tc>
      </w:tr>
    </w:tbl>
    <w:p>
      <w:pPr>
        <w:pStyle w:val="TextBody"/>
        <w:bidi w:val="0"/>
        <w:spacing w:before="0" w:after="0"/>
        <w:ind w:left="1418" w:right="0" w:hanging="709"/>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245"/>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all Owned Business IP is not being infringed or attacked or opposed by any person.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Owned Business IP is not subject to any Encumbrance or any licence or authority in favour of another person, other than a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no claims have been made and no intellectual property applications are pending which if pursued or granted might be material to the truth and accuracy of the statements in paragraphs 6.1(a) to 6.1(c) above.</w:t>
            </w:r>
          </w:p>
        </w:tc>
      </w:tr>
    </w:tbl>
    <w:p>
      <w:pPr>
        <w:pStyle w:val="TextBody"/>
        <w:bidi w:val="0"/>
        <w:spacing w:before="0" w:after="0"/>
        <w:ind w:left="1418" w:right="0" w:hanging="709"/>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90"/>
        <w:gridCol w:w="26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Intellectual Property</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Letter contains accurate and current details of all Owned Business IP that are registered or the subject of applications for registration and, to the best of the Seller’s knowledge, all renewal fees which are due and steps which are required for their maintenance and protection have been paid and taken.</w:t>
      </w:r>
    </w:p>
    <w:p>
      <w:pPr>
        <w:pStyle w:val="TextBody"/>
        <w:bidi w:val="0"/>
        <w:spacing w:before="0" w:after="0"/>
        <w:ind w:left="709"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90"/>
        <w:gridCol w:w="7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Owned Business IP is (or, in the case of pending applications, will be) valid and enforceable.</w:t>
      </w:r>
    </w:p>
    <w:p>
      <w:pPr>
        <w:pStyle w:val="TextBody"/>
        <w:bidi w:val="0"/>
        <w:spacing w:before="0" w:after="0"/>
        <w:ind w:left="709" w:right="0" w:hanging="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90"/>
        <w:gridCol w:w="10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1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 processes employed and the products and services dealt in by each Group Company both now and at any time within the last three years do not and did not infringe any rights or interests of third parties in Intellectual Property in any material respects and no Group Company has received any written notices alleging that the activities of such Group Company infringe any such rights or interests of any third party.</w:t>
      </w:r>
    </w:p>
    <w:p>
      <w:pPr>
        <w:pStyle w:val="TextBody"/>
        <w:bidi w:val="0"/>
        <w:spacing w:before="0" w:after="0"/>
        <w:ind w:left="72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Business IP</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several licences and agreements relating to the Licensed Business IP (including all amendments, novations, supplements or replacements to those licences and agreements):</w:t>
      </w:r>
    </w:p>
    <w:p>
      <w:pPr>
        <w:pStyle w:val="TextBody"/>
        <w:bidi w:val="0"/>
        <w:spacing w:before="0" w:after="0"/>
        <w:ind w:left="709" w:right="0" w:hanging="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23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are in full force and effect, no written notice having been given or received by a Group Company to terminate them;</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no circumstances exist which would entitle a party to terminate or vary them; and</w:t>
            </w:r>
          </w:p>
        </w:tc>
      </w:tr>
    </w:tbl>
    <w:p>
      <w:pPr>
        <w:pStyle w:val="TextBody"/>
        <w:bidi w:val="0"/>
        <w:spacing w:before="0" w:after="0"/>
        <w:ind w:left="1418" w:right="0" w:hanging="709"/>
        <w:jc w:val="both"/>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23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Group have been complied with in all material respects.</w:t>
            </w:r>
          </w:p>
        </w:tc>
      </w:tr>
    </w:tbl>
    <w:p>
      <w:pPr>
        <w:pStyle w:val="TextBody"/>
        <w:bidi w:val="0"/>
        <w:spacing w:before="0" w:after="0"/>
        <w:ind w:left="1418" w:right="0" w:hanging="709"/>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290"/>
        <w:gridCol w:w="9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Know-How</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and is no misuse of Know-how by any Group Company and no Seller has made any disclosure of Know-how to any person other than the Purchaser, except in the ordinary and usual course of business and on the basis that such disclosure is to be treated as being of a confidential character.</w:t>
      </w:r>
    </w:p>
    <w:p>
      <w:pPr>
        <w:pStyle w:val="TextBody"/>
        <w:bidi w:val="0"/>
        <w:spacing w:before="0" w:after="0"/>
        <w:ind w:left="709"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90"/>
        <w:gridCol w:w="20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w:t>
            </w:r>
          </w:p>
        </w:tc>
      </w:tr>
    </w:tbl>
    <w:p>
      <w:pPr>
        <w:pStyle w:val="TextBody"/>
        <w:bidi w:val="0"/>
        <w:spacing w:before="0" w:after="0"/>
        <w:ind w:left="709" w:right="0" w:hanging="709"/>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3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Business IT is owned by or licensed to the relevant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 Business IT is in reasonable working order in all material respects and have been regularly maintained and supported.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material services relating to, and licences of, Business IT are, and have been throughout the last three years, provided under written contracts with the relevant Group Company. Such contracts are:</w:t>
            </w:r>
          </w:p>
        </w:tc>
      </w:tr>
    </w:tbl>
    <w:p>
      <w:pPr>
        <w:pStyle w:val="TextBody"/>
        <w:bidi w:val="0"/>
        <w:spacing w:before="0" w:after="0"/>
        <w:ind w:left="1418" w:right="0" w:hanging="709"/>
        <w:jc w:val="both"/>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20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full force and effect, no notice having been given by either side to terminate them;</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no circumstances exist or have existed which would entitle a party to terminate them, vary them and/or make a claim for money or a money equivalent in respect of them;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relevant Group Company and, to the best of the Seller’s knowledge, the obligations of the relevant counterparties to such contracts, have been complied with in all material respects,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there is no claim, legal action or proceeding involving any Group Company in respect of those contracts.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and in the past three years there have been, no performance reductions or breakdowns of, or logical or physical intrusions to, or software virus infection of, any Information Technology or losses of data which have had (or are having) a material adverse effect on the business of any Group Company and the Seller is not aware of any fact or matter which may give rise to such a material adverse effect.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each Group Company has in place procedures which are reasonably adequate in accordance with prevailing industry standards:</w:t>
            </w:r>
          </w:p>
        </w:tc>
      </w:tr>
    </w:tbl>
    <w:p>
      <w:pPr>
        <w:pStyle w:val="TextBody"/>
        <w:bidi w:val="0"/>
        <w:spacing w:before="0" w:after="0"/>
        <w:ind w:left="1418" w:right="0" w:hanging="709"/>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20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prevent unauthorised access to and the introduction of viruses and other contaminants into the Business IT;</w:t>
            </w:r>
          </w:p>
        </w:tc>
      </w:tr>
    </w:tbl>
    <w:p>
      <w:pPr>
        <w:pStyle w:val="TextBody"/>
        <w:bidi w:val="0"/>
        <w:spacing w:before="0" w:after="0"/>
        <w:ind w:left="2126" w:right="0" w:hanging="708"/>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26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take and store on-site and off-site back-up copies of the software and data in the Business IT;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that the business of the Group Companies can continue without material disruption in the event of breakdown or performance reduction of the Business IT or loss of data, whether due to natural disaster, power failure or otherwise.</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Companies have not incorporated any open-source software into any of their products or services in a manner that would (i) require the disclosure or distribution of any source code owned by a Group Company, (ii) require licensing of any such source code on a royalty-free or open-source basis, or (iii) otherwise limit the Group Companies’ ability to use or commercialise such products or services. The Group Companies have complied in all material respects with all open-source licences applicable to any open-source software used in their products or services. No Group Company has received any written notice alleging a breach or non-compliance with any such open-source licence.</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Companies have in place disaster recovery plans to ensure that data stored on the Business IT can be replaced or substituted without disruption to the Group in the event of a failure of any part of the Business IT (whether due to natural disaster, power failure or otherwise). All such data has been regularly archived in properly stored, catalogued and secure hard copy form.</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Companies have in place procedures for protecting the Business IT from infection by software viruses and from access by unauthorised persons. The Group operates a documented procedure to avoid virus infections and unauthorised access which is appropriate to a business of its nature and size.</w:t>
            </w:r>
          </w:p>
        </w:tc>
      </w:tr>
    </w:tbl>
    <w:p>
      <w:pPr>
        <w:pStyle w:val="TextBody"/>
        <w:bidi w:val="0"/>
        <w:spacing w:before="0" w:after="0"/>
        <w:ind w:left="1418" w:right="0" w:hanging="709"/>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CONTRACTS</w:t>
            </w:r>
          </w:p>
        </w:tc>
      </w:tr>
    </w:tbl>
    <w:p>
      <w:pPr>
        <w:pStyle w:val="TextBody"/>
        <w:bidi w:val="0"/>
        <w:spacing w:before="0" w:after="0"/>
        <w:ind w:left="720" w:right="0" w:hanging="72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1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written Material Contracts (other than any Material Contracts entered into between the date of this Agreement and Completion in accordance with Clause 5.2(c)(iii) and/or 5.2(c)(iv)) are provided in the Data Room.</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in material default or breach under any Material Contract and, to the best of the Seller’s knowledge, no other party to a Material Contract is in material default or breach under such Material Contract.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Contract has been terminated (except where such Material Contract has automatically terminated in accordance with its terms, other than by breach thereof) and to the best of the Seller’s knowledge, there are no grounds for recission, avoidance or repudiation or likely to give rise to termination and no written notice of termination or of intention to terminate has been received or served by any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290"/>
        <w:gridCol w:w="8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3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a party to or subject to any contract, transaction, arrangement, understanding or obligation which:</w:t>
      </w:r>
    </w:p>
    <w:p>
      <w:pPr>
        <w:pStyle w:val="TextBody"/>
        <w:bidi w:val="0"/>
        <w:spacing w:before="0" w:after="0"/>
        <w:ind w:left="737" w:right="0" w:hanging="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23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in the ordinary and usual course of business;</w:t>
            </w:r>
          </w:p>
        </w:tc>
      </w:tr>
    </w:tbl>
    <w:p>
      <w:pPr>
        <w:pStyle w:val="TextBody"/>
        <w:bidi w:val="0"/>
        <w:spacing w:before="0" w:after="0"/>
        <w:ind w:left="1418" w:right="0" w:hanging="709"/>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245"/>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wholly on an arm’s length basis; or</w:t>
            </w:r>
          </w:p>
        </w:tc>
      </w:tr>
    </w:tbl>
    <w:p>
      <w:pPr>
        <w:pStyle w:val="TextBody"/>
        <w:bidi w:val="0"/>
        <w:spacing w:before="0" w:after="0"/>
        <w:ind w:left="1418" w:right="0" w:hanging="709"/>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23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restricts its freedom to carry on its business in any part of the world in such manner as it thinks fit.</w:t>
            </w:r>
          </w:p>
        </w:tc>
      </w:tr>
    </w:tbl>
    <w:p>
      <w:pPr>
        <w:pStyle w:val="TextBody"/>
        <w:bidi w:val="0"/>
        <w:spacing w:before="0" w:after="0"/>
        <w:ind w:left="1418" w:right="0" w:hanging="709"/>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Fees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3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nor any person acting on its behalf has incurred any liability to pay any broker’s, finder’s, or adviser’s fee or commission in connection with the sale of the Sale Shares to the Purchaser. No such fee or commission is or will become payable by the Purchaser.</w:t>
      </w:r>
    </w:p>
    <w:p>
      <w:pPr>
        <w:pStyle w:val="TextBody"/>
        <w:bidi w:val="0"/>
        <w:spacing w:before="0" w:after="0"/>
        <w:ind w:left="737"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90"/>
        <w:gridCol w:w="23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Arrangements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3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entered into any contract, arrangements, agreements or transactions with any of the Sellers or their Affiliates, other than the Resulticks Shareholders’ Agreement and any employment or services agreements entered into in the ordinary course of business.</w:t>
      </w:r>
    </w:p>
    <w:p>
      <w:pPr>
        <w:pStyle w:val="TextBody"/>
        <w:bidi w:val="0"/>
        <w:spacing w:before="0" w:after="0"/>
        <w:ind w:left="737"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185"/>
        <w:gridCol w:w="14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4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w:t>
            </w:r>
          </w:p>
        </w:tc>
      </w:tr>
    </w:tbl>
    <w:p>
      <w:pPr>
        <w:pStyle w:val="TextBody"/>
        <w:bidi w:val="0"/>
        <w:spacing w:before="0" w:after="0"/>
        <w:ind w:left="720" w:right="0" w:hanging="72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Employment</w:t>
            </w:r>
          </w:p>
        </w:tc>
      </w:tr>
    </w:tbl>
    <w:p>
      <w:pPr>
        <w:pStyle w:val="TextBody"/>
        <w:bidi w:val="0"/>
        <w:spacing w:before="0" w:after="0"/>
        <w:ind w:left="709" w:right="0" w:hanging="709"/>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3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Templates of the standard form employment contract for employees of the Group are set out in the Data Room.</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Anonymised particulars of the job titles, dates of commencement of employment, engagement (or appointment to office), contracts and terms of engagement, terms and conditions of employment and remuneration, benefits and emoluments (including any loan arrangement, bonus, commission, profit sharing, share and other incentive schemes) of all the Senior Employees are set out in Data Room. There are no outstanding offers of employment to any person who would be a Senior Employee if engaged.</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details of the principal terms of employment and/or engagement and anonymised particulars (for the avoidance of doubt including location, job title, date of commencement of employment and/or engagement, details of salary, bonus, commission, incentives and benefits as well as status in respect of long term leave of any kind) of all other employees, consultants and workers of the Group are set out in the Data Room.</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individuals employed or engaged by the Group who require permission to work in the country in which they work has the necessary permission under Applicable Law to work in such country.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changes to the employment terms or conditions of any Senior Employee have been made, announced or proposed in the twelve (12) months prior to the date of this Agreement, nor has any such change been promised or proposed to any such individual in writing by any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Employment</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Senior Employee has given any written notice terminating contract of employment or is under notice of dismissal. There have been no written proposals to terminate the employment of any Senior Employee.</w:t>
      </w:r>
    </w:p>
    <w:p>
      <w:pPr>
        <w:pStyle w:val="TextBody"/>
        <w:bidi w:val="0"/>
        <w:spacing w:before="0" w:after="0"/>
        <w:ind w:left="720" w:right="0" w:hanging="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290"/>
        <w:gridCol w:w="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last payroll date prior to the date of this Agreement, the salaries and wages and other benefits (other than holiday pay) of employees, all related payments to third party benefit providers and all related payments to the relevant authorities (save such payments made during the month following the payroll period in the ordinary course of business consistent with past practice) had been paid or discharged in full or properly accrued where due. No Senior Employee owes any amount to any Group Company in respect of any loans or advances by any Group Company to such Senior Employee.</w:t>
      </w:r>
    </w:p>
    <w:p>
      <w:pPr>
        <w:pStyle w:val="TextBody"/>
        <w:bidi w:val="0"/>
        <w:spacing w:before="0" w:after="0"/>
        <w:ind w:left="709"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90"/>
        <w:gridCol w:w="10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Union</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trade union, works council and/or other employee representative body has been recognized or established by the Group and there are no outstanding proposals for the recognition or establishment of any trade unions, works councils and/or other employee representative bodies in relation to the Group. No Group Company is a party to any collective bargaining agreement and has no standing arrangement with any employee representative body, in each case, relating to redundancies, remuneration or other benefits.</w:t>
      </w:r>
    </w:p>
    <w:p>
      <w:pPr>
        <w:pStyle w:val="TextBody"/>
        <w:bidi w:val="0"/>
        <w:spacing w:before="0" w:after="0"/>
        <w:ind w:left="709" w:right="0" w:hanging="0"/>
        <w:jc w:val="both"/>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90"/>
        <w:gridCol w:w="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current dispute or proceeding between any Group Company and any individual employed or engaged (or formerly employed or engaged) by any Group Company that would be expected to result in a material liability to any Group Company, and there is no current dispute between any Group Company and any trade union, nor has any such dispute been threatened to a Group Company that would be expected to result in a material liability to any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claim against any Group Company by a Senior Employee arising out of or relating to their employment with such Group Company, nor, to the best of the Seller’s knowledge, has any such claim been threatened by a Senior Employee.</w:t>
            </w:r>
          </w:p>
        </w:tc>
      </w:tr>
    </w:tbl>
    <w:p>
      <w:pPr>
        <w:pStyle w:val="TextBody"/>
        <w:bidi w:val="0"/>
        <w:spacing w:before="0" w:after="0"/>
        <w:ind w:left="1418" w:right="0" w:hanging="709"/>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90"/>
        <w:gridCol w:w="14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Schemes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respect of any state social security arrangements, no Group Company has an obligation to provide, or contribute towards, or has any actual or contingent liability in respect of, any scheme or arrangement which provides or will or may provide pension, death, retirement, lump-sum, ill-health, disability, accident or other benefits in respect of any individual employed or engaged (or formerly employed or engaged) by any Group Company or in each case their dependents and no promise or assurance has been given to any current or former employee or director of any Group Company that his benefits will be calculated by reference to a minimum amount or defined level of benefit.</w:t>
      </w:r>
    </w:p>
    <w:p>
      <w:pPr>
        <w:pStyle w:val="TextBody"/>
        <w:bidi w:val="0"/>
        <w:spacing w:before="0" w:after="0"/>
        <w:ind w:left="70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COMPLIANCE</w:t>
            </w:r>
          </w:p>
        </w:tc>
      </w:tr>
    </w:tbl>
    <w:p>
      <w:pPr>
        <w:pStyle w:val="TextBody"/>
        <w:bidi w:val="0"/>
        <w:spacing w:before="0" w:after="0"/>
        <w:ind w:left="720" w:right="0" w:hanging="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 and Consents</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licences, consents and authorisations material to the business of the Group (“</w:t>
            </w:r>
            <w:r>
              <w:rPr>
                <w:rFonts w:ascii="Times New Roman;Times;Serif" w:hAnsi="Times New Roman;Times;Serif"/>
                <w:b/>
                <w:i w:val="false"/>
                <w:caps w:val="false"/>
                <w:smallCaps w:val="false"/>
                <w:sz w:val="20"/>
              </w:rPr>
              <w:t>Licences</w:t>
            </w:r>
            <w:r>
              <w:rPr>
                <w:rFonts w:ascii="Times New Roman;Times;Serif" w:hAnsi="Times New Roman;Times;Serif"/>
                <w:b w:val="false"/>
                <w:i w:val="false"/>
                <w:caps w:val="false"/>
                <w:smallCaps w:val="false"/>
                <w:sz w:val="20"/>
              </w:rPr>
              <w:t>”) have been obtained, are in full force and effect and have been and are being complied with in all material respects.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there is no investigation, enquiry or proceeding outstanding or anticipated which is likely to result in the suspension, cancellation, modification or revocation of any Licence.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Licences has been breached or, to the best of the Seller’s knowledge, is likely to be suspended, modified or revoked or not renewed (whether as a result of the entry into or completion of this Agreement or otherwise).</w:t>
            </w:r>
          </w:p>
        </w:tc>
      </w:tr>
    </w:tbl>
    <w:p>
      <w:pPr>
        <w:pStyle w:val="TextBody"/>
        <w:bidi w:val="0"/>
        <w:spacing w:before="0" w:after="0"/>
        <w:ind w:left="1418" w:right="0" w:hanging="709"/>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90"/>
        <w:gridCol w:w="18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each Group Company is conducting, and during the three year period prior to Completion has conducted, the business of the Group in material compliance with Applicable Law and no Group Company is, or during the three year period prior to Completion has been, in material breach of any such Applicable Law.</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there is no investigation, disciplinary proceeding or inquiry by, or order, decree, decision or judgment of, any court, tribunal, arbitrator, governmental agency or regulatory body outstanding against any Group Company which has had or may reasonably be expected to have a material adverse effect upon the assets or business of the Group.</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received any written notice or other communication (official or otherwise) during the past 12 months from any court, tribunal, arbitrator, governmental agency or regulatory body with respect to an alleged, actual or potential violation and/or failure to comply with any such Applicable Law, bye-law or regulation, or requiring it to take or omit any action which in any case has had or may have a material adverse effect on the business of the Group.</w:t>
            </w:r>
          </w:p>
        </w:tc>
      </w:tr>
    </w:tbl>
    <w:p>
      <w:pPr>
        <w:pStyle w:val="TextBody"/>
        <w:bidi w:val="0"/>
        <w:spacing w:before="0" w:after="0"/>
        <w:ind w:left="1418" w:right="0" w:hanging="709"/>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established and maintains, adheres to and enforces internal compliance functions, and financial and reporting controls and procedures, each of which comply with Applicable Laws and, to the best of the Seller’s knowledge, are effective in providing reasonable assurance: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all material information required to be disclosed by any Group Company under Applicable Law is recorded, processed, summarised and reported within the time periods specified by Applicable Laws;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reliability of financial reporting and the preparation of financial statements by the relevant Group Company and the Group (on a consolidated basis) in accordance with Applicable Laws and the Relevant Accounting Standards.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three-year period prior to Completion, no Group Company nor, to the best of the Seller’s knowledge, any Group Company’s auditors have identified or been made aware of:</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deficiency or material weakness, in each case which has not been subsequently fully remedied, in the system of internal control over financial reporting utilised by the Group Companies;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that involves the management or other employees of any Group Company who have a role in the preparation of financial statements with reporting oversight or the internal control over the financial reporting utilised by the Group Companies.</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90"/>
        <w:gridCol w:w="19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9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in the past three years complied, and is in compliance, with all applicable Data Protection Laws in the collection, use, storage, disclosure, transfer, and other processing of Personal Data, including (where applicable) requirements relating to registration or notification, payments of fees, maintenance of records, obtaining and recording consents, providing privacy notices, responding to valid requests by data subjects to exercise their rights, and cross-border data transfers.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implemented and maintains appropriate technical and organisational measures designed to protect Personal Data against unauthorised or unlawful processing, accidental loss, destruction or damage, and such measures are materially compliant with applicable Data Protection Laws and generally accepted industry standards.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third party (including a processor or sub-processor) processes Personal Data on behalf of a Group Company, such processing is, and has been, governed by a written contract that complies with the requirements of applicable Data Protection Laws. All transfers of Personal Data by any Group Company outside the jurisdiction of origin have been conducted in material compliance with applicable Data Protection Laws.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maintains written data protection and information security policies appropriate to the nature and volume of the Personal Data it processes, and, where required by applicable Data Protection Laws, has appointed a data protection officer, and ensures that relevant employees have received training on data protection and information security obligations.</w:t>
            </w:r>
          </w:p>
        </w:tc>
      </w:tr>
    </w:tbl>
    <w:p>
      <w:pPr>
        <w:pStyle w:val="TextBody"/>
        <w:bidi w:val="0"/>
        <w:spacing w:before="0" w:after="0"/>
        <w:ind w:left="709" w:right="0" w:hanging="709"/>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395"/>
        <w:gridCol w:w="53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three-year period prior to Completion, no Group Company:</w:t>
            </w:r>
          </w:p>
        </w:tc>
      </w:tr>
    </w:tbl>
    <w:p>
      <w:pPr>
        <w:pStyle w:val="TextBody"/>
        <w:bidi w:val="0"/>
        <w:spacing w:before="0" w:after="0"/>
        <w:ind w:left="709" w:right="0" w:hanging="709"/>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3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experienced or been notified of any Personal Data breach or other security incident involving Personal Data;</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received any written complaint, enquiry, notice or claim (including from any regulator, data subject or customer) concerning its collection, processing or use of Personal Data that remains unresolved;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subject to any pending or, to the best of the Seller’s knowledge, threatened investigation, audit or proceeding (whether of a criminal, civil or administrative nature) relating to Personal Data.</w:t>
            </w:r>
          </w:p>
        </w:tc>
      </w:tr>
    </w:tbl>
    <w:p>
      <w:pPr>
        <w:pStyle w:val="TextBody"/>
        <w:bidi w:val="0"/>
        <w:spacing w:before="0" w:after="0"/>
        <w:ind w:left="1418" w:right="0" w:hanging="709"/>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90"/>
        <w:gridCol w:w="12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2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INSURANCES</w:t>
            </w:r>
          </w:p>
        </w:tc>
      </w:tr>
    </w:tbl>
    <w:p>
      <w:pPr>
        <w:pStyle w:val="TextBody"/>
        <w:bidi w:val="0"/>
        <w:spacing w:before="0" w:after="0"/>
        <w:ind w:left="720" w:right="0" w:hanging="72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95"/>
        <w:gridCol w:w="1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Particulars of Insurance</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particulars of the insurances of the Group Companies material to the business of the Group are contained in the Data Room.</w:t>
      </w:r>
    </w:p>
    <w:p>
      <w:pPr>
        <w:pStyle w:val="TextBody"/>
        <w:bidi w:val="0"/>
        <w:spacing w:before="0" w:after="0"/>
        <w:ind w:left="709"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395"/>
        <w:gridCol w:w="1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Policies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insurances referred to in paragraph 12.1:</w:t>
      </w:r>
    </w:p>
    <w:p>
      <w:pPr>
        <w:pStyle w:val="TextBody"/>
        <w:bidi w:val="0"/>
        <w:spacing w:before="0" w:after="0"/>
        <w:ind w:left="709" w:right="0" w:hanging="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23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premiums and any related insurance premium taxes have been duly paid to date;</w:t>
            </w:r>
          </w:p>
        </w:tc>
      </w:tr>
    </w:tbl>
    <w:p>
      <w:pPr>
        <w:pStyle w:val="TextBody"/>
        <w:bidi w:val="0"/>
        <w:spacing w:before="0" w:after="0"/>
        <w:ind w:left="1418" w:right="0" w:hanging="709"/>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24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policies are in full force and effect; and</w:t>
            </w:r>
          </w:p>
        </w:tc>
      </w:tr>
    </w:tbl>
    <w:p>
      <w:pPr>
        <w:pStyle w:val="TextBody"/>
        <w:bidi w:val="0"/>
        <w:spacing w:before="0" w:after="0"/>
        <w:ind w:left="1418" w:right="0" w:hanging="709"/>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23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circumstances have arisen which would render any of the policies void or unenforceable for illegality or otherwise.</w:t>
            </w:r>
          </w:p>
        </w:tc>
      </w:tr>
    </w:tbl>
    <w:p>
      <w:pPr>
        <w:pStyle w:val="TextBody"/>
        <w:bidi w:val="0"/>
        <w:spacing w:before="0" w:after="0"/>
        <w:ind w:left="1418" w:right="0" w:hanging="709"/>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395"/>
        <w:gridCol w:w="6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insurance claim is outstanding and, to the best of the Seller’s knowledge. no circumstances exist which are likely to give rise to any insurance claim.</w:t>
      </w:r>
    </w:p>
    <w:p>
      <w:pPr>
        <w:pStyle w:val="TextBody"/>
        <w:bidi w:val="0"/>
        <w:spacing w:before="0" w:after="0"/>
        <w:ind w:left="709"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90"/>
        <w:gridCol w:w="12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tc>
      </w:tr>
    </w:tbl>
    <w:p>
      <w:pPr>
        <w:pStyle w:val="TextBody"/>
        <w:bidi w:val="0"/>
        <w:spacing w:before="0" w:after="0"/>
        <w:ind w:left="720" w:right="0" w:hanging="72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395"/>
        <w:gridCol w:w="16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Proceedings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involved whether as claimant or defendant or other party in any claim, legal action, proceeding, suit, litigation, prosecution, investigation, enquiry, mediation or arbitration (other than as claimant in the collection of debts arising in the ordinary and usual course of its business) which is material to the business of the Group.</w:t>
      </w:r>
    </w:p>
    <w:p>
      <w:pPr>
        <w:pStyle w:val="TextBody"/>
        <w:bidi w:val="0"/>
        <w:spacing w:before="0" w:after="0"/>
        <w:ind w:left="70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395"/>
        <w:gridCol w:w="2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Threatened Proceedings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no claim, legal action, proceeding, suit, litigation, prosecution, investigation, enquiry, mediation or arbitration of material importance is pending or threatened by or against any Group Company.</w:t>
      </w:r>
    </w:p>
    <w:p>
      <w:pPr>
        <w:pStyle w:val="TextBody"/>
        <w:bidi w:val="0"/>
        <w:spacing w:before="0" w:after="0"/>
        <w:ind w:left="709"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95"/>
        <w:gridCol w:w="31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Circumstances likely to lead to Claims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there are no investigations, disciplinary proceedings or other circumstances likely to lead to any such claim or legal action, proceeding, suit, litigation, prosecution, mediation or arbitration.</w:t>
      </w:r>
    </w:p>
    <w:p>
      <w:pPr>
        <w:pStyle w:val="TextBody"/>
        <w:bidi w:val="0"/>
        <w:spacing w:before="0" w:after="0"/>
        <w:ind w:left="709" w:right="0" w:hanging="0"/>
        <w:jc w:val="both"/>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290"/>
        <w:gridCol w:w="4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all material returns, notifications, registrations, assessments, accounts, computations, notices and all other material information required by Applicable Law to have been made or submitted to any Tax Authority by each Group Company in the last three (3) years for any Tax purpose, have been made or submitted within the applicable time limits and remain complete and accurate in all material respects.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material Tax for which each Group Company has, within the last three (3) years, been liable to account has been paid insofar as such Tax ought to have been paid in accordance with Applicable Law.</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within the last three (3) years, entered into any concession, agreement or arrangement with a Tax Authority pursuant to which a Group Company has been authorised not to comply with what, but for such concession, agreement or arrangement, would be its statutory obligation.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in the last three (3) years been involved in any dispute with or investigation, audit or enquiry by any Tax Authority (in each case other than routine enquiries). No Group Company has received any written notice that it is subject to any dispute, investigation, audit or enquiry by a Tax Authority of a non-routine nature.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a party to any Tax sharing arrangement with any person other than another Group Company pursuant to which it will have any obligation to make any Tax payments after the Completion Date.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been resident for tax purposes in its country of incorporation and nowhere else at all times since its incorporation and will be so resident at Completion.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Group Companies has since its incorporation engaged in, or been a party to, any transaction or series of transactions or scheme or arrangement of which the main purpose, or one of the main purposes, was or could be said to be the avoidance of, or deferral of or a reduction in the liability to, Tax.</w:t>
            </w:r>
          </w:p>
        </w:tc>
      </w:tr>
    </w:tbl>
    <w:p>
      <w:pPr>
        <w:pStyle w:val="TextBody"/>
        <w:bidi w:val="0"/>
        <w:spacing w:before="0" w:after="0"/>
        <w:ind w:left="709" w:right="0" w:hanging="709"/>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90"/>
        <w:gridCol w:w="62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62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ANTI-CORRUPTION, SANCTIONS AND ANTI-MONEY LAUNDERING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warrants that neither it nor any Group Company or (to the best of such Seller’s knowledge) any Agents of any Group Company, (a) has violated any applicable Anti-Corruption Laws, Sanctions or Anti-Money Laundering Regulations; or (b) in carrying out its responsibilities under this Agreement or any agreement entered into in connection with the Transaction, has and/or will violate any applicable Anti-Corruption Laws, Sanctions or Anti-Money Laundering Regulations.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warrants that neither it nor any Group Company or (to the best of such Seller’s knowledge) any Agents of any Group Company, is a Government Official.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warrants that no Government Official or Governmental Authority presently controls or owns an interest, whether direct or indirect, in itself nor any Group Company or (to the best of such Seller’s knowledge) any Agents of any Group Company, or has any legal or beneficial interest in the same.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warrants that neither it nor any Group Company or (to the best of such Seller’s knowledge) any Agent of any Group Company:</w:t>
            </w:r>
          </w:p>
        </w:tc>
      </w:tr>
    </w:tbl>
    <w:p>
      <w:pPr>
        <w:pStyle w:val="TextBody"/>
        <w:bidi w:val="0"/>
        <w:spacing w:before="0" w:after="0"/>
        <w:ind w:left="709" w:right="0" w:hanging="709"/>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23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Restricted Party;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received written notice of or is aware of any claim, action, suit, proceeding or investigation against it with respect to Sanctions by any Sanctions Authority.</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procedures in line with generally accepted industry standards designed to ensure compliance (and otherwise in accordance) with all applicable Anti-Corruption Laws, Sanctions or Anti-Money Laundering Regulations.</w:t>
            </w:r>
          </w:p>
        </w:tc>
      </w:tr>
    </w:tbl>
    <w:p>
      <w:pPr>
        <w:pStyle w:val="TextBody"/>
        <w:bidi w:val="0"/>
        <w:spacing w:before="0" w:after="0"/>
        <w:ind w:left="709" w:right="0" w:hanging="709"/>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90"/>
        <w:gridCol w:w="25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25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TRANSACTION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relation to the Ascertis Facilities Documents and the India Facilities Documents, the entry into and performance of this Agreement, the other Transaction Documents and any other document to be entered into pursuant to or in connection with this Agreement (including the acquisition of the Sale Shares by the Purchaser and the occurrence of Completion) will not, nor is likely to:</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any Group Company to lose the benefit of any right or privilege it presently enjoys which is material to the Business;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any person to terminate any right or benefit enjoyed by any Group Company, or to exercise any right in respect of any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rise to, crystallise, or cause to become exercisable or enforceable, any right of pre-emption or other Encumbrance over the Sale Shares or any shares in any other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result in any customer or supplier becoming entitled to, or cause any customer or supplier to, cease dealing with any Group Company or to substantially reduce its existing level of business or to change the terms on which it deals with any Group Company or otherwise (to the best of the Seller’s knowledge) adversely affect the attitude or action of any customer or supplier in respect of the Group;</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or constitute a default under any Material Contract (or any present or future Indebtedness of any Group Company becoming due and payable, or capable of being declared due and payable, prior to its stated maturity date or in any of the Existing Facilities being withdrawn);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 any person to acquire or affect the entitlement of any person to acquire shares in the Company or any other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290"/>
        <w:gridCol w:w="52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5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DISCLOSURE AND ACCURACY OF INFORMATION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contained in this Agreement, the Data Room and the Disclosure Letter is true and accurate in all material respects, and the Sellers are not aware of any fact or matter or circumstances not disclosed which renders any such information untrue or inaccurate in any material respect.</w:t>
      </w:r>
    </w:p>
    <w:p>
      <w:pPr>
        <w:pStyle w:val="TextBody"/>
        <w:bidi w:val="0"/>
        <w:spacing w:before="0" w:after="0"/>
        <w:ind w:left="709" w:right="0" w:hanging="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90"/>
        <w:gridCol w:w="31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31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S; SECTION 4(A)(2)</w:t>
            </w:r>
          </w:p>
        </w:tc>
      </w:tr>
    </w:tbl>
    <w:p>
      <w:pPr>
        <w:pStyle w:val="TextBody"/>
        <w:bidi w:val="0"/>
        <w:spacing w:before="0" w:after="0"/>
        <w:ind w:left="720" w:right="0" w:hanging="72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 given by Sellers acquiring Consideration Shares pursuant to Regulation 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who will be allotted and issued Reg S Consideration Shares warrants as follows: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understands and acknowledges that (A) the Reg S Consideration Shares are being issued in reliance upon an exemption from registration afforded by Regulation S promulgated under the Securities Act (or other applicable exemption from the registration requirements under the Securities Act), and that such shares have not been registered with any state securities commission or authority; and (B) pursuant to the requirements of Regulation S, the shares may not be transferred, sold or otherwise exchanged, unless in compliance with the provisions of Regulation S and/or pursuant to registration under the Securities Act, or pursuant to another available exemption thereunder.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not a U.S. Person (as defined under Regulation S) and is not acquiring the Reg S Consideration Shares for the account of any U.S. Person; no director or executive officer of Seller (if a corporation) is a national or citizen of the United States; and the Seller is not otherwise deemed to be a “U.S. Person” within the meaning of Regulation 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was not formed specifically for the purpose of acquiring the Reg S Consideration Shares issued pursuant to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45"/>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leading to the sale evidenced hereby was made in an “offshore transaction” within the meaning of Regulation 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Seller, nor any Affiliate or any person acting on Seller’s behalf, has made or is aware of any “directed selling efforts” in the United States, which is defined in Regulation S to be any activity undertaken for the purpose of, or that could reasonably be expected to have the effect of, conditioning the market in the United States for any of the Reg S Consideration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not a “distributor” as defined under Regulation S. Seller agrees that it/he will not, during the Restricted Period set forth under Rule 903(b)(2)(iii), act as a distributor, either directly or through any affiliate, nor shall he/she sell, transfer, hypothecate or otherwise convey the Reg S Consideration Shares other than to a non-U.S. Person, in compliance with Regulation 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acquiring the Reg S Consideration Shares for its own account and risk and not for the account or benefit of a U.S. Person (as defined in Regulation S) and no other person has any interest in or participation in such shares or any right, option, security interest, pledge or other interest in or to such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will offer, sell, pledge or otherwise transfer the Reg S Consideration Shares, only pursuant to registration under the Securities Act or an available exemption or exclusion therefrom, in compliance with all applicable state and foreign securities laws and with the Registration Rights and Lock-Up Agreement to be entered into by the Seller and Purchaser.</w:t>
            </w:r>
          </w:p>
        </w:tc>
      </w:tr>
    </w:tbl>
    <w:p>
      <w:pPr>
        <w:pStyle w:val="TextBody"/>
        <w:bidi w:val="0"/>
        <w:spacing w:before="0" w:after="0"/>
        <w:ind w:left="1440" w:right="0" w:hanging="72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395"/>
        <w:gridCol w:w="71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 given by Seller(s) acquiring Consideration Shares pursuant to Section 4(a)(2)</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purchasing 4(a)(2) Consideration makes the following representations and warranties: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acquiring the 4(a)(2) Consideration Shares for its own account and not with a view towards, or for resale in connection with, the public sale or distribution thereof, except pursuant to sales registered or exempted under the Securities Act; provided, however, that by making the representations herein, the Seller reserves the right to dispose of the 4(a)(2) Consideration Shares at any time in accordance with or pursuant to a registration statement or an exemption under the Securities Act and pursuant to the applicable terms of the Transaction Documents. The Seller does not presently have any agreement or understanding, directly or indirectly, with any person to distribute any of the 4(a)(2) Consideration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an “accredited investor” as that term is defined in Rule 501(a) of Regulation D under the Securities Act (“</w:t>
            </w:r>
            <w:r>
              <w:rPr>
                <w:rFonts w:ascii="Times New Roman;Times;Serif" w:hAnsi="Times New Roman;Times;Serif"/>
                <w:b/>
                <w:i w:val="false"/>
                <w:caps w:val="false"/>
                <w:smallCaps w:val="false"/>
                <w:sz w:val="20"/>
              </w:rPr>
              <w:t>Regulation D</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understands that the 4(a)(2) Consideration Shares are being offered and issued to it in reliance on specific exemptions from the registration requirements of United States federal and state securities laws.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acknowledges that the 4(a)(2) Consideration Shares were not offered to the Seller by means of any form of general or public solicitation or general advertising, or publicly disseminated advertisements or sales literature, including (i) any advertisement, article, notice or other communication published in any newspaper, magazine, website, or similar media, or broadcast over television or radio, or (ii) any seminar or meeting to which such Subscriber was invited by any of the foregoing means of communications.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 its advisors, if any, have been furnished with, or had access to, all materials relating to the business, finances and operations of the Purchaser and materials relating to the offer and sale of the 4(a)(2) Consideration Shares that have been requested by the Seller as it has deemed necessary or appropriate to conduct its due diligence investigation and has sufficient knowledge and experience in investing in companies similar to the Purchaser so as to be able to evaluate the risks and merits of its investment in the Purchaser. The Seller and its advisors, if any, have been afforded the opportunity to ask questions of the Purchaser. Neither such inquiries nor any other due diligence investigations conducted by the Seller or its advisors, if any, or its representatives shall modify, amend or affect such Subscriber’s right to rely on the Purchaser’s representations and warranties contained in this Agreement. The Seller understands that its investment in the 4(a)(2) Consideration Shares involves a high degree of risk and is able to afford a complete loss of such investment. The Seller has sought such accounting, legal and tax advice as it has considered necessary to make an informed investment decision with respect to its acquisition of the 4(a)(2) Consideration Shares.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understands that no U.S. federal or state agency or any other government or governmental agency has passed on or made any recommendation or endorsement of the 4(a)(2) Consideration Shares or the fairness or suitability of the investment in the 4(a)(2) Consideration Shares nor have such authorities passed upon or endorsed the merits of the offering of the 4(a)(2) Consideration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understands that except as provided in the Registration Rights and Lock-Up Agreement: (i) the 4(a)(2) Consideration Shares have not been and are not being registered under the Securities Act or any state securities laws, and may not be offered for sale, sold, assigned or transferred unless (A) subsequently registered thereunder, (B) the Seller shall have delivered to the Purchaser an opinion of counsel, in a form reasonably acceptable to the Purchaser, to the effect that the 4(a)(2) Consideration Shares to be sold, assigned or transferred may be sold, assigned or transferred pursuant to an exemption from such registration, or (C) the Seller provides Purchaser with reasonable assurance that the 4(a)(2) Consideration Shares can be sold, assigned or transferred pursuant to Rule 144 promulgated under the Securities Act (or a successor rule thereto) (collectively,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(ii) any sale of the 4(a)(2) Consideration Shares made in reliance on Rule 144 may be made only in accordance with the terms of Rule 144 and further, if Rule 144 is not applicable, any resale of the 4(a)(2) Consideration Shares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 and (iii) neither the Purchaser nor any other person is under any obligation to register the 4(a)(2) Consideration Shares under the Securities Act or any state securities laws or to comply with the terms and conditions of any exemption thereunder. The 4(a)(2) Consideration Shares may be pledged in connection with a bona fide margin account or other loan or financing arrangement secured by the 4(a)(2) Consideration Shares and such pledge of 4(a)(2) Consideration Shares shall not be deemed to be a transfer, sale or assignment of the 4(a)(2) Consideration Shares hereunder, and no Seller effecting a pledge of the 4(a)(2) Consideration Shares shall be required to provide the Purchaser with any notice thereof or otherwise make any delivery to the Purchaser pursuant to this Agreement or any other Transaction Document).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understands that the certificates or other instruments representing the 4(a)(2) Consideration Shares shall be the restrictive legend as provided in Clause 9.2(d) of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w:t>
      </w:r>
    </w:p>
    <w:p>
      <w:pPr>
        <w:pStyle w:val="TextBody"/>
        <w:bidi w:val="0"/>
        <w:spacing w:before="0" w:after="0"/>
        <w:ind w:left="0" w:right="0" w:hanging="0"/>
        <w:jc w:val="center"/>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185"/>
        <w:gridCol w:w="6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in this Agreement, the provisions of this Schedule shall operate to limit the liability of each Party severally in respect of each Claim and references to “Claim” and “Claims” shall be construed accordingly.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in this Schedule are not mutually exclusive and the application of any one or more limitations shall not preclude the application of any one or more other limitations.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any Party, nothing in this Schedule applies to a Claim to the extent that the liability of such Party in respect of such Claim arises as a result of fraud, fraudulent misrepresentation, wilful concealment, or gross negligence by such Party.</w:t>
            </w:r>
          </w:p>
        </w:tc>
      </w:tr>
    </w:tbl>
    <w:p>
      <w:pPr>
        <w:pStyle w:val="TextBody"/>
        <w:bidi w:val="0"/>
        <w:spacing w:before="0" w:after="0"/>
        <w:ind w:left="709" w:right="0" w:hanging="709"/>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85"/>
        <w:gridCol w:w="27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QUANTUM</w:t>
            </w:r>
          </w:p>
        </w:tc>
      </w:tr>
    </w:tbl>
    <w:p>
      <w:pPr>
        <w:pStyle w:val="TextBody"/>
        <w:bidi w:val="0"/>
        <w:spacing w:before="0" w:after="0"/>
        <w:ind w:left="720" w:right="0" w:hanging="72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90"/>
        <w:gridCol w:w="15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liability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aggregate amount of the liability of the Sellers for all Claims shall not exceed the total amount of the Consideration;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total aggregate amount of liability of each Seller for all Claims shall not exceed the total amount of Consideration received by such Seller (based upon such Seller’s Relevant Proportion).</w:t>
            </w:r>
          </w:p>
        </w:tc>
      </w:tr>
    </w:tbl>
    <w:p>
      <w:pPr>
        <w:pStyle w:val="TextBody"/>
        <w:bidi w:val="0"/>
        <w:spacing w:before="0" w:after="0"/>
        <w:ind w:left="1440" w:right="0" w:hanging="72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245"/>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paragraph 2.1(a) above: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aggregate amount of the liability of the Sellers for all General Claims shall not exceed USD 200,000,000;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total aggregate amount of liability of each Seller for all General Claims shall not exceed the product of USD 200,000,000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such Seller’s Relevant Proportion;</w:t>
            </w:r>
          </w:p>
        </w:tc>
      </w:tr>
    </w:tbl>
    <w:p>
      <w:pPr>
        <w:pStyle w:val="TextBody"/>
        <w:bidi w:val="0"/>
        <w:spacing w:before="0" w:after="0"/>
        <w:ind w:left="2118" w:right="0" w:hanging="67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aggregate amount of the liability of the Purchaser for all Claims shall not exceed the total amount of the Consideration.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paragraph 2.1(c) above, the total aggregate amount of the liability of the Purchaser for all General Claims shall not exceed USD 200,000,000.</w:t>
            </w:r>
          </w:p>
        </w:tc>
      </w:tr>
    </w:tbl>
    <w:p>
      <w:pPr>
        <w:pStyle w:val="TextBody"/>
        <w:bidi w:val="0"/>
        <w:spacing w:before="0" w:after="0"/>
        <w:ind w:left="1440" w:right="0" w:hanging="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liability of the Purchaser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 be liable for any individual Claim (or series of Claims arising from substantially identical facts or circumstances), unless: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the Purchaser in respect of such Claim (or series of Claims) exceeds USD 2,000,000 (the “</w:t>
            </w:r>
            <w:r>
              <w:rPr>
                <w:rFonts w:ascii="Times New Roman;Times;Serif" w:hAnsi="Times New Roman;Times;Serif"/>
                <w:b/>
                <w:i w:val="false"/>
                <w:caps w:val="false"/>
                <w:smallCaps w:val="false"/>
                <w:sz w:val="20"/>
              </w:rPr>
              <w:t>De Minimis Threshold</w:t>
            </w:r>
            <w:r>
              <w:rPr>
                <w:rFonts w:ascii="Times New Roman;Times;Serif" w:hAnsi="Times New Roman;Times;Serif"/>
                <w:b w:val="false"/>
                <w:i w:val="false"/>
                <w:caps w:val="false"/>
                <w:smallCaps w:val="false"/>
                <w:sz w:val="20"/>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all such Claims for which the Purchaser would, in the absence of paragraph 2.2(a), be liable exceeds USD 20,000,000 (the “</w:t>
            </w:r>
            <w:r>
              <w:rPr>
                <w:rFonts w:ascii="Times New Roman;Times;Serif" w:hAnsi="Times New Roman;Times;Serif"/>
                <w:b/>
                <w:i w:val="false"/>
                <w:caps w:val="false"/>
                <w:smallCaps w:val="false"/>
                <w:sz w:val="20"/>
              </w:rPr>
              <w:t>Basket</w:t>
            </w:r>
            <w:r>
              <w:rPr>
                <w:rFonts w:ascii="Times New Roman;Times;Serif" w:hAnsi="Times New Roman;Times;Serif"/>
                <w:b w:val="false"/>
                <w:i w:val="false"/>
                <w:caps w:val="false"/>
                <w:smallCaps w:val="false"/>
                <w:sz w:val="20"/>
              </w:rPr>
              <w:t>”), and in such event the Purchaser shall be liable for the whole of such amount and not merely the excess.</w:t>
            </w:r>
          </w:p>
        </w:tc>
      </w:tr>
    </w:tbl>
    <w:p>
      <w:pPr>
        <w:pStyle w:val="TextBody"/>
        <w:bidi w:val="0"/>
        <w:spacing w:before="0" w:after="0"/>
        <w:ind w:left="1440" w:right="0" w:hanging="72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90"/>
        <w:gridCol w:w="26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liability of the Sellers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shall be liable for any individual Claim (or series of Claims arising from substantially identical facts or circumstances), unless: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such Seller in respect of such Claim (or series of Claims) exceeds an amount equal to such Seller’s Relevant Proportion of the De Minimis Threshold;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all such Claims for which such Seller would, in the absence of paragraph 2.3(a), be liable exceeds an amount equal to such Seller’s Relevant Proportion of the Basket, and in such event such Seller shall be liable for the whole of such amount and not merely the excess.</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CLAIM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Seller Indemnitee or Purchaser Indemnitee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becomes aware of any fact, matter or circumstance that gives rise to a Claim against the Purchaser or the Sellers, as applicable (each, an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seeking indemnification shall, as soon as reasonably practicable, give written notice of the Claim to the other Party (or, on behalf of all Sellers, the Sellers’ Representative);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must contain in reasonable detail (in each case solely to the extent available to the Party seeking indemnification):</w:t>
            </w:r>
          </w:p>
        </w:tc>
      </w:tr>
    </w:tbl>
    <w:p>
      <w:pPr>
        <w:pStyle w:val="TextBody"/>
        <w:bidi w:val="0"/>
        <w:spacing w:before="0" w:after="0"/>
        <w:ind w:left="1440" w:right="0" w:hanging="72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0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facts, matters or circumstances known by the Indemnified Party that give rise to the Claim;</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alleged that the facts, matters or circumstances referred to in such notice constitute a breach of this Agreement, the basis for that allegation;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4"/>
        <w:gridCol w:w="9853"/>
      </w:tblGrid>
      <w:tr>
        <w:trPr/>
        <w:tc>
          <w:tcPr>
            <w:tcW w:w="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estimate of the amount of Losses suffered by the Indemnified Party giving rise to the Claim, to the extent reasonably ascertainable.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4.1 of this Schedule, failure to give notice as set out in paragraph 3.1 of this Schedule shall not affect the rights of the relevant Indemnified Party except to the extent that the Indemnifying Party is materially prejudiced by the failure.</w:t>
            </w:r>
          </w:p>
        </w:tc>
      </w:tr>
    </w:tbl>
    <w:p>
      <w:pPr>
        <w:pStyle w:val="TextBody"/>
        <w:bidi w:val="0"/>
        <w:spacing w:before="0" w:after="0"/>
        <w:ind w:left="709" w:right="0" w:hanging="709"/>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LIMITS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in respect of any Claim unless a notice of the Claim is given by the Indemnified Party in accordance with paragraph 3.1 of this Schedule:</w:t>
            </w:r>
          </w:p>
        </w:tc>
      </w:tr>
    </w:tbl>
    <w:p>
      <w:pPr>
        <w:pStyle w:val="TextBody"/>
        <w:bidi w:val="0"/>
        <w:spacing w:before="0" w:after="0"/>
        <w:ind w:left="709" w:right="0" w:hanging="709"/>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23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Fundamental Warranty Claim, within twenty-four (24) months following the Completion Date;</w:t>
            </w:r>
          </w:p>
        </w:tc>
      </w:tr>
    </w:tbl>
    <w:p>
      <w:pPr>
        <w:pStyle w:val="TextBody"/>
        <w:bidi w:val="0"/>
        <w:spacing w:before="0" w:after="0"/>
        <w:ind w:left="1418" w:right="0" w:hanging="709"/>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24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General Claim, within twelve (12) months following the Completion Date; and</w:t>
            </w:r>
          </w:p>
        </w:tc>
      </w:tr>
    </w:tbl>
    <w:p>
      <w:pPr>
        <w:pStyle w:val="TextBody"/>
        <w:bidi w:val="0"/>
        <w:spacing w:before="0" w:after="0"/>
        <w:ind w:left="1418" w:right="0" w:hanging="709"/>
        <w:jc w:val="both"/>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23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Tax Claim, within five (5) years and three (3) months following the Completion Date.</w:t>
            </w:r>
          </w:p>
        </w:tc>
      </w:tr>
    </w:tbl>
    <w:p>
      <w:pPr>
        <w:pStyle w:val="TextBody"/>
        <w:bidi w:val="0"/>
        <w:spacing w:before="0" w:after="0"/>
        <w:ind w:left="1418" w:right="0" w:hanging="709"/>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85"/>
        <w:gridCol w:w="41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4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ALLOWANCES, PROVISIONS OR RESERVES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shall be liable for any Claim to the extent that:</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provision or reserve has been made in the Accounts and/or the Management Accounts for the matter giving rise to such Claim, or the amount of such Claim is reflected in the calculation of the Consideration; or</w:t>
            </w:r>
          </w:p>
        </w:tc>
      </w:tr>
    </w:tbl>
    <w:p>
      <w:pPr>
        <w:pStyle w:val="TextBody"/>
        <w:bidi w:val="0"/>
        <w:spacing w:before="0" w:after="0"/>
        <w:ind w:left="1440" w:right="0" w:hanging="720"/>
        <w:jc w:val="both"/>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245"/>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 giving rise to the Claim was Disclosed in the Accounts and/or the Management Accounts.</w:t>
            </w:r>
          </w:p>
        </w:tc>
      </w:tr>
    </w:tbl>
    <w:p>
      <w:pPr>
        <w:pStyle w:val="TextBody"/>
        <w:bidi w:val="0"/>
        <w:spacing w:before="0" w:after="0"/>
        <w:ind w:left="1440" w:right="0" w:hanging="72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85"/>
        <w:gridCol w:w="26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6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LEGISLATION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Claim to the extent that such Claim would not have arisen (or the amount of the Claim would not have been increased) but for any legislation not in force at the date of this Agreement, any change in legislation made after the date of this Agreement or any change in the interpretation or application of any legislation after the date of this Agreement, whether or not such change purports to be effective retrospectively in whole or in part.</w:t>
      </w:r>
    </w:p>
    <w:p>
      <w:pPr>
        <w:pStyle w:val="TextBody"/>
        <w:bidi w:val="0"/>
        <w:spacing w:before="0" w:after="0"/>
        <w:ind w:left="72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85"/>
        <w:gridCol w:w="33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ACCOUNTING POLICY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Claim to the extent that the liability arises or is increased as a result of any change in the accounting policies, bases, procedures or practices of treatment of any Group Company or Purchaser’s Group Company (as the case may be) after Completion or any change in the accounting standards applicable to any Group Company or Purchaser’s Group Company (as the case may be) after Completion, provided that this paragraph 7 shall not apply to any change in such accounting policies, bases, procedures, practices or standards that is required in order to ensure compliance with applicable generally accepted accounting principles or accounting standards or otherwise made to correct a manifest error.</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85"/>
        <w:gridCol w:w="32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ACTS OR OMISSIONS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shall be liable for any Claim if such Claim arises or is increased directly or indirectly as a result of any act, omission, transaction or arrangement of any Purchaser’s Group Company or any of their Agents after Completion, done, committed or effected otherwise than in order to comply with Applicable Law or pursuant to a legally binding commitment to which the Purchaser’s Group is subject on or before Completion.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shall be liable for any Claim in respect of any act or omission whatsoever carried out at the written request or with the written approval of any Purchaser’s Group Company or any of its Agents or which arises wholly or partly out of or as a result of the execution and performance of the Transaction Documents.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 be liable for any Claim in respect of any act or omission whatsoever carried out at the written request or with the written approval of any Seller or any of its Affiliates or any of their respective Agents or which arises wholly or partly out of or as a result of the execution and performance of the Transaction Documents.</w:t>
            </w:r>
          </w:p>
        </w:tc>
      </w:tr>
    </w:tbl>
    <w:p>
      <w:pPr>
        <w:pStyle w:val="TextBody"/>
        <w:bidi w:val="0"/>
        <w:spacing w:before="0" w:after="0"/>
        <w:ind w:left="709" w:right="0" w:hanging="709"/>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INDEMNIFYING PARTY’S KNOWLEDGE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in respect of any Claim (other than, in the case of a Seller, a Tax Indemnity Claim) to the extent that the facts, matters, events or circumstances giving rise to such Claim were Disclosed or set out in any of the Transaction Documents, or otherwise known at the date of this Agreement by the Indemnified Party.</w:t>
      </w:r>
    </w:p>
    <w:p>
      <w:pPr>
        <w:pStyle w:val="TextBody"/>
        <w:bidi w:val="0"/>
        <w:spacing w:before="0" w:after="0"/>
        <w:ind w:left="720" w:right="0" w:hanging="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90"/>
        <w:gridCol w:w="26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6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OPPORTUNITY TO REMEDY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in respect of any Claim if and to the extent that the breach giving rise to such Claim is capable of remedy (without cost or loss to the Indemnified Party) and is remedied to the reasonable satisfaction of the Indemnified Party within thirty (30) days of the notice of the Claim given in accordance with paragraph 3.1.</w:t>
      </w:r>
    </w:p>
    <w:p>
      <w:pPr>
        <w:pStyle w:val="TextBody"/>
        <w:bidi w:val="0"/>
        <w:spacing w:before="0" w:after="0"/>
        <w:ind w:left="720" w:right="0" w:hanging="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90"/>
        <w:gridCol w:w="33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3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OTHERWISE COMPENSATED</w:t>
            </w:r>
          </w:p>
        </w:tc>
      </w:tr>
    </w:tbl>
    <w:p>
      <w:pPr>
        <w:pStyle w:val="TextBody"/>
        <w:bidi w:val="0"/>
        <w:spacing w:before="0" w:after="0"/>
        <w:ind w:left="720" w:right="0" w:hanging="72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Claim to the extent that: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 giving rise to such Claim has been (or is capable of being) made good or is (or is capable of being) otherwise compensated for without loss to the Indemnified Party;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 is recoverable under any insurance policy of the Indemnified Party (or, where the Indemnified Party is the Seller, would have been recoverable had the Purchaser’s Group maintained in force insurance cover for the Group or such Group Company similar to that in force at Completion).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any damages or other amounts recoverable under this Agreement there shall be taken into account the value of any benefit accruing to Indemnified Party in consequence of the matter or circumstances giving rise to the claim pursuant to which the damages or such other amounts become recoverable, including any amount of any Tax relief obtained or obtainable by the Indemnified Party and any amount by which any Tax for which the Indemnified Party is or may be liable to be assessed or made accountable is reduced or extinguished arising in consequence of such matter or circumstances.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provisions or reserves contained in the Accounts and/or the Management Accounts shall prove to be over-provisions or excess reserves, the amounts of such over-provision or excess reserve shall be aggregated and set off against any liability of the Sellers in respect of any Claim.</w:t>
            </w:r>
          </w:p>
        </w:tc>
      </w:tr>
    </w:tbl>
    <w:p>
      <w:pPr>
        <w:pStyle w:val="TextBody"/>
        <w:bidi w:val="0"/>
        <w:spacing w:before="0" w:after="0"/>
        <w:ind w:left="709" w:right="0" w:hanging="709"/>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90"/>
        <w:gridCol w:w="33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33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RECOVERY FROM THIRD PARTIES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Claim to the extent that the Indemnified Party has a right of recovery against, or an indemnity from, a person other than the Indemnifying Party, whether under a provision of law, insurance policy or otherwise.</w:t>
            </w:r>
          </w:p>
        </w:tc>
      </w:tr>
    </w:tbl>
    <w:p>
      <w:pPr>
        <w:pStyle w:val="TextBody"/>
        <w:bidi w:val="0"/>
        <w:spacing w:before="0" w:after="0"/>
        <w:ind w:left="709"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Indemnified Party is entitled to recover from any other person an amount in respect of any matter relating to a Claim, the Indemnified Party shall promptly notify the Indemnifying Party in writing and take all steps as the Indemnifying Party may reasonably require to enforce recovery of such amount.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Indemnified Party shall keep the Indemnifying Party fully informed of the progress of such recovery and shall provide to the Indemnifying Party copies of all relevant correspondence and documentation. Upon recovery of such amount, the Indemnified Party shall: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deduct the full amount from the Claim (if the entitlement of the Indemnified Party to recover arose before payment is made by the Indemnifying Party under the Claim);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 to the Indemnifying Party (and where the Indemnifying Party is a Seller, such Seller’s Relevant Proportion of) the lesser of such amount paid by the Indemnifying Party to the Indemnified Party under the Claim or the full amount recovered by the Indemnified Party (if the entitlement to recover arose after payment had been made by the Indemnifying Party under the Claim).</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 be required to take action under paragraphs 12.2 and 12.3 for any Tax Indemnity Claim, other than an action against a Tax Authority, if the Purchaser is of the reasonable opinion that such action is likely to harm its or the Group Company’s commercial or employment relationship with that or any other person.</w:t>
            </w:r>
          </w:p>
        </w:tc>
      </w:tr>
    </w:tbl>
    <w:p>
      <w:pPr>
        <w:pStyle w:val="TextBody"/>
        <w:bidi w:val="0"/>
        <w:spacing w:before="0" w:after="0"/>
        <w:ind w:left="709" w:right="0" w:hanging="709"/>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90"/>
        <w:gridCol w:w="35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35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CONDUCT OF THIRD PARTY CLAIMS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Indemnifying Party shall be entitled, upon prompt written notice following such Indemnifying Party’s receipt of a notice of Claim delivered in accordance with paragraph 3.1 of this Schedule (and in any event within fifteen (15) days thereof), to assume the defence of any such Claim brought by a third party (a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at the Indemnifying Party’s own cost and expense (which expenses shall not be applied against any indemnity limitation herein) with counsel selected by the Indemnifying Party and satisfactory to the Indemnified Party. Notwithstanding the foregoing, the Indemnifying Party shall not be entitled to assume the defence of any claim (i) for equitable or injunctive relief, (ii) that would impose criminal liability or damages, (iii) that involves a material customer or supplier of the Indemnified Party or (iv) if the Indemnified Party reasonably determines that the Losses that it may incur arising from or related to any claim could reasonably be expected to exceed the applicable cap(s) set out under paragraph 2.1 above, and the Indemnified Party shall have the right to defend, at the expense of the Indemnifying Party, any such Third Party Claim. The Indemnifying Party shall be liable for the fees and expenses of counsel employed by the Indemnified Party for any period during which the Indemnifying Party has failed to assume the defence thereof. If the Indemnifying Party does not expressly elect to assume the defence of such Third Party Claim within the time period and otherwise in accordance with the first sentence of this paragraph 13.1, the Indemnified Party shall have the sole right to assume the defence of and to settle such Third Party Claim.</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Indemnifying Party assumes the defence of such Third Party Claim, the Indemnified Party shall have the right to employ separate counsel and to participate in the defence thereof, but the fees and expenses of such counsel shall be at the expense of the Indemnified Party unless (i) the employment of such counsel shall have been specifically authorized in writing by the Indemnifying Party or (ii) the named parties to the Third Party Claim (including any impleaded parties) include both the Indemnified Party and the Indemnifying Party, and the Indemnified Party reasonably determines that representation by counsel to the Indemnifying Party of both the Indemnifying Party and such Indemnified Party may present such counsel with a conflict of interest. If the Indemnifying Party assumes the defence of any Third Party Claim, the Indemnified Party shall cooperate with the Indemnifying Party in such defence and make available to the Indemnifying Party all witnesses, pertinent records, materials and information in the Indemnified Party’s possession or under the Indemnified Party’s control relating thereto as is reasonably required by the Indemnifying Party.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Indemnifying Party assumes the defence of any Third Party Claim, the Indemnifying Party shall not, without the prior written consent of the Indemnified Party, settle or compromise the Third Party Claim or otherwise consent to the entry of any judgment with respect to such Third Party Claim if such settlement, compromise or judgment (i) involves a finding or admission of wrongdoing, (ii) does not include an unconditional written release by the claimant or plaintiff of the Indemnified Party from all liability in respect of such Third Party Claim, (iii) imposes equitable remedies or any obligation on the Indemnified Party other than solely the payment of money damages for which the Indemnified Party will be indemnified hereunder.</w:t>
            </w:r>
          </w:p>
        </w:tc>
      </w:tr>
    </w:tbl>
    <w:p>
      <w:pPr>
        <w:pStyle w:val="TextBody"/>
        <w:bidi w:val="0"/>
        <w:spacing w:before="0" w:after="0"/>
        <w:ind w:left="709"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709"/>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90"/>
        <w:gridCol w:w="19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DUTY TO MITIGATE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take commercially reasonable steps, and shall procure that commercially reasonable steps are taken by the Purchaser’s Group (including, after Completion, each Group Company), to avoid or mitigate any Claim (other than a Tax Indemnity Claim).</w:t>
      </w:r>
    </w:p>
    <w:p>
      <w:pPr>
        <w:pStyle w:val="TextBody"/>
        <w:bidi w:val="0"/>
        <w:spacing w:before="0" w:after="0"/>
        <w:ind w:left="72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290"/>
        <w:gridCol w:w="233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3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DOUBLE RECOVERY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Indemnified Party shall be entitled to recover from any Indemnifying Party in respect of any Claim, or otherwise obtain payment, reimbursement, restitution or indemnity, more than once for the same Losses.</w:t>
      </w:r>
    </w:p>
    <w:p>
      <w:pPr>
        <w:pStyle w:val="TextBody"/>
        <w:bidi w:val="0"/>
        <w:spacing w:before="0" w:after="0"/>
        <w:ind w:left="72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90"/>
        <w:gridCol w:w="443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4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AND UNQUANTIFIED LIABILITY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Claim to the extent that the Claim is based upon a liability which is contingent only unless and until such liability ceases to be contingent and becomes an actual liability. For the avoidance of doubt, this paragraph ‎16 shall not operate to avoid a Claim made in respect of a contingent liability within the time limits specified in paragraph ‎ 4 and specifying the matters set out in paragraph ‎3.1.</w:t>
      </w:r>
    </w:p>
    <w:p>
      <w:pPr>
        <w:pStyle w:val="TextBody"/>
        <w:bidi w:val="0"/>
        <w:spacing w:before="0" w:after="0"/>
        <w:ind w:left="72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90"/>
        <w:gridCol w:w="7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indirect, consequential, punitive or exemplary damages.</w:t>
      </w:r>
    </w:p>
    <w:p>
      <w:pPr>
        <w:pStyle w:val="TextBody"/>
        <w:bidi w:val="0"/>
        <w:spacing w:before="0" w:after="0"/>
        <w:ind w:left="72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90"/>
        <w:gridCol w:w="33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3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PRESERVATION OF INFORMATION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Parties shall, and each Party shall procure that each of its Affiliates and Agents shall not, for a period of seven (7) years following the Completion Date, knowingly destroy any documents, records, correspondence, accounts and other information relating to the Purchaser’s Group or any Group Company for periods prior to the Completion (“</w:t>
      </w:r>
      <w:r>
        <w:rPr>
          <w:rFonts w:ascii="Times New Roman;Times;Serif" w:hAnsi="Times New Roman;Times;Serif"/>
          <w:b/>
          <w:i w:val="false"/>
          <w:caps w:val="false"/>
          <w:smallCaps w:val="false"/>
          <w:sz w:val="20"/>
        </w:rPr>
        <w:t>Relevant Records</w:t>
      </w:r>
      <w:r>
        <w:rPr>
          <w:rFonts w:ascii="Times New Roman;Times;Serif" w:hAnsi="Times New Roman;Times;Serif"/>
          <w:b w:val="false"/>
          <w:i w:val="false"/>
          <w:caps w:val="false"/>
          <w:smallCaps w:val="false"/>
          <w:sz w:val="20"/>
        </w:rPr>
        <w:t>”), which are known by such Party to be materially relevant or likely to be materially relevant to a Claim, with the intent of adversely impacting the defence by another Party of any such Claim, provided that no Party shall be in breach of this provision where such Relevant Records are destroyed:</w:t>
      </w:r>
    </w:p>
    <w:p>
      <w:pPr>
        <w:pStyle w:val="TextBody"/>
        <w:bidi w:val="0"/>
        <w:spacing w:before="0" w:after="0"/>
        <w:ind w:left="720" w:right="0" w:hanging="0"/>
        <w:jc w:val="both"/>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23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Applicable Law; or</w:t>
            </w:r>
          </w:p>
        </w:tc>
      </w:tr>
    </w:tbl>
    <w:p>
      <w:pPr>
        <w:pStyle w:val="TextBody"/>
        <w:bidi w:val="0"/>
        <w:spacing w:before="0" w:after="0"/>
        <w:ind w:left="1418" w:right="0" w:hanging="709"/>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45"/>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contractual obligations to any third parties.</w:t>
            </w:r>
          </w:p>
        </w:tc>
      </w:tr>
    </w:tbl>
    <w:p>
      <w:pPr>
        <w:pStyle w:val="TextBody"/>
        <w:bidi w:val="0"/>
        <w:spacing w:before="0" w:after="0"/>
        <w:ind w:left="1418" w:right="0" w:hanging="709"/>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90"/>
        <w:gridCol w:w="32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 OF THESE PROVISIONS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Schedule will not be discharged or cease to have effect in consequence of any rescission or termination of any other provisions of this Agreement.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 – Fundamental Warranties</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185"/>
        <w:gridCol w:w="49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9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AND AUTHORITY OF PURCHASER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been duly incorporated and is validly existing under the laws of its jurisdiction of incorporation. The Purchaser has full corporate power and authority to carry on its business as it is now being conducted and to own the assets it now owns.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the necessary power and authority to enter into and perform its obligations under the Transaction Documents. This Agreement has been duly executed and delivered by the Purchaser and, assuming due execution and delivery by each of the other parties hereto, constitutes legal, valid and binding obligations on the Purchaser, enforceable against it in accordance with its respective terms. The Transaction Documents will, when executed, be duly executed and delivered by the Purchaser and, assuming due execution and delivery by each of the other parties thereto, constitutes constitute legal, valid and binding obligations on the Purchaser, enforceable against it in accordance with their respective terms.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entry into the Transaction Documents nor the implementation of the transactions contemplated by the Transaction Documents, including the authorisation and issuance of the Consideration Shares by the Purchaser will:</w:t>
            </w:r>
          </w:p>
        </w:tc>
      </w:tr>
    </w:tbl>
    <w:p>
      <w:pPr>
        <w:pStyle w:val="TextBody"/>
        <w:bidi w:val="0"/>
        <w:spacing w:before="0" w:after="0"/>
        <w:ind w:left="720" w:right="0" w:hanging="709"/>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3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violate or conflict with the provisions of its constitutional documents;</w:t>
            </w:r>
          </w:p>
        </w:tc>
      </w:tr>
    </w:tbl>
    <w:p>
      <w:pPr>
        <w:pStyle w:val="TextBody"/>
        <w:bidi w:val="0"/>
        <w:spacing w:before="0" w:after="0"/>
        <w:ind w:left="1418" w:right="0" w:hanging="709"/>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245"/>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breach of any Applicable Law;</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default with respect to any relevant order, decree or judgment of any court or any Governmental Authority in any jurisdiction to which the Purchaser is a party or by which the Purchaser is bound, other than violations or defaults that would not, individually or in the aggregate, result in a Purchaser Material Adverse Change;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any instrument to which the Purchaser is a party or by which the Seller is bound, other than breaches or defaults that would not, individually or in the aggregate, result in a Purchaser Material Adverse Change;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any consent, approval, licence or authorisation of, or notice to, any Governmental Authority (other than those set forth in Clause 4.1(a)).</w:t>
            </w:r>
          </w:p>
        </w:tc>
      </w:tr>
    </w:tbl>
    <w:p>
      <w:pPr>
        <w:pStyle w:val="TextBody"/>
        <w:bidi w:val="0"/>
        <w:spacing w:before="0" w:after="0"/>
        <w:ind w:left="1418" w:right="0" w:hanging="709"/>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85"/>
        <w:gridCol w:w="16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Consideration Shares will, from its respective date of allotment, be validly allotted and issued and fully paid or credited as fully paid, and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each of the other Diginex Shares and be free from Encumbrance. The Consideration Shares will be issued in compliance in all material respects with all Applicable Laws.</w:t>
      </w:r>
    </w:p>
    <w:p>
      <w:pPr>
        <w:pStyle w:val="TextBody"/>
        <w:bidi w:val="0"/>
        <w:spacing w:before="0" w:after="0"/>
        <w:ind w:left="720" w:right="0" w:hanging="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w:t>
            </w:r>
          </w:p>
        </w:tc>
      </w:tr>
    </w:tbl>
    <w:p>
      <w:pPr>
        <w:pStyle w:val="TextBody"/>
        <w:bidi w:val="0"/>
        <w:spacing w:before="0" w:after="0"/>
        <w:ind w:left="720" w:right="0" w:hanging="72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Insolvency</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not insolvent or unable to pay its debts, and has not stopped paying its debts as they fall due.</w:t>
      </w:r>
    </w:p>
    <w:p>
      <w:pPr>
        <w:pStyle w:val="TextBody"/>
        <w:bidi w:val="0"/>
        <w:spacing w:before="0" w:after="0"/>
        <w:ind w:left="72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Winding Up</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order has been made, petition presented or resolution passed for the winding up or dissolution of the Purchaser or for the appointment of any provisional liquidator. No petition has been presented for an administration order to be made in relation to the Purchaser, and no judicial manager, administrator or receiver (including any administrative receiver) has been appointed in respect of the property, assets and/or undertaking of the Purchaser.</w:t>
      </w:r>
    </w:p>
    <w:p>
      <w:pPr>
        <w:pStyle w:val="TextBody"/>
        <w:bidi w:val="0"/>
        <w:spacing w:before="0" w:after="0"/>
        <w:ind w:left="72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90"/>
        <w:gridCol w:w="13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 in satisfaction of the debts of the Purchaser or scheme of arrangement or compromise between it and its creditors and/or members by reason of insolvency has been proposed, sanctioned or approved.</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 Non-Fundamental Warranties</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85"/>
        <w:gridCol w:w="20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0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SECURITIES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a “foreign private issuer” as defined in Rule 405 of the Securities Act and a “reporting issuer” as defined in Regulation S under the Securities Act (“</w:t>
            </w:r>
            <w:r>
              <w:rPr>
                <w:rFonts w:ascii="Times New Roman;Times;Serif" w:hAnsi="Times New Roman;Times;Serif"/>
                <w:b/>
                <w:i w:val="false"/>
                <w:caps w:val="false"/>
                <w:smallCaps w:val="false"/>
                <w:sz w:val="20"/>
              </w:rPr>
              <w:t>Regulation S</w:t>
            </w:r>
            <w:r>
              <w:rPr>
                <w:rFonts w:ascii="Times New Roman;Times;Serif" w:hAnsi="Times New Roman;Times;Serif"/>
                <w:b w:val="false"/>
                <w:i w:val="false"/>
                <w:caps w:val="false"/>
                <w:smallCaps w:val="false"/>
                <w:sz w:val="20"/>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any of its affiliates (as defined in Regulation 501 under the Securities Act) (“</w:t>
            </w:r>
            <w:r>
              <w:rPr>
                <w:rFonts w:ascii="Times New Roman;Times;Serif" w:hAnsi="Times New Roman;Times;Serif"/>
                <w:b/>
                <w:i w:val="false"/>
                <w:caps w:val="false"/>
                <w:smallCaps w:val="false"/>
                <w:sz w:val="20"/>
              </w:rPr>
              <w:t>Affiliates</w:t>
            </w:r>
            <w:r>
              <w:rPr>
                <w:rFonts w:ascii="Times New Roman;Times;Serif" w:hAnsi="Times New Roman;Times;Serif"/>
                <w:b w:val="false"/>
                <w:i w:val="false"/>
                <w:caps w:val="false"/>
                <w:smallCaps w:val="false"/>
                <w:sz w:val="20"/>
              </w:rPr>
              <w:t>”) nor any person acting on its or their behalf has engaged or will engage in any directed selling efforts (as defined in Regulation S under the Securities Act) in connection with the offering of the Reg S Consideration Shares as contemplated by this Agreement. Further, neither the Purchaser nor any of its Affiliates nor any person acting on its or their behalf has engaged or will engage in any form of general solicitation or general advertising (within the meaning of Regulation D) in connection with the offering of the 4(a)(2) Consideration Shares as contemplated by this Agreement.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Purchaser’s knowledge, the Purchaser is not, and as a result of the issuance of the Consideration Shares, will not be, required to register under the U.S. Investment Company Act of 1940, as amended.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Reg S Consideration Shares pursuant to this Agreement was and is being made in an “offshore transaction” within the meaning of Regulation S, and no offer of Reg S Consideration Shares has been made to persons in the United States or to U.S. Persons (as defined in Regulation S). Further, the 4(a)(2) Consideration Shares are not being offered in a manner involving a public offering under, or in a distribution in violation of, the Securities Act, or any state securities laws.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will implement “offering restrictions” as described under Rule 903(b)(2)(i) to the offering of the Reg S Consideration Shares contemplated by this Agreement, and will cause any certificate (or book-entry statement) representing the Reg S Consideration Shares to bear a restrictive legend to comply with Regulation S until the expiration of the distribution compliance period.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will instruct the transfer agent to maintain stop-transfer instructions on the Reg S Consideration Shares required to comply with Regulation S until the expiration of the relevant distribution compliance period as set forth in Rule 903(b)(2)(ii).</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agrees that the distribution compliance period of each of the Reg S Consideration Shares will be 40 days after such shares are issued, and after such date, the restricted period set forth in Rule 903(b)(2)(ii) will have expired with respect to such shares.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any of its Affiliates nor any person acting on its or their behalf has, directly or indirectly, made any offers or sales of any security or solicited any offers to buy any security, under circumstances that would require registration of the issuance of any of the Consideration Shares under the Securities Act, whether through integration with prior offerings or otherwise. Neither the Purchaser nor any of its Affiliates nor any person acting on its or their behalf has will take, directly or indirectly, any action or steps referred to in the preceding sentence that would require registration of the issuance of any of the Consideration Shares under the Securities Act.</w:t>
            </w:r>
          </w:p>
        </w:tc>
      </w:tr>
    </w:tbl>
    <w:p>
      <w:pPr>
        <w:pStyle w:val="TextBody"/>
        <w:bidi w:val="0"/>
        <w:spacing w:before="0" w:after="0"/>
        <w:ind w:left="709" w:right="0" w:hanging="709"/>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85"/>
        <w:gridCol w:w="18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23 January 2025, the Purchaser has, in all material respects, timely filed or furnished all forms, statements, schedules, documents and reports required to be filed or furnished prior to the date hereof by it with the SEC (such forms, statements, schedules, documents and reports, the “</w:t>
            </w:r>
            <w:r>
              <w:rPr>
                <w:rFonts w:ascii="Times New Roman;Times;Serif" w:hAnsi="Times New Roman;Times;Serif"/>
                <w:b/>
                <w:i w:val="false"/>
                <w:caps w:val="false"/>
                <w:smallCaps w:val="false"/>
                <w:sz w:val="20"/>
              </w:rPr>
              <w:t>SEC Documents</w:t>
            </w:r>
            <w:r>
              <w:rPr>
                <w:rFonts w:ascii="Times New Roman;Times;Serif" w:hAnsi="Times New Roman;Times;Serif"/>
                <w:b w:val="false"/>
                <w:i w:val="false"/>
                <w:caps w:val="false"/>
                <w:smallCaps w:val="false"/>
                <w:sz w:val="20"/>
              </w:rPr>
              <w:t>”). As of their respective filing dates (or, if amended prior to the date hereof, as of the date of the last such amendment), the SEC Documents complied in all material respects with the applicable requirements of the Sarbanes-Oxley Act, the U.S. Securities Act of 1933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U.S. Securities and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as the case may be, and the applicable rules and regulations promulgated thereunder and the listing and corporate governance rules and regulations of Nasdaq. None of the SEC Documents contain (or, with respect to SEC Documents filed after the date hereof, will contain) any untrue statement of a material fact or omitted (or, with respect to SEC Documents filed after the date hereof, will omit) to state any material fact required to be stated therein or necessary to make the statements therein, in light of the circumstances under which they were made, not misleading. Each SEC Document that is a registration statement or prospectus, as amended or supplemented, if applicable, filed pursuant to the Securities Act, as of the date such registration statement or amendment became effective on or prior to the date of this Agreement, did not, and if filed effective subsequent to the date of this Agreement, will not, contain any untrue statement of a material fact or omit to state any material fact required to be stated therein or necessary in order to make the statements made therein not misleading.</w:t>
            </w:r>
          </w:p>
        </w:tc>
      </w:tr>
    </w:tbl>
    <w:p>
      <w:pPr>
        <w:pStyle w:val="TextBody"/>
        <w:bidi w:val="0"/>
        <w:spacing w:before="0" w:after="0"/>
        <w:ind w:left="709"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(including all related notes and schedules) of Purchaser included or incorporated by reference in the SEC Documents when filed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Purchaser and its consolidated subsidiaries, as at the respective dates thereof, and the consolidated results of their operations and their consolidated cash flows for the respective periods then ended (subject, in the case of the unaudited interim financial statements, to normal year-end audit adjustments and the absence of notes) in conformity with IFRS applied on a consistent basis during the periods involved (subject, in the case of the unaudited quarterly financial statements, to normal year-end audit adjustments and to the absence of notes).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and since 30 December 2024 has been, in compliance in all material respects with (i) the applicable provisions of the Sarbanes-Oxley Act of 2002, as amended, and the rules and regulations promulgated thereunder and (ii) the applicable listing and corporate governance rules and regulations of Nasdaq.</w:t>
            </w:r>
          </w:p>
        </w:tc>
      </w:tr>
    </w:tbl>
    <w:p>
      <w:pPr>
        <w:pStyle w:val="TextBody"/>
        <w:bidi w:val="0"/>
        <w:spacing w:before="0" w:after="0"/>
        <w:ind w:left="709" w:right="0" w:hanging="709"/>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85"/>
        <w:gridCol w:w="17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capital stock of Purchaser consists of 495,000,000 shares of Diginex Shares and 5,000,000 shares of preferred stock, par value USD 0.0004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As of 1 August 2026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(i) (A) 29,130,130 Diginex Shares were issued and outstanding, (B) 0 Diginex Shares were held in treasury, (C) 15,482 Restricted Share Units (“RSUs”) that vest in equal portions on 31 March 2027 and 31 March 2028 and 12,263 Performance Share Units (“PSUs”) that vest on 31 March 2028 and 46,450 RSU’s issued to Plan A employees that vests equally on 31 March 2027, 2028 and 2029. RSUs and PSUs vest into Diginex Shares on a one for one basis (assuming achievement of any applicable performance targets at maximum performance levels) and share options equating to 1.7% of the issued and outstanding share capital of the Diginex upon exercise. The share options that equate to 1.7% of the issued and outstanding share capital are to the cancel and replaced by the issuance of 5,000,000 Diginex shares on completion of the Transaction. 7,276 Diginex shares to be issued to a former employee following the vesting of his year one ESOP whilst still employed. (D) warrants to purchase 2,250,000 Diginex Shares were outstanding at an exercise price of USD 8.20 per Diginex Share, (E) warrants to purchase 2,250,000 Diginex Shares were outstanding at an exercise price of USD 10.25 per Diginex Share, (F) warrants to purchase 2,250,000 Diginex Shares were outstanding at an exercise price of USD 12.30 per Diginex Share, (G) the Diginex Founder Warrants to purchase 51% of the issued and outstanding share capital of the Purchaser at the time of exercise; (H) 5,400,000 Diginex Shares were reserved for issuance pursuant to the Diginex Incentive Plan; and (I) 51,792 Diginex Shares related to the acquisition of Matter DK ApS; (J) 93,750 Diginex Shares related to the acquisition of The Remedy Project subject to the completion of agreed milestones; (K) 403,865 Diginex Shares related to the acquisition of Plan A earth GmbH subject to the completion of agreed milestones.; (L) $100,000 of Diginex Shares for each non-executive director per fiscal year with an effective date of 1 December 2025, (M) 0 shares of Preferred Stock were issued and outstanding, and (N) 20,000,000 Diginex Shares to be issued in relation to the Diginex Additional Investment together with 20,000,000 warrants that exercise into 20,000,000 Diginex Shares and 1,000,000 Diginex Shares to the introducer of the Diginex Additional Investment. Diginex is also committed to issue shares to NED’s covering their 6 month notice period, which equates to $150,000 at the Diginex shares price on the date of issue and 15,000,000 to the introducer of the Transaction. All the outstanding Diginex Shares and Preferred Stock are, and all the Diginex Shares reserved for issuance as described above shall be when issued in accordance with the respective terms thereof, duly authorized, validly issued, fully paid and nonassessable and free of pre-emptive rights.</w:t>
            </w:r>
          </w:p>
        </w:tc>
      </w:tr>
    </w:tbl>
    <w:p>
      <w:pPr>
        <w:pStyle w:val="TextBody"/>
        <w:bidi w:val="0"/>
        <w:spacing w:before="0" w:after="0"/>
        <w:ind w:left="709"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paragraph 3.1 above and other than the Diginex Shares that have become outstanding after the Capitalization Date that were reserved for issuance as set forth in paragraph 3.1 above, as of the date hereof: (i) Purchaser does not have any shares of capital stock or other equity or voting interests issued or outstanding and (ii) there are no outstanding subscriptions, options, warrants, puts, calls, exchangeable or convertible securities or other similar rights, agreements or commitments or any other agreement to which Purchaser or any member of the Purchaser’s Group is a party or is otherwise bound obligating Purchaser or any member of the Purchaser’s Group to (A) issue, transfer or sell, or make any payment with respect to, any shares of capital stock or other equity or voting interests of Purchaser or any member of the Purchaser’s Group or securities convertible into, exchangeable for or exercisable for, or that correspond to, such shares or equity or voting interests, (B) grant, extend or enter into any such subscription, option, warrant, put, call, exchangeable or convertible securities or other similar right, agreement or commitment, or (C) redeem or otherwise acquire any such shares of capital stock or other equity or voting interests.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Purchaser nor any member of the Purchaser’s Group has outstanding bonds, debentures, notes or other similar obligations, the holders of which have the right to vote (or which are convertible into or exercisable for securities having the right to vote) with the stockholders of Purchaser on any matter.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complete and accurate copies of Outstanding IPO Warrant Agreements and the Diginex Founder Warrant Agreement as filed with the SEC on 23 March 2026, and no amendments or variations, or any agreements to amend or vary, any of the terms of the Outstanding IPO Warrant Agreements and the Diginex Founder Warrant Agreement (as set out in such copies) have been made.</w:t>
            </w:r>
          </w:p>
        </w:tc>
      </w:tr>
    </w:tbl>
    <w:p>
      <w:pPr>
        <w:pStyle w:val="TextBody"/>
        <w:bidi w:val="0"/>
        <w:spacing w:before="0" w:after="0"/>
        <w:ind w:left="709" w:right="0" w:hanging="709"/>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5"/>
        <w:gridCol w:w="27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tc>
      </w:tr>
    </w:tbl>
    <w:p>
      <w:pPr>
        <w:pStyle w:val="TextBody"/>
        <w:bidi w:val="0"/>
        <w:spacing w:before="0" w:after="0"/>
        <w:ind w:left="720" w:right="0" w:hanging="72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Purchaser’s Business IP is either legally and beneficially owned by a Purchaser’s Group Company or lawfully used with the consent of the owner under a licence, in all material respects.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all Purchaser’s Owned Business IP is not being infringed or attacked or opposed by any person.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Purchaser’s Owned Business IP is not subject to any Encumbrance or any licence or authority in favour of another person, other than a Purchaser’s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90"/>
        <w:gridCol w:w="10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the processes employed and the products and services dealt in by each Purchaser’s Group Company do not infringe any rights or interests of third parties in Intellectual Property in any material respects and no Purchaser’s Group Company has received any written notices alleging that the activities of such Purchaser’s Group Company infringe any such rights or interests of any third party.</w:t>
      </w:r>
    </w:p>
    <w:p>
      <w:pPr>
        <w:pStyle w:val="TextBody"/>
        <w:bidi w:val="0"/>
        <w:spacing w:before="0" w:after="0"/>
        <w:ind w:left="72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Business IP</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several licences and agreements relating to the Purchaser’s Licensed Business IP (including all amendments, novations, supplements or replacements to those licences and agreements):</w:t>
      </w:r>
    </w:p>
    <w:p>
      <w:pPr>
        <w:pStyle w:val="TextBody"/>
        <w:bidi w:val="0"/>
        <w:spacing w:before="0" w:after="0"/>
        <w:ind w:left="72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are in full force and effect;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no circumstances exist which would entitle a party to terminate or vary them; and</w:t>
            </w:r>
          </w:p>
        </w:tc>
      </w:tr>
    </w:tbl>
    <w:p>
      <w:pPr>
        <w:pStyle w:val="TextBody"/>
        <w:bidi w:val="0"/>
        <w:spacing w:before="0" w:after="0"/>
        <w:ind w:left="1418" w:right="0" w:hanging="709"/>
        <w:jc w:val="both"/>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23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Purchaser’s Group have been complied with in all material respects.</w:t>
            </w:r>
          </w:p>
        </w:tc>
      </w:tr>
    </w:tbl>
    <w:p>
      <w:pPr>
        <w:pStyle w:val="TextBody"/>
        <w:bidi w:val="0"/>
        <w:spacing w:before="0" w:after="0"/>
        <w:ind w:left="1418" w:right="0" w:hanging="709"/>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290"/>
        <w:gridCol w:w="9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Know-How</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not made any disclosure of Know-How to any third parties other than the Sellers, except in the ordinary and usual course of business and on the basis that such disclosure is to be treated as being of a confidential character.</w:t>
      </w:r>
    </w:p>
    <w:p>
      <w:pPr>
        <w:pStyle w:val="TextBody"/>
        <w:bidi w:val="0"/>
        <w:spacing w:before="0" w:after="0"/>
        <w:ind w:left="72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90"/>
        <w:gridCol w:w="20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w:t>
      </w:r>
    </w:p>
    <w:p>
      <w:pPr>
        <w:pStyle w:val="TextBody"/>
        <w:bidi w:val="0"/>
        <w:spacing w:before="0" w:after="0"/>
        <w:ind w:left="720"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230"/>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Purchaser’s Business IT is owned by or licensed to the relevant Purchaser’s Group Company; and</w:t>
            </w:r>
          </w:p>
        </w:tc>
      </w:tr>
    </w:tbl>
    <w:p>
      <w:pPr>
        <w:pStyle w:val="TextBody"/>
        <w:bidi w:val="0"/>
        <w:spacing w:before="0" w:after="0"/>
        <w:ind w:left="1418" w:right="0" w:hanging="709"/>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245"/>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Business IT is in reasonable working order in all material respects.</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no Purchaser’s Group Company is a party to or subject to any contract, transaction, arrangement, understanding or obligation which is not in the ordinary and usual course of business. All material contracts of the Purchaser’s Group, including any material default or breach under such material contracts, have been properly disclosed on a timely basis in all filings that the Purchaser is required to make in accordance with all applicable listing and corporate governance rules and regulations of Nasdaq to which the Purchaser is subject to.</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Purchaser’s Group Company is a party to or subject to any contract concerning the sale or acquisition (by merger, purchase or sale of assets or stock or otherwise) of any business or a portion thereof or material assets relating thereto.</w:t>
            </w:r>
          </w:p>
        </w:tc>
      </w:tr>
    </w:tbl>
    <w:p>
      <w:pPr>
        <w:pStyle w:val="TextBody"/>
        <w:bidi w:val="0"/>
        <w:spacing w:before="0" w:after="0"/>
        <w:ind w:left="709" w:right="0" w:hanging="709"/>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COMPLIANCE</w:t>
            </w:r>
          </w:p>
        </w:tc>
      </w:tr>
    </w:tbl>
    <w:p>
      <w:pPr>
        <w:pStyle w:val="TextBody"/>
        <w:bidi w:val="0"/>
        <w:spacing w:before="0" w:after="0"/>
        <w:ind w:left="720" w:right="0" w:hanging="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 and Consents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material licences, consents and authorisations material to the business of the Purchaser’s Group have been obtained, are in full force and effect and have been and are being complied with in all material respects.</w:t>
      </w:r>
    </w:p>
    <w:p>
      <w:pPr>
        <w:pStyle w:val="TextBody"/>
        <w:bidi w:val="0"/>
        <w:spacing w:before="0" w:after="0"/>
        <w:ind w:left="72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90"/>
        <w:gridCol w:w="18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each Purchaser’s Group Company is conducting the business of the Purchaser’s Group in material compliance with Applicable Law and no Purchaser’s Group Company is, or during the three year period prior to Completion has been, in material breach of any such Applicable Law.</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there is no investigation, disciplinary proceeding or inquiry by, or order, decree, decision or judgment of, any court, tribunal, arbitrator, governmental agency or regulatory body outstanding against any Purchaser’s Group Company which has had a material adverse effect upon the assets or business of the Purchaser’s Group.</w:t>
            </w:r>
          </w:p>
        </w:tc>
      </w:tr>
    </w:tbl>
    <w:p>
      <w:pPr>
        <w:pStyle w:val="TextBody"/>
        <w:bidi w:val="0"/>
        <w:spacing w:before="0" w:after="0"/>
        <w:ind w:left="1418" w:right="0" w:hanging="709"/>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tc>
      </w:tr>
    </w:tbl>
    <w:p>
      <w:pPr>
        <w:pStyle w:val="TextBody"/>
        <w:bidi w:val="0"/>
        <w:spacing w:before="0" w:after="0"/>
        <w:ind w:left="720" w:right="0" w:hanging="72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Proceedings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 the Matter Dispute and (b) the Other Matters, in each case to the extent of the details expressly set out in this Agreement, no Purchaser’s Group Company is involved whether as claimant or defendant or other party in any claim, legal action, proceeding, suit, litigation, prosecution or arbitration (other than as claimant in the collection of debts arising in the ordinary and usual course of its business) which is material to the business of the Purchaser’s Group.</w:t>
      </w:r>
    </w:p>
    <w:p>
      <w:pPr>
        <w:pStyle w:val="TextBody"/>
        <w:bidi w:val="0"/>
        <w:spacing w:before="0" w:after="0"/>
        <w:ind w:left="72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90"/>
        <w:gridCol w:w="2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Threatened Proceedings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other than the Matter Dispute, no claim, legal action, proceeding, suit, litigation, prosecution or arbitration of material importance is pending or threatened by or against any Purchaser’s Group Company.</w:t>
      </w:r>
    </w:p>
    <w:p>
      <w:pPr>
        <w:pStyle w:val="TextBody"/>
        <w:bidi w:val="0"/>
        <w:spacing w:before="0" w:after="0"/>
        <w:ind w:left="72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90"/>
        <w:gridCol w:w="31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Circumstances likely to lead to Claims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other than the Matter Dispute, there are no investigations, disciplinary proceedings or other circumstances likely to lead to any such claim or legal action, proceeding, suit, litigation, prosecution or arbitration.</w:t>
      </w:r>
    </w:p>
    <w:p>
      <w:pPr>
        <w:pStyle w:val="TextBody"/>
        <w:bidi w:val="0"/>
        <w:spacing w:before="0" w:after="0"/>
        <w:ind w:left="720" w:right="0" w:hanging="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85"/>
        <w:gridCol w:w="62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62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ANTI-CORRUPTION, SANCTIONS AND ANTI-MONEY LAUNDERING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that neither it nor any Purchaser’s Group Company or (to the best of the Purchaser’s knowledge) any Agents of any Purchaser’s Group Company (a) has violated any applicable Anti-Corruption Laws, Sanctions or Anti-Money Laundering Regulations; or (b) in carrying out its responsibilities under this Agreement or any agreement entered into in connection with the Transaction, has and/or will violate any applicable Anti-Corruption Laws, Sanctions or Anti-Money Laundering Regulations.</w:t>
            </w:r>
          </w:p>
        </w:tc>
      </w:tr>
    </w:tbl>
    <w:p>
      <w:pPr>
        <w:pStyle w:val="TextBody"/>
        <w:bidi w:val="0"/>
        <w:spacing w:before="0" w:after="0"/>
        <w:ind w:left="709"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that neither it nor any Purchaser’s Group Company or (to the best of the Purchaser’s knowledge) any Agents of any Purchaser’s Group Company is a Government Official.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that no Government Official or Governmental Authority presently controls or owns an interest, whether direct or indirect, in itself nor any Purchaser’s Group Company or (to the best of the Purchaser’s knowledge) any Agents of any Purchaser’s Group Company, or has any legal or beneficial interest in the same.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that neither it nor any Purchaser’s Group Company or (to the best of the Purchaser’s knowledge) any Agents of any Purchaser’s Group Company:</w:t>
            </w:r>
          </w:p>
        </w:tc>
      </w:tr>
    </w:tbl>
    <w:p>
      <w:pPr>
        <w:pStyle w:val="TextBody"/>
        <w:bidi w:val="0"/>
        <w:spacing w:before="0" w:after="0"/>
        <w:ind w:left="709" w:right="0" w:hanging="709"/>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23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Restricted Party;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received notice of or is aware of any claim, action, suit, proceeding or investigation against it with respect to Sanctions by any Sanctions Authority.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operates procedures in line with generally accepted industry standards designed to ensure compliance (and otherwise in accordance) with all applicable Anti-Corruption Laws, Sanctions or Anti-Money Laundering Regulations.</w:t>
            </w:r>
          </w:p>
        </w:tc>
      </w:tr>
    </w:tbl>
    <w:p>
      <w:pPr>
        <w:pStyle w:val="TextBody"/>
        <w:bidi w:val="0"/>
        <w:spacing w:before="0" w:after="0"/>
        <w:ind w:left="709" w:right="0" w:hanging="709"/>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85"/>
        <w:gridCol w:w="25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5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TRANSACTION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and performance of this Agreement, the other Transaction Documents and any other document to be entered into pursuant to or in connection with this Agreement (including the acquisition of the Sale Shares by the Purchaser and the occurrence of Completion) will not, nor is likely to:</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any Purchaser’s Group Company to lose the benefit of any right or privilege it presently enjoys which is material to its business;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any person to terminate any right or benefit enjoyed by a Purchaser’s Group Company, or to exercise any right in respect of a Purchaser’s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rise to, crystallise, or cause to become exercisable or enforceable, any right of pre-emption or other Encumbrance over the Diginex Shares or any shares in any other Purchaser’s Group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result in any customer or supplier becoming entitled to, or cause any customer or supplier to, cease dealing with any Purchaser’s Group Company or to substantially reduce its existing level of business or to change the terms on which it deals with any Purchaser’s Group Company or otherwise (to the best of the Purchaser’s knowledge) adversely affect the attitude or action of any customer or supplier in respect of the Purchaser’s Group;</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or constitute a default under any contract material to the Purchaser’s Group (or any present or future indebtedness of any Purchaser’s Group Company becoming due and payable, or capable of being declared due and payable, prior to its stated maturity date or in any of the existing facilities of the Purchaser’s Group being withdrawn);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 any person to acquire or affect the entitlement of any person to acquire Diginex Shares or any shares in any other Purchaser’s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Board Changes</w:t>
      </w:r>
    </w:p>
    <w:p>
      <w:pPr>
        <w:pStyle w:val="TextBody"/>
        <w:bidi w:val="0"/>
        <w:spacing w:before="0" w:after="0"/>
        <w:ind w:left="0" w:right="0" w:hanging="0"/>
        <w:jc w:val="center"/>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85"/>
        <w:gridCol w:w="25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bl>
    <w:p>
      <w:pPr>
        <w:pStyle w:val="TextBody"/>
        <w:bidi w:val="0"/>
        <w:spacing w:before="0" w:after="0"/>
        <w:ind w:left="720" w:right="0" w:hanging="72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90"/>
        <w:gridCol w:w="14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Schedule: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means the independent audit committee of the Board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Diginex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Founder</w:t>
      </w:r>
      <w:r>
        <w:rPr>
          <w:rFonts w:ascii="Times New Roman;Times;Serif" w:hAnsi="Times New Roman;Times;Serif"/>
          <w:b w:val="false"/>
          <w:i w:val="false"/>
          <w:caps w:val="false"/>
          <w:smallCaps w:val="false"/>
          <w:sz w:val="20"/>
        </w:rPr>
        <w:t xml:space="preserve">” means Miles Christian Pelham, an individual with passport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Flat 2, Block F, 18/F Lung Bik House, 8 Lung Poon Street, Diamond Hill, Hong Kong;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director of the Purchaser (or his duly appointed alternate);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means a Director who qualifies, as of the date of such Director’s election or appointment to the Board (or any committee thereof) and as of any other date on which the determination is being made, as an “independent director” under the Nasdaq Rules, as determined by the Board and, to the extent applicable with respect to Audit Committee membership, an “Independent Director” under Rule 10A-3 under the Exchange Act and any corresponding requirement of Nasdaq Rules for audit committee members, as well as any other requirement of the U.S. securities laws that is then applicable to the Purchaser,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 Rules</w:t>
      </w:r>
      <w:r>
        <w:rPr>
          <w:rFonts w:ascii="Times New Roman;Times;Serif" w:hAnsi="Times New Roman;Times;Serif"/>
          <w:b w:val="false"/>
          <w:i w:val="false"/>
          <w:caps w:val="false"/>
          <w:smallCaps w:val="false"/>
          <w:sz w:val="20"/>
        </w:rPr>
        <w:t>” means the rules of Nasdaq relating to the qualification, listing and delisting of companies (i.e. Rules 5000-5999) and their related interpretations, each as may be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Nomination Committee</w:t>
      </w:r>
      <w:r>
        <w:rPr>
          <w:rFonts w:ascii="Times New Roman;Times;Serif" w:hAnsi="Times New Roman;Times;Serif"/>
          <w:b w:val="false"/>
          <w:i w:val="false"/>
          <w:caps w:val="false"/>
          <w:smallCaps w:val="false"/>
          <w:sz w:val="20"/>
        </w:rPr>
        <w:t>” means the independent nomination and compensation committee of the Board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Nominee</w:t>
      </w:r>
      <w:r>
        <w:rPr>
          <w:rFonts w:ascii="Times New Roman;Times;Serif" w:hAnsi="Times New Roman;Times;Serif"/>
          <w:b w:val="false"/>
          <w:i w:val="false"/>
          <w:caps w:val="false"/>
          <w:smallCaps w:val="false"/>
          <w:sz w:val="20"/>
        </w:rPr>
        <w:t>” has the meaning given to it in paragraph 2.1 of this Schedule;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Non-Independent Director</w:t>
      </w:r>
      <w:r>
        <w:rPr>
          <w:rFonts w:ascii="Times New Roman;Times;Serif" w:hAnsi="Times New Roman;Times;Serif"/>
          <w:b w:val="false"/>
          <w:i w:val="false"/>
          <w:caps w:val="false"/>
          <w:smallCaps w:val="false"/>
          <w:sz w:val="20"/>
        </w:rPr>
        <w:t>” means a Director who is not an “Independent Director” as defined under the Nasdaq Rules.</w:t>
      </w:r>
    </w:p>
    <w:p>
      <w:pPr>
        <w:pStyle w:val="TextBody"/>
        <w:bidi w:val="0"/>
        <w:spacing w:before="0" w:after="0"/>
        <w:ind w:left="72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185"/>
        <w:gridCol w:w="33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to the Board upon Completion</w:t>
            </w:r>
          </w:p>
        </w:tc>
      </w:tr>
    </w:tbl>
    <w:p>
      <w:pPr>
        <w:pStyle w:val="TextBody"/>
        <w:bidi w:val="0"/>
        <w:spacing w:before="0" w:after="0"/>
        <w:ind w:left="720" w:right="0" w:hanging="72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90"/>
        <w:gridCol w:w="32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Board upon Completion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Completion, the Purchaser shall procure that the following changes to the Board shall be effected: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existing directors on the board of directors (and each committee of the board of directors) of the Purchaser shall resign or be removed;</w:t>
            </w:r>
          </w:p>
        </w:tc>
      </w:tr>
    </w:tbl>
    <w:p>
      <w:pPr>
        <w:pStyle w:val="TextBody"/>
        <w:bidi w:val="0"/>
        <w:spacing w:before="0" w:after="0"/>
        <w:ind w:left="1440" w:right="0" w:hanging="72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245"/>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 shall resign or be removed as Chairman of the board of directors of the Purchaser;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persons as the Sellers’ Representative shall nominate shall be appointed as directors on the board of directors of the Purchaser,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provided, that, any individual so nominated and appointed as provided above (a “</w:t>
      </w:r>
      <w:r>
        <w:rPr>
          <w:rFonts w:ascii="Times New Roman;Times;Serif" w:hAnsi="Times New Roman;Times;Serif"/>
          <w:b/>
          <w:i w:val="false"/>
          <w:caps w:val="false"/>
          <w:smallCaps w:val="false"/>
          <w:sz w:val="20"/>
        </w:rPr>
        <w:t>Nominee</w:t>
      </w:r>
      <w:r>
        <w:rPr>
          <w:rFonts w:ascii="Times New Roman;Times;Serif" w:hAnsi="Times New Roman;Times;Serif"/>
          <w:b w:val="false"/>
          <w:i w:val="false"/>
          <w:caps w:val="false"/>
          <w:smallCaps w:val="false"/>
          <w:sz w:val="20"/>
        </w:rPr>
        <w:t>”) who is qualified to serve as a Director under applicable law and listing requirements, shall be reasonably acceptable to the Board and the Nomination Committee (it being understood that (i) Radhika Sundaram and (ii) any existing director of the Company shall be deemed reasonably acceptable) and provided that such Nominee shall provide the Purchaser with all requisite information for serving as a Director, including completing and executing on a timely basis a questionnaire in the form the Company provides to its outside Directors generally and answering reasonable follow-up questions.</w:t>
      </w:r>
    </w:p>
    <w:p>
      <w:pPr>
        <w:pStyle w:val="TextBody"/>
        <w:bidi w:val="0"/>
        <w:spacing w:before="0" w:after="0"/>
        <w:ind w:left="72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90"/>
        <w:gridCol w:w="42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Board Committees upon Completion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Completion, the Purchaser shall procure that the Audit Committee and the Nomination Committee shall comprise of such of the directors nominated by the Sellers’ Representative in accordance with paragraph 2.1(c) as the Sellers’ Representative shall notify to the Purchaser in writing prior to Completion.</w:t>
      </w:r>
    </w:p>
    <w:p>
      <w:pPr>
        <w:pStyle w:val="TextBody"/>
        <w:bidi w:val="0"/>
        <w:spacing w:before="0" w:after="0"/>
        <w:ind w:left="72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85"/>
        <w:gridCol w:w="28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8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Executive Officer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Completion, Radhika Sundaram shall be appointed as the group chief executive officer of the Purchaser’s Group, on such terms of employment and with such title and responsibilities as the Founders shall determine prior to Completion.</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and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AND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and Lock-Up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 2026 is between Diginex Limited, an exempted company incorporated with limited liability under the laws of the Cayman Islands with company registration number 406606 and having its registered office at 89 Nexus Way, Camana Bay, Grand Cayman, KY1-9009,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several persons whose names are set out in Schedule A hereto (each,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to this Agreement are parties to that certain Sale and Purchase Agreement dated as of April 16, 2026, as amended and restated on [●] 2026 (the “</w:t>
      </w:r>
      <w:r>
        <w:rPr>
          <w:rFonts w:ascii="Times New Roman;Times;Serif" w:hAnsi="Times New Roman;Times;Serif"/>
          <w:b/>
          <w:i w:val="false"/>
          <w:caps w:val="false"/>
          <w:smallCaps w:val="false"/>
          <w:sz w:val="20"/>
        </w:rPr>
        <w:t>Sale and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Sale and Purchase Agreement, the Holders agreed to sell and the Company agreed to purchase, the Sale Shares on the terms and conditions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Holders and the Company hereby agree that this Agreement will govern the registration and lock up rights with respect to the Consideration Shares to be issued to the Holders as part of the Consideration for the Sale Shares, payable by the Company pursuant to the Sale and Purchase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capitalized terms used but not defined herein shall have the meanings assigned to them in the Sale and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of the covenants and agreements hereinafter set forth, the parties hereto covenant and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 the following terms and variations thereof have the meanings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Adverse Disclosure</w:t>
      </w:r>
      <w:r>
        <w:rPr>
          <w:rFonts w:ascii="Times New Roman;Times;Serif" w:hAnsi="Times New Roman;Times;Serif"/>
          <w:b w:val="false"/>
          <w:i w:val="false"/>
          <w:caps w:val="false"/>
          <w:smallCaps w:val="false"/>
          <w:sz w:val="20"/>
        </w:rPr>
        <w:t>” shall mean any public disclosure of material non-public information, which disclosure, in the good faith judgment of the Chief Executive Officer or Chief Financial Officer of the Company or the Board, after consultation with outside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Release Date</w:t>
      </w:r>
      <w:r>
        <w:rPr>
          <w:rFonts w:ascii="Times New Roman;Times;Serif" w:hAnsi="Times New Roman;Times;Serif"/>
          <w:b w:val="false"/>
          <w:i w:val="false"/>
          <w:caps w:val="false"/>
          <w:smallCaps w:val="false"/>
          <w:sz w:val="20"/>
        </w:rPr>
        <w:t xml:space="preserve">” shall mean: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respect of [120,000,000] Consideration Shares (approximately 20% of the Consideration Shares), the First Release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respect of [240,000,000] Consideration Shares (approximately 40% of the Consideration Shares), such date being 60 days after the First Release Date; and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the remaining [240,000,000] Consideration Shares (approximately 40% of the Consideration Shares), 150 days after the First Release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Blackout Period</w:t>
      </w:r>
      <w:r>
        <w:rPr>
          <w:rFonts w:ascii="Times New Roman;Times;Serif" w:hAnsi="Times New Roman;Times;Serif"/>
          <w:b w:val="false"/>
          <w:i w:val="false"/>
          <w:caps w:val="false"/>
          <w:smallCaps w:val="false"/>
          <w:sz w:val="20"/>
        </w:rPr>
        <w:t>” means, with respect to a registration, any period commencing on the day immediately after the Company notifies the Holders that they are required to suspend offers and sales of Registrable Securities where the Company, in the good faith judgment of its Board, determines (because of the existence of, or in anticipation of, any acquisition, financing activity, or other transaction involving the Company, or the unavailability for reasons beyond the Company’s control of any required financial statements, the existence of material information which is in its best interest not to publicly disclose, or any other event or condition of similar significance to the Company) that the registration and distribution of the Registrable Securities to be covered by such Registration Statement, if any, would be seriously detrimental to the Company and its stockholders, and ending on the earlier of (1) the date upon which the material non-public information that resulted in the commencement of the Blackout Period is disclosed to the public or ceases to be material and (2) such time as the Company notifies the selling Holders that sales pursuant to such Registration Statement or a new or amended Registration Statement may resume.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have the meaning given to such term in the Sale and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shall mean the Transfer (whether by tender offer, merger, stock purchase, consolidation or other similar transaction), in one 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or to direct the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shall mean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shall have the meaning given in the Preamble.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Shares</w:t>
      </w:r>
      <w:r>
        <w:rPr>
          <w:rFonts w:ascii="Times New Roman;Times;Serif" w:hAnsi="Times New Roman;Times;Serif"/>
          <w:b w:val="false"/>
          <w:i w:val="false"/>
          <w:caps w:val="false"/>
          <w:smallCaps w:val="false"/>
          <w:sz w:val="20"/>
        </w:rPr>
        <w:t>” shall mean the ordinary shares of the Company, par value USD 0.0004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Shares Equivalents</w:t>
      </w:r>
      <w:r>
        <w:rPr>
          <w:rFonts w:ascii="Times New Roman;Times;Serif" w:hAnsi="Times New Roman;Times;Serif"/>
          <w:b w:val="false"/>
          <w:i w:val="false"/>
          <w:caps w:val="false"/>
          <w:smallCaps w:val="false"/>
          <w:sz w:val="20"/>
        </w:rPr>
        <w:t>” means, with respect to the Company, all options, warrants and other securities convertible into, or exchangeable or exercisable for (at any time or upon the occurrence of any event or contingency and without regard to any vesting or other conditions to which such securities may be subject) Company Shares or other equity securities of the Company (including, without limitation, any note or debt security convertible into or exchangeable for Company Shares or other equity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 Date</w:t>
      </w:r>
      <w:r>
        <w:rPr>
          <w:rFonts w:ascii="Times New Roman;Times;Serif" w:hAnsi="Times New Roman;Times;Serif"/>
          <w:b w:val="false"/>
          <w:i w:val="false"/>
          <w:caps w:val="false"/>
          <w:smallCaps w:val="false"/>
          <w:sz w:val="20"/>
        </w:rPr>
        <w:t>” shall have the meaning given to such term in the Sale and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xml:space="preserve">” shall have the meaning given to such term in the Sale and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Demand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Demand Requesting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Demanding Holders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Effectiveness Deadline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mean the U.S. Securities Exchange Act of 1934, as it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Filing Deadline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Release Date</w:t>
      </w:r>
      <w:r>
        <w:rPr>
          <w:rFonts w:ascii="Times New Roman;Times;Serif" w:hAnsi="Times New Roman;Times;Serif"/>
          <w:b w:val="false"/>
          <w:i w:val="false"/>
          <w:caps w:val="false"/>
          <w:smallCaps w:val="false"/>
          <w:sz w:val="20"/>
        </w:rPr>
        <w:t>” means the calendar day falling immediately after the expiry of the distribution compliance period applicable to the Consideration Shares as contemplated by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F-1</w:t>
      </w:r>
      <w:r>
        <w:rPr>
          <w:rFonts w:ascii="Times New Roman;Times;Serif" w:hAnsi="Times New Roman;Times;Serif"/>
          <w:b w:val="false"/>
          <w:i w:val="false"/>
          <w:caps w:val="false"/>
          <w:smallCaps w:val="false"/>
          <w:sz w:val="20"/>
        </w:rPr>
        <w:t>” shall mean a Registration Statement on Form F-1 or any comparable successor form or forms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F-3</w:t>
      </w:r>
      <w:r>
        <w:rPr>
          <w:rFonts w:ascii="Times New Roman;Times;Serif" w:hAnsi="Times New Roman;Times;Serif"/>
          <w:b w:val="false"/>
          <w:i w:val="false"/>
          <w:caps w:val="false"/>
          <w:smallCaps w:val="false"/>
          <w:sz w:val="20"/>
        </w:rPr>
        <w:t>” shall mean a Registration Statement on Form F-3 or any comparable successor form or forms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Legend Removal Date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shall mean the period beginning on the date of this Agreement and ending on the earlier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Applicable Release Date,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effective date of a Registration Statement filed with the Commission pursuant to this Agreement. For the avoidance of doubt, the date shall not be a date prior to the consummation of the transactions contemplated by the Sale and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Number of Securities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Misstatement</w:t>
      </w:r>
      <w:r>
        <w:rPr>
          <w:rFonts w:ascii="Times New Roman;Times;Serif" w:hAnsi="Times New Roman;Times;Serif"/>
          <w:b w:val="false"/>
          <w:i w:val="false"/>
          <w:caps w:val="false"/>
          <w:smallCaps w:val="false"/>
          <w:sz w:val="20"/>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Registration Statement</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Transferees</w:t>
      </w:r>
      <w:r>
        <w:rPr>
          <w:rFonts w:ascii="Times New Roman;Times;Serif" w:hAnsi="Times New Roman;Times;Serif"/>
          <w:b w:val="false"/>
          <w:i w:val="false"/>
          <w:caps w:val="false"/>
          <w:smallCaps w:val="false"/>
          <w:sz w:val="20"/>
        </w:rPr>
        <w:t xml:space="preserve">” shall mean, prior to the expiration of the Lock-up Period, any person or entity to whom a Holder is permitted to Transfer Registrable Securities prior to the expiration of the Lock-up Period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Piggyback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Registrable Security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xml:space="preserve">” shall mean any Company Shares held by the Holders at any time (including those held as a result of the conversion or exercise of Company Shares Equivalents) or any other equity security of the Company issued or issuable with respect to any such Company Share by way of a stock dividend or stock split or in connection with a combination of shares, recapitalization, merger, consolidation or reorganization;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and new certificates or evidence of book-entry entitlements for such securities not bearing a legend restricting further transfer shall have been delivered by the Company to the transferee, and subsequent public distribution of such securities shall not require registration under the Securities Act; (C) such securities shall have ceased to be outstanding; (D) such securities, together with all other Registrable Securities held by any Holder, represent less than 1% of the total outstanding Company Shares; (E) such securities may be sold without registration pursuant to Rule 144 (but with no volume or other restrictions or limitations including as to manner or timing of sale); or (F) such securities have been sold to, or through, a broker, dealer or underwriter in a public distribution or other public securities transaction.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Expenses</w:t>
      </w:r>
      <w:r>
        <w:rPr>
          <w:rFonts w:ascii="Times New Roman;Times;Serif" w:hAnsi="Times New Roman;Times;Serif"/>
          <w:b w:val="false"/>
          <w:i w:val="false"/>
          <w:caps w:val="false"/>
          <w:smallCaps w:val="false"/>
          <w:sz w:val="20"/>
        </w:rPr>
        <w:t>” shall mean the documented out-of-pocket expenses of a Registration or Underwritten Offering, including, without limitation,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registration and filing fees (including fees with respect to filings required to be made with the Financial Industry Regulatory Authority, Inc. and any national securities exchange on which Company Shares are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of compliance with securities or blue sky laws (including reasonable fees and disbursements of counsel for the Underwriters in connection with blue sky qualifications of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messenger, telephone and delivery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fees and disbursements of counsel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fees and disbursements of all independent registered public accountants of the Company incurred specifically in connection with such Registration or Underwritten Offering;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fees and expenses of one (1) legal counsel selected by the majority-in-interest of the Demanding Holders or the majority-in interest of the Takedown Requesting Holders,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under no circumstances shall the Company be obligated to pay any fees, discounts and/or commissions to any Underwriter or broker with respect to the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Resale Shelf Registration Statement</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under the Securities Act or any successor rule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and Purchase Agreement</w:t>
      </w:r>
      <w:r>
        <w:rPr>
          <w:rFonts w:ascii="Times New Roman;Times;Serif" w:hAnsi="Times New Roman;Times;Serif"/>
          <w:b w:val="false"/>
          <w:i w:val="false"/>
          <w:caps w:val="false"/>
          <w:smallCaps w:val="false"/>
          <w:sz w:val="20"/>
        </w:rPr>
        <w:t>” shall have the meaning given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Shares</w:t>
      </w:r>
      <w:r>
        <w:rPr>
          <w:rFonts w:ascii="Times New Roman;Times;Serif" w:hAnsi="Times New Roman;Times;Serif"/>
          <w:b w:val="false"/>
          <w:i w:val="false"/>
          <w:caps w:val="false"/>
          <w:smallCaps w:val="false"/>
          <w:sz w:val="20"/>
        </w:rPr>
        <w:t>” shall have the meaning given in the Sale and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Guidance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shall mean the U.S. Securities Act of 1933,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Takedown Requesting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shall mean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shall mean a securities dealer who purchases any Registrable Securities as principal in an Underwritten Offering and not as part of such dealer’s market-making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Underwritten Registration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Underwritten Offering</w:t>
      </w:r>
      <w:r>
        <w:rPr>
          <w:rFonts w:ascii="Times New Roman;Times;Serif" w:hAnsi="Times New Roman;Times;Serif"/>
          <w:b w:val="false"/>
          <w:i w:val="false"/>
          <w:caps w:val="false"/>
          <w:smallCaps w:val="false"/>
          <w:sz w:val="20"/>
        </w:rPr>
        <w:t>” shall mean a Registration in which securities of the Company are sold to an Underwriter in a firm commitment underwriting for distribution to the public, including for the avoidance of doubt an Underwritten Shelf Takedown.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Underwritten Shelf Takedown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w:t>
        <w:br/>
        <w:t>REGISTRATION</w:t>
      </w:r>
    </w:p>
    <w:p>
      <w:pPr>
        <w:pStyle w:val="TextBody"/>
        <w:bidi w:val="0"/>
        <w:spacing w:before="0" w:after="0"/>
        <w:ind w:left="0" w:right="0" w:hanging="0"/>
        <w:jc w:val="center"/>
        <w:rPr>
          <w:caps/>
        </w:rPr>
      </w:pPr>
      <w:r>
        <w:rPr>
          <w:caps/>
        </w:rPr>
        <w:t> </w:t>
      </w:r>
    </w:p>
    <w:p>
      <w:pPr>
        <w:pStyle w:val="TextBody"/>
        <w:bidi w:val="0"/>
        <w:spacing w:before="0" w:after="0"/>
        <w:ind w:left="4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Request for Registration</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 at any time following the First Release Date (but subject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Holders holding at least a majority in interest of the then-outstanding number of Registrable Securities held by all Holders (such Holders, the “</w:t>
      </w:r>
      <w:r>
        <w:rPr>
          <w:rFonts w:ascii="Times New Roman;Times;Serif" w:hAnsi="Times New Roman;Times;Serif"/>
          <w:b/>
          <w:i w:val="false"/>
          <w:caps w:val="false"/>
          <w:smallCaps w:val="false"/>
          <w:sz w:val="20"/>
        </w:rPr>
        <w:t>Demanding Holders</w:t>
      </w:r>
      <w:r>
        <w:rPr>
          <w:rFonts w:ascii="Times New Roman;Times;Serif" w:hAnsi="Times New Roman;Times;Serif"/>
          <w:b w:val="false"/>
          <w:i w:val="false"/>
          <w:caps w:val="false"/>
          <w:smallCaps w:val="false"/>
          <w:sz w:val="20"/>
        </w:rPr>
        <w:t>”) may make a written demand for Registration of all or part of their Registrable Securities on Form F-3 (or, if Form F-3 is not available to be used by the Company at such time, on Form F-1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Times New Roman;Times;Serif" w:hAnsi="Times New Roman;Times;Serif"/>
          <w:b/>
          <w:i w:val="false"/>
          <w:caps w:val="false"/>
          <w:smallCaps w:val="false"/>
          <w:sz w:val="20"/>
        </w:rPr>
        <w:t>Demand Registration</w:t>
      </w:r>
      <w:r>
        <w:rPr>
          <w:rFonts w:ascii="Times New Roman;Times;Serif" w:hAnsi="Times New Roman;Times;Serif"/>
          <w:b w:val="false"/>
          <w:i w:val="false"/>
          <w:caps w:val="false"/>
          <w:smallCaps w:val="false"/>
          <w:sz w:val="20"/>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Times;Serif" w:hAnsi="Times New Roman;Times;Serif"/>
          <w:b/>
          <w:i w:val="false"/>
          <w:caps w:val="false"/>
          <w:smallCaps w:val="false"/>
          <w:sz w:val="20"/>
        </w:rPr>
        <w:t>Demand Requesting Holder</w:t>
      </w:r>
      <w:r>
        <w:rPr>
          <w:rFonts w:ascii="Times New Roman;Times;Serif" w:hAnsi="Times New Roman;Times;Serif"/>
          <w:b w:val="false"/>
          <w:i w:val="false"/>
          <w:caps w:val="false"/>
          <w:smallCaps w:val="false"/>
          <w:sz w:val="20"/>
        </w:rPr>
        <w:t xml:space="preserve">”) shall so notify the Company, in writing, within five (5) days after the receipt by the Holder of the notice from the Company. Upon receipt by the Company of any such written notification from a Demand Requesting Holder(s) to the Company, such Demand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Demand Requesting Holders pursuant to such Demand Registration. Under no circumstances shall the Company be obligated to effect more than an aggregate of two (2) Registrations pursuant to a Demand Registration under this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xml:space="preserve"> initiated by the Holders;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to effectuate more than two Demand Registrations in respect of all Registrable Securities.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Effective Registration</w:t>
      </w:r>
      <w:r>
        <w:rPr>
          <w:rFonts w:ascii="Times New Roman;Times;Serif" w:hAnsi="Times New Roman;Times;Serif"/>
          <w:b w:val="false"/>
          <w:i w:val="false"/>
          <w:caps w:val="false"/>
          <w:smallCaps w:val="false"/>
          <w:sz w:val="20"/>
        </w:rPr>
        <w:t xml:space="preserve">. Notwithstanding the provisions of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xml:space="preserve"> above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 if a majority-in-interest of the Demanding Holders advise the Company as part of their Demand Registration that the offering of the Registrable Securities pursuant to such Demand Registration shall be in the form of an Underwritten Offering, then the right of each Demanding Holder or Demand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Times;Serif" w:hAnsi="Times New Roman;Times;Serif"/>
          <w:b w:val="false"/>
          <w:i w:val="false"/>
          <w:caps w:val="false"/>
          <w:smallCaps w:val="false"/>
          <w:sz w:val="20"/>
          <w:u w:val="single"/>
        </w:rPr>
        <w:t>subsection 2.1.3</w:t>
      </w:r>
      <w:r>
        <w:rPr>
          <w:rFonts w:ascii="Times New Roman;Times;Serif" w:hAnsi="Times New Roman;Times;Serif"/>
          <w:b w:val="false"/>
          <w:i w:val="false"/>
          <w:caps w:val="false"/>
          <w:smallCaps w:val="false"/>
          <w:sz w:val="20"/>
        </w:rPr>
        <w:t xml:space="preserve"> shall enter into an underwriting agreement in customary form with the Underwriter(s) selected for such Underwritten Offering by the Company, which Underwriter(s) shall be reasonably acceptable to a majority-in-interest of the Demanding Holders initiating the Demand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Reduction of Underwritten Offering</w:t>
      </w:r>
      <w:r>
        <w:rPr>
          <w:rFonts w:ascii="Times New Roman;Times;Serif" w:hAnsi="Times New Roman;Times;Serif"/>
          <w:b w:val="false"/>
          <w:i w:val="false"/>
          <w:caps w:val="false"/>
          <w:smallCaps w:val="false"/>
          <w:sz w:val="20"/>
        </w:rPr>
        <w:t>. If the managing Underwriter or Underwriters in an Underwritten Registration pursuant to a Demand Registration, in good faith, advises the Company, the Demanding Holders and the Demand Requesting Holders (if any) in writing that the dollar amount or number of Registrable Securities that the Demanding Holders and the Demand Requesting Holders (if any) desire to sell, taken together with all other Company Shares or other equity securities that the Company desires to sell and the Company Shares,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Times;Serif" w:hAnsi="Times New Roman;Times;Serif"/>
          <w:b/>
          <w:i w:val="false"/>
          <w:caps w:val="false"/>
          <w:smallCaps w:val="false"/>
          <w:sz w:val="20"/>
        </w:rPr>
        <w:t>Maximum Number of Securities</w:t>
      </w:r>
      <w:r>
        <w:rPr>
          <w:rFonts w:ascii="Times New Roman;Times;Serif" w:hAnsi="Times New Roman;Times;Serif"/>
          <w:b w:val="false"/>
          <w:i w:val="false"/>
          <w:caps w:val="false"/>
          <w:smallCaps w:val="false"/>
          <w:sz w:val="20"/>
        </w:rPr>
        <w:t>”), then the Company shall include in such Underwritten Offering, as follows: (i) first, the Registrable Securities of the Demanding Holders and the Demand Requesting Holders (if any) (pro rata based on the respective number of Registrable Securities that each Demanding Holder and Demand Requesting Holder (if any) has requested be included in such Underwritten Registration and the aggregate number of Registrable Securities that the Demanding Holders and Demand Requesting Holders have requested be included in such Underwritten Registration (such proportion is referred to herein as “</w:t>
      </w:r>
      <w:r>
        <w:rPr>
          <w:rFonts w:ascii="Times New Roman;Times;Serif" w:hAnsi="Times New Roman;Times;Serif"/>
          <w:b/>
          <w:i w:val="false"/>
          <w:caps w:val="false"/>
          <w:smallCaps w:val="false"/>
          <w:sz w:val="20"/>
        </w:rPr>
        <w:t>Pro Rata</w:t>
      </w:r>
      <w:r>
        <w:rPr>
          <w:rFonts w:ascii="Times New Roman;Times;Serif" w:hAnsi="Times New Roman;Times;Serif"/>
          <w:b w:val="false"/>
          <w:i w:val="false"/>
          <w:caps w:val="false"/>
          <w:smallCaps w:val="false"/>
          <w:sz w:val="20"/>
        </w:rPr>
        <w:t>”)) that can be sold without exceeding the Maximum Number of Securities; (ii) second, to the extent that the Maximum Number of Securities has not been reached under the foregoing clause (i), Company Shares or other equity securities that the Company desires to sell, which can be sold without exceeding the Maximum Number of Securities; and (iii) third, to the extent that the Maximum Number of Securities has not been reached under the foregoing clauses (i) and (ii), Company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Demand Registration Withdrawal</w:t>
      </w:r>
      <w:r>
        <w:rPr>
          <w:rFonts w:ascii="Times New Roman;Times;Serif" w:hAnsi="Times New Roman;Times;Serif"/>
          <w:b w:val="false"/>
          <w:i w:val="false"/>
          <w:caps w:val="false"/>
          <w:smallCaps w:val="false"/>
          <w:sz w:val="20"/>
        </w:rPr>
        <w:t xml:space="preserve">.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If a majority-in-interest of the Demanding Holders initiating a Demand Registration or a majority-in-interest of the Demand Requesting Holders (if any) withdraws from a proposed offering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then such registration shall count as a Demand Registration provided for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unless such Demanding Holders reimburse the Company for all Registration Expenses with respect to such Demand Registration, on a pro rata basis, based on the respective number of Registrable Securities that each such Demanding Holder has requested be included in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Times New Roman;Times;Serif" w:hAnsi="Times New Roman;Times;Serif"/>
          <w:b w:val="false"/>
          <w:i w:val="false"/>
          <w:caps w:val="false"/>
          <w:smallCaps w:val="false"/>
          <w:sz w:val="20"/>
          <w:u w:val="single"/>
        </w:rPr>
        <w:t>subsection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Piggyback Rights</w:t>
      </w:r>
      <w:r>
        <w:rPr>
          <w:rFonts w:ascii="Times New Roman;Times;Serif" w:hAnsi="Times New Roman;Times;Serif"/>
          <w:b w:val="false"/>
          <w:i w:val="false"/>
          <w:caps w:val="false"/>
          <w:smallCaps w:val="false"/>
          <w:sz w:val="20"/>
        </w:rPr>
        <w:t xml:space="preserve">. If at any time after the expiration of the Lock-up Period,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(v) a Form F-4 (or any successor form thereto) in connection with a business combination, or (vi) a post-effective amendment to an existing registration statement, then the Company shall give written notice of such proposed filing to the Holders of Registrable Securities whose Lock-up Period has expired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the Holders of Registrable Securities whose Lock-up Period has expired the opportunity to register the sale of such number of Registrable Securities as such Holders may request in writing within five (5) days after receipt of such written notice (such Registration a “</w:t>
      </w:r>
      <w:r>
        <w:rPr>
          <w:rFonts w:ascii="Times New Roman;Times;Serif" w:hAnsi="Times New Roman;Times;Serif"/>
          <w:b/>
          <w:i w:val="false"/>
          <w:caps w:val="false"/>
          <w:smallCaps w:val="false"/>
          <w:sz w:val="20"/>
        </w:rPr>
        <w:t>Piggyback Registration</w:t>
      </w:r>
      <w:r>
        <w:rPr>
          <w:rFonts w:ascii="Times New Roman;Times;Serif" w:hAnsi="Times New Roman;Times;Serif"/>
          <w:b w:val="false"/>
          <w:i w:val="false"/>
          <w:caps w:val="false"/>
          <w:smallCaps w:val="false"/>
          <w:sz w:val="20"/>
        </w:rPr>
        <w:t xml:space="preserve">”). The Company shall, in good faith, cause such Registrable Securities to be included in such Piggyback Registration and shall use its commercially reasonable efforts to cause the managing Underwriter(s) of a proposed Underwritten Offering to permit the Registrable Securities requested by such Holders pursuant to this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xml:space="preserve"> shall enter into an underwriting agreement in customary form with the Underwriter(s) selected for such Underwritten Offering by the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Reduction of Piggyback Registration</w:t>
      </w:r>
      <w:r>
        <w:rPr>
          <w:rFonts w:ascii="Times New Roman;Times;Serif" w:hAnsi="Times New Roman;Times;Serif"/>
          <w:b w:val="false"/>
          <w:i w:val="false"/>
          <w:caps w:val="false"/>
          <w:smallCaps w:val="false"/>
          <w:sz w:val="20"/>
        </w:rPr>
        <w:t xml:space="preserve">. If the managing Underwriter(s) in an Underwritten Registration that is to be a Piggyback Registration, in good faith, advises the Company and the Holders of Registrable Securities participating in the Piggyback Registration in writing that the dollar amount or number of Company Shares that the Company desires to sell, taken together with (i) the Company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and (iii) the Company Shares, if any, as to which Registration has been requested pursuant to separate written contractual piggy-back registration rights of other stockholders of the Company, exceeds the Maximum Number of Securities, then: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Registration is undertaken for the Company’s account, the Company shall include in any such Registration (A) first, Company Shares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Company Shares, if any, as to which Registration has been requested pursuant to written contractual piggy-back registration rights of other stockholders of the Company, which can be sold without exceeding the Maximum Number of Securities;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Registration is pursuant to a request by persons or entities other than the Holders of Registrable Securities, then the Company shall include in any such Registration (A) first, Company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pro rata based on the respective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Company Shares or other equity securities that the Company desires to sell, which can be sold without exceeding the Maximum Number of Securities; and (D) fourth, to the extent that the Maximum Number of Securities has not been reached under the foregoing clauses (A), (B) and (C), Company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Piggyback Registration Withdrawal</w:t>
      </w:r>
      <w:r>
        <w:rPr>
          <w:rFonts w:ascii="Times New Roman;Times;Serif" w:hAnsi="Times New Roman;Times;Serif"/>
          <w:b w:val="false"/>
          <w:i w:val="false"/>
          <w:caps w:val="false"/>
          <w:smallCaps w:val="false"/>
          <w:sz w:val="20"/>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Times;Serif" w:hAnsi="Times New Roman;Times;Serif"/>
          <w:b w:val="false"/>
          <w:i w:val="false"/>
          <w:caps w:val="false"/>
          <w:smallCaps w:val="false"/>
          <w:sz w:val="20"/>
          <w:u w:val="single"/>
        </w:rPr>
        <w:t>subsection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Unlimited Piggyback Registration Rights</w:t>
      </w:r>
      <w:r>
        <w:rPr>
          <w:rFonts w:ascii="Times New Roman;Times;Serif" w:hAnsi="Times New Roman;Times;Serif"/>
          <w:b w:val="false"/>
          <w:i w:val="false"/>
          <w:caps w:val="false"/>
          <w:smallCaps w:val="false"/>
          <w:sz w:val="20"/>
        </w:rPr>
        <w:t xml:space="preserve">. For purposes of clarity, any Registration effected pursuant to </w:t>
      </w:r>
      <w:r>
        <w:rPr>
          <w:rFonts w:ascii="Times New Roman;Times;Serif" w:hAnsi="Times New Roman;Times;Serif"/>
          <w:b w:val="false"/>
          <w:i w:val="false"/>
          <w:caps w:val="false"/>
          <w:smallCaps w:val="false"/>
          <w:sz w:val="20"/>
          <w:u w:val="single"/>
        </w:rPr>
        <w:t xml:space="preserve">Section 2.2 </w:t>
      </w:r>
      <w:r>
        <w:rPr>
          <w:rFonts w:ascii="Times New Roman;Times;Serif" w:hAnsi="Times New Roman;Times;Serif"/>
          <w:b w:val="false"/>
          <w:i w:val="false"/>
          <w:caps w:val="false"/>
          <w:smallCaps w:val="false"/>
          <w:sz w:val="20"/>
        </w:rPr>
        <w:t xml:space="preserve">hereof shall not be counted as a Registration pursuant to a Demand Registration effected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 and there shall be no limit on the number of Piggyback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val="false"/>
          <w:caps w:val="false"/>
          <w:smallCaps w:val="false"/>
          <w:sz w:val="20"/>
          <w:u w:val="single"/>
        </w:rPr>
        <w:t>Right to Terminate Registration</w:t>
      </w:r>
      <w:r>
        <w:rPr>
          <w:rFonts w:ascii="Times New Roman;Times;Serif" w:hAnsi="Times New Roman;Times;Serif"/>
          <w:b w:val="false"/>
          <w:i w:val="false"/>
          <w:caps w:val="false"/>
          <w:smallCaps w:val="false"/>
          <w:sz w:val="20"/>
        </w:rPr>
        <w:t xml:space="preserve">. The Company shall have the right to terminate or withdraw any registration initiated by it under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prior to the effectiveness of such registration whether or not any Holder of Registrable Securities has elected to include securities in such registration.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Resale Shelf Registration Rights</w:t>
      </w:r>
    </w:p>
    <w:p>
      <w:pPr>
        <w:pStyle w:val="TextBody"/>
        <w:bidi w:val="0"/>
        <w:spacing w:before="0" w:after="0"/>
        <w:ind w:left="45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r>
        <w:rPr>
          <w:rFonts w:ascii="Times New Roman;Times;Serif" w:hAnsi="Times New Roman;Times;Serif"/>
          <w:b w:val="false"/>
          <w:i w:val="false"/>
          <w:caps w:val="false"/>
          <w:smallCaps w:val="false"/>
          <w:sz w:val="20"/>
          <w:u w:val="single"/>
        </w:rPr>
        <w:t>Registration Statement Covering Resale of Registrable Securities</w:t>
      </w:r>
      <w:r>
        <w:rPr>
          <w:rFonts w:ascii="Times New Roman;Times;Serif" w:hAnsi="Times New Roman;Times;Serif"/>
          <w:b w:val="false"/>
          <w:i w:val="false"/>
          <w:caps w:val="false"/>
          <w:smallCaps w:val="false"/>
          <w:sz w:val="20"/>
        </w:rPr>
        <w:t>. Following the date of the completion of the Group Financial Statements (as defined in the Securities Purchase Agreement) in accordance with Clause 15.1(a) of the Securities Purchase Agreement or following the first date on which when it is eligible to use a Form F-3 registration statement, whichever is later (the “</w:t>
      </w:r>
      <w:r>
        <w:rPr>
          <w:rFonts w:ascii="Times New Roman;Times;Serif" w:hAnsi="Times New Roman;Times;Serif"/>
          <w:b/>
          <w:i w:val="false"/>
          <w:caps w:val="false"/>
          <w:smallCaps w:val="false"/>
          <w:sz w:val="20"/>
        </w:rPr>
        <w:t>Filing Deadline</w:t>
      </w:r>
      <w:r>
        <w:rPr>
          <w:rFonts w:ascii="Times New Roman;Times;Serif" w:hAnsi="Times New Roman;Times;Serif"/>
          <w:b w:val="false"/>
          <w:i w:val="false"/>
          <w:caps w:val="false"/>
          <w:smallCaps w:val="false"/>
          <w:sz w:val="20"/>
        </w:rPr>
        <w:t>”), the Company shall file with the Commission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Times New Roman;Times;Serif" w:hAnsi="Times New Roman;Times;Serif"/>
          <w:b/>
          <w:i w:val="false"/>
          <w:caps w:val="false"/>
          <w:smallCaps w:val="false"/>
          <w:sz w:val="20"/>
        </w:rPr>
        <w:t>Resale Shelf Registration Statement</w:t>
      </w:r>
      <w:r>
        <w:rPr>
          <w:rFonts w:ascii="Times New Roman;Times;Serif" w:hAnsi="Times New Roman;Times;Serif"/>
          <w:b w:val="false"/>
          <w:i w:val="false"/>
          <w:caps w:val="false"/>
          <w:smallCaps w:val="false"/>
          <w:sz w:val="20"/>
        </w:rPr>
        <w:t>”), which Registration Statement may also include any other securities the Company is required to register pursuant to contractual registration rights. The Resale Shelf Registration Statement shall be on Form F-3 (or, if Form F-3 is not available to be used by the Company at such time, on Form F-1 or another appropriate form permitting Registration of such Registrable Securities for resale). If the Resale Shelf Registration Statement is initially filed on Form F-1 and thereafter the Company becomes eligible to use Form F-3 for secondary sales, the Company shall, as promptly as practicable, cause such Resale Shelf Registration Statement to be amended, or shall file a new replacement Resale Shelf Registration Statement, such that the Resale Shelf Registration Statement is on Form F-3. The Company shall use its commercially reasonable efforts to cause the Resale Shelf Registration Statement to be declared effective as soon as reasonably practicable after filing, but in no event later than thirty (30) days following the Filing Deadline (the “</w:t>
      </w:r>
      <w:r>
        <w:rPr>
          <w:rFonts w:ascii="Times New Roman;Times;Serif" w:hAnsi="Times New Roman;Times;Serif"/>
          <w:b/>
          <w:i w:val="false"/>
          <w:caps w:val="false"/>
          <w:smallCaps w:val="false"/>
          <w:sz w:val="20"/>
        </w:rPr>
        <w:t>Effectiveness Deadline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Effectiveness Deadline shall be extended to one hundred twenty (120) days after the Filing Deadline if the Registration Statement is reviewed by, and receives comments from, the Commission;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stockholder in similar situations;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the Effectiveness Deadline falls on a day which is not a Business Day or other day that the Commission is closed for business, the Effectiveness Deadline shall be extended to the next Business Day on which the Commission is open for business.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which is five (5) years after the Completion Date, and (ii) the date on which all Registrable Securities and other securities covered by such Registration Statement have ceased to be Registrable Securities. The Registration Statement filed with the Commission pursuant to this </w:t>
      </w:r>
      <w:r>
        <w:rPr>
          <w:rFonts w:ascii="Times New Roman;Times;Serif" w:hAnsi="Times New Roman;Times;Serif"/>
          <w:b w:val="false"/>
          <w:i w:val="false"/>
          <w:caps w:val="false"/>
          <w:smallCaps w:val="false"/>
          <w:sz w:val="20"/>
          <w:u w:val="single"/>
        </w:rPr>
        <w:t>subsection 2.3.1</w:t>
      </w:r>
      <w:r>
        <w:rPr>
          <w:rFonts w:ascii="Times New Roman;Times;Serif" w:hAnsi="Times New Roman;Times;Serif"/>
          <w:b w:val="false"/>
          <w:i w:val="false"/>
          <w:caps w:val="false"/>
          <w:smallCaps w:val="false"/>
          <w:sz w:val="20"/>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lock-up restrictions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this Agreement), and shall provide that such Registrable Securities may be sold pursuant to any method or combination of methods legally available to, and requested by,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r>
        <w:rPr>
          <w:rFonts w:ascii="Times New Roman;Times;Serif" w:hAnsi="Times New Roman;Times;Serif"/>
          <w:b w:val="false"/>
          <w:i w:val="false"/>
          <w:caps w:val="false"/>
          <w:smallCaps w:val="false"/>
          <w:sz w:val="20"/>
          <w:u w:val="single"/>
        </w:rPr>
        <w:t>Notification and Distribution of Materials</w:t>
      </w:r>
      <w:r>
        <w:rPr>
          <w:rFonts w:ascii="Times New Roman;Times;Serif" w:hAnsi="Times New Roman;Times;Serif"/>
          <w:b w:val="false"/>
          <w:i w:val="false"/>
          <w:caps w:val="false"/>
          <w:smallCaps w:val="false"/>
          <w:sz w:val="20"/>
        </w:rPr>
        <w:t>. The Company shall notify the Holders in writing of the effectiveness of the Resale Shelf Registration Statement as soon as practicable, and in any event within one (1) Business Day after the Resale Shelf Registration Statement becomes effective,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Holders may reasonably request in order to facilitate the sale of the Registrable Securities in the manner described in the Resale Shelf Registration Statement (to the extent that any of such documents is not available on EDGAR).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w:t>
      </w:r>
      <w:r>
        <w:rPr>
          <w:rFonts w:ascii="Times New Roman;Times;Serif" w:hAnsi="Times New Roman;Times;Serif"/>
          <w:b w:val="false"/>
          <w:i w:val="false"/>
          <w:caps w:val="false"/>
          <w:smallCaps w:val="false"/>
          <w:sz w:val="20"/>
          <w:u w:val="single"/>
        </w:rPr>
        <w:t>Amendments and Supplements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2.3.1</w:t>
      </w:r>
      <w:r>
        <w:rPr>
          <w:rFonts w:ascii="Times New Roman;Times;Serif" w:hAnsi="Times New Roman;Times;Serif"/>
          <w:b w:val="false"/>
          <w:i w:val="false"/>
          <w:caps w:val="false"/>
          <w:smallCaps w:val="false"/>
          <w:sz w:val="20"/>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w:t>
      </w:r>
      <w:r>
        <w:rPr>
          <w:rFonts w:ascii="Times New Roman;Times;Serif" w:hAnsi="Times New Roman;Times;Serif"/>
          <w:b w:val="false"/>
          <w:i w:val="false"/>
          <w:caps w:val="false"/>
          <w:smallCaps w:val="false"/>
          <w:sz w:val="20"/>
          <w:u w:val="single"/>
        </w:rPr>
        <w:t>Section 2.3.1</w:t>
      </w:r>
      <w:r>
        <w:rPr>
          <w:rFonts w:ascii="Times New Roman;Times;Serif" w:hAnsi="Times New Roman;Times;Serif"/>
          <w:b w:val="false"/>
          <w:i w:val="false"/>
          <w:caps w:val="false"/>
          <w:smallCaps w:val="false"/>
          <w:sz w:val="20"/>
        </w:rPr>
        <w:t xml:space="preserve"> is filed on Form F-3 and thereafter the Company becomes ineligible to use Form F-3 for secondary sales, the Company shall promptly notify the Holders of such ineligibility and use its best efforts to file a shelf registration on an appropriate form as promptly as practicable to replace the shelf registration statement on Form F-3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any time the Company once again becomes eligible to use Form F-3, the Company shall cause such replacement Resale Shelf Registration Statement to be amended, or shall file a new replacement Resale Shelf Registration Statement, such that the Resale Shelf Registration Statement is once again on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2.3.4 </w:t>
      </w:r>
      <w:r>
        <w:rPr>
          <w:rFonts w:ascii="Times New Roman;Times;Serif" w:hAnsi="Times New Roman;Times;Serif"/>
          <w:b w:val="false"/>
          <w:i w:val="false"/>
          <w:caps w:val="false"/>
          <w:smallCaps w:val="false"/>
          <w:sz w:val="20"/>
          <w:u w:val="single"/>
        </w:rPr>
        <w:t>SEC Cutback</w:t>
      </w:r>
      <w:r>
        <w:rPr>
          <w:rFonts w:ascii="Times New Roman;Times;Serif" w:hAnsi="Times New Roman;Times;Serif"/>
          <w:b w:val="false"/>
          <w:i w:val="false"/>
          <w:caps w:val="false"/>
          <w:smallCaps w:val="false"/>
          <w:sz w:val="20"/>
        </w:rPr>
        <w:t xml:space="preserve">. Notwithstanding the registration obligations set forth in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Times;Serif" w:hAnsi="Times New Roman;Times;Serif"/>
          <w:b/>
          <w:i w:val="false"/>
          <w:caps w:val="false"/>
          <w:smallCaps w:val="false"/>
          <w:sz w:val="20"/>
        </w:rPr>
        <w:t>New Registration Statement</w:t>
      </w:r>
      <w:r>
        <w:rPr>
          <w:rFonts w:ascii="Times New Roman;Times;Serif" w:hAnsi="Times New Roman;Times;Serif"/>
          <w:b w:val="false"/>
          <w:i w:val="false"/>
          <w:caps w:val="false"/>
          <w:smallCaps w:val="false"/>
          <w:sz w:val="20"/>
        </w:rPr>
        <w:t xml:space="preserve">”) on Form F-3, or if Form F-3 is not then available to the Company for such registration statement, on such other form available to register for resale the Registrable Securities as a secondary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filing such amendment or New Registration Statement, the Company shall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Times;Serif" w:hAnsi="Times New Roman;Times;Serif"/>
          <w:b/>
          <w:i w:val="false"/>
          <w:caps w:val="false"/>
          <w:smallCaps w:val="false"/>
          <w:sz w:val="20"/>
        </w:rPr>
        <w:t>SEC Guidance</w:t>
      </w:r>
      <w:r>
        <w:rPr>
          <w:rFonts w:ascii="Times New Roman;Times;Serif" w:hAnsi="Times New Roman;Times;Serif"/>
          <w:b w:val="false"/>
          <w:i w:val="false"/>
          <w:caps w:val="false"/>
          <w:smallCaps w:val="false"/>
          <w:sz w:val="20"/>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F-3 or such other form available to register for resale those Registrable Securities that were not registered for resale on the Resale Shelf Registration Statement, as amended, or the New Registration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2.3.5 </w:t>
      </w:r>
      <w:r>
        <w:rPr>
          <w:rFonts w:ascii="Times New Roman;Times;Serif" w:hAnsi="Times New Roman;Times;Serif"/>
          <w:b w:val="false"/>
          <w:i w:val="false"/>
          <w:caps w:val="false"/>
          <w:smallCaps w:val="false"/>
          <w:sz w:val="20"/>
          <w:u w:val="single"/>
        </w:rPr>
        <w:t>Underwritten Shelf Takedown</w:t>
      </w:r>
      <w:r>
        <w:rPr>
          <w:rFonts w:ascii="Times New Roman;Times;Serif" w:hAnsi="Times New Roman;Times;Serif"/>
          <w:b w:val="false"/>
          <w:i w:val="false"/>
          <w:caps w:val="false"/>
          <w:smallCaps w:val="false"/>
          <w:sz w:val="20"/>
        </w:rPr>
        <w:t>. At any time and from time to time after a Resale Shelf Registration Statement has been declared effective by the Commission, the Holders may request to sell all or any portion of the Registrable Securities in an underwritten offering that is registered pursuant to the Resale Shelf Registration Statement (each, an “</w:t>
      </w:r>
      <w:r>
        <w:rPr>
          <w:rFonts w:ascii="Times New Roman;Times;Serif" w:hAnsi="Times New Roman;Times;Serif"/>
          <w:b/>
          <w:i w:val="false"/>
          <w:caps w:val="false"/>
          <w:smallCaps w:val="false"/>
          <w:sz w:val="20"/>
        </w:rPr>
        <w:t>Underwritten Shelf Takedown</w:t>
      </w:r>
      <w:r>
        <w:rPr>
          <w:rFonts w:ascii="Times New Roman;Times;Serif" w:hAnsi="Times New Roman;Times;Serif"/>
          <w:b w:val="false"/>
          <w:i w:val="false"/>
          <w:caps w:val="false"/>
          <w:smallCaps w:val="false"/>
          <w:sz w:val="20"/>
        </w:rPr>
        <w:t>”); provided, however, that the Company shall only be obligated to effect an Underwritten Shelf Takedown if such offering shall include securities with a total offering price (including piggyback securities and before deduction of underwriting discounts) reasonably expected to exceed, in the aggregate, $40,000,000.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Times New Roman;Times;Serif" w:hAnsi="Times New Roman;Times;Serif"/>
          <w:b/>
          <w:i w:val="false"/>
          <w:caps w:val="false"/>
          <w:smallCaps w:val="false"/>
          <w:sz w:val="20"/>
        </w:rPr>
        <w:t>Takedown Requesting Holder</w:t>
      </w:r>
      <w:r>
        <w:rPr>
          <w:rFonts w:ascii="Times New Roman;Times;Serif" w:hAnsi="Times New Roman;Times;Serif"/>
          <w:b w:val="false"/>
          <w:i w:val="false"/>
          <w:caps w:val="false"/>
          <w:smallCaps w:val="false"/>
          <w:sz w:val="20"/>
        </w:rPr>
        <w:t xml:space="preserve">”) at least 48 hours prior to the public announcement of such Underwritten Shelf Takedown pursuant to written contractual piggyback registration rights of such Holder (including those set forth herein). All such Holders proposing to distribute their Registrable Securities through an Underwritten Shelf Takedown under this </w:t>
      </w:r>
      <w:r>
        <w:rPr>
          <w:rFonts w:ascii="Times New Roman;Times;Serif" w:hAnsi="Times New Roman;Times;Serif"/>
          <w:b w:val="false"/>
          <w:i w:val="false"/>
          <w:caps w:val="false"/>
          <w:smallCaps w:val="false"/>
          <w:sz w:val="20"/>
          <w:u w:val="single"/>
        </w:rPr>
        <w:t>subsection 2.3.5</w:t>
      </w:r>
      <w:r>
        <w:rPr>
          <w:rFonts w:ascii="Times New Roman;Times;Serif" w:hAnsi="Times New Roman;Times;Serif"/>
          <w:b w:val="false"/>
          <w:i w:val="false"/>
          <w:caps w:val="false"/>
          <w:smallCaps w:val="false"/>
          <w:sz w:val="20"/>
        </w:rPr>
        <w:t xml:space="preserve"> shall enter into an underwriting agreement in customary form with the Underwriter(s) selected for such Underwritten Offering by the majority-in-interest of the Takedown Requesting Holders initiating the Underwritten Shelf Takedown.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2.3.6 </w:t>
      </w:r>
      <w:r>
        <w:rPr>
          <w:rFonts w:ascii="Times New Roman;Times;Serif" w:hAnsi="Times New Roman;Times;Serif"/>
          <w:b w:val="false"/>
          <w:i w:val="false"/>
          <w:caps w:val="false"/>
          <w:smallCaps w:val="false"/>
          <w:sz w:val="20"/>
          <w:u w:val="single"/>
        </w:rPr>
        <w:t>Reduction of Underwritten Shelf Takedown</w:t>
      </w:r>
      <w:r>
        <w:rPr>
          <w:rFonts w:ascii="Times New Roman;Times;Serif" w:hAnsi="Times New Roman;Times;Serif"/>
          <w:b w:val="false"/>
          <w:i w:val="false"/>
          <w:caps w:val="false"/>
          <w:smallCaps w:val="false"/>
          <w:sz w:val="20"/>
        </w:rPr>
        <w:t>. If the managing Underwriter(s) in an Underwritten Shelf Takedown, in good faith, advise the Company and the Takedown Requesting Holders in writing that the dollar amount or number of Registrable Securities that the Takedown Requesting Holders desire to sell, taken together with all other Company Shares or other equity securities that the Company desires to sell, exceeds the Maximum Number of Securities, then the Company shall include in such Underwritten Shelf Takedown, as follows: (i) first, the Registrable Securities of the Takedown Requesting Holders, on a Pro Rata basis, that can be sold without exceeding the Maximum Number of Securities; and (ii) second, to the extent that the Maximum Number of Securities has not been reached under the foregoing clause (i), the Company Shares or other equity securities that the Company desires to sell, which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2.3.7 Registrations effected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not be counted as Demand Registrations effected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Under no circumstances shall the Company be obligated to effect more than an aggregate of two (2) Underwritten Shelf Takedowns in any 12-month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Restrictions on Registration Rights</w:t>
      </w:r>
      <w:r>
        <w:rPr>
          <w:rFonts w:ascii="Times New Roman;Times;Serif" w:hAnsi="Times New Roman;Times;Serif"/>
          <w:b w:val="false"/>
          <w:i w:val="false"/>
          <w:caps w:val="false"/>
          <w:smallCaps w:val="false"/>
          <w:sz w:val="20"/>
        </w:rPr>
        <w:t xml:space="preserve">. Notwithstanding anything to the contrary contained herein, the Company shall not be obligated to (but may, at its sole option) file a Registration Statement pursuant to a Demand Registration request made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xml:space="preserve"> and that the Company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defer its obligation in this manner more than once in any 12-month period.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COMPANY PROCEDURES</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General Procedures</w:t>
      </w:r>
      <w:r>
        <w:rPr>
          <w:rFonts w:ascii="Times New Roman;Times;Serif" w:hAnsi="Times New Roman;Times;Serif"/>
          <w:b w:val="false"/>
          <w:i w:val="false"/>
          <w:caps w:val="false"/>
          <w:smallCaps w:val="false"/>
          <w:sz w:val="20"/>
        </w:rPr>
        <w:t>. If the Company is required to effect the Registration of Registrable Securities, the Company shall use its commercially reasonable efforts to effect such Registration to permit the sale of such Registrable Securities in accordance with the intended plan of distribution thereof, and pursuant thereto the Company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prepare and file with the Commission, within the timeframe required by Section 2.1.1., a Registration Statement with respect to such Registrable Securities and use its commercially reasonable efforts to cause such Registration Statement to become effective and remain effective until the earlier of (i) such time as all Registrable Securities covered by such Registration Statement have been sold and (ii) such time as all Registrable Securities covered by such Registration Statement have ceased to be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prepare and file with the Commission such amendments and post-effective amendments to the Registration Statement, and such supplements to the Prospectus, as may be reasonably requested by the majority-in-interest of the Holders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 provided, that the Company shall have no obligation to furnish any documents publicly filed or furnished with the Commission pursuant to the Electronic Data Gathering, Analysis and Retrieval System (“EDGAR”);</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cause all such Registrable Securities to be listed on each national securities exchange on which similar securities issued by the Company are then listed;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provide a transfer agent and registrar for all such Registrable Securities no later than the effective date of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 (which may be satisfied by the issuance of a press release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3.1.10 permit a representative of the Holders, the Underwriter(s), if any, and any attorney or accountant retained by such Holders or Underwriter(s) to participate, at each such person’s own expense, in the preparation of the Registration Statement, and cause the Company’s officers, directors and employees to supply all information reasonably requested by any such representative, Underwriter(s), attorney or accountant in connection with the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representatives or Underwriter(s) enter into a confidentiality agreement, in form and substance reasonably satisfactory to the Company, prior to the release or disclosure of any such information;</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3.1.11 obtain a “comfort letter” from the Company’s independent registered public accountants in the event of an Underwritten Registration, in customary form and covering such matters of the type customarily covered by “comfort letters” as the managing Underwriter(s) may reasonably request, and reasonably satisfactory to a majority-in-interest of the participating Holders and such managing Underwriter;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Underwriter(s) may reasonably request and as are customarily included in such opinions, and reasonably satisfactory to a majority in interest of the participating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counsel for the Company shall not be required to provide any opinions with respect to any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 in the event of any Underwritten Offering, enter into and perform its obligations under an underwriting agreement, in usual and customary form, with the managing Underwriter(s) of such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 if a Registration, including an Underwritten Offering, involves the Registration of Registrable Securities involving gross proceeds in excess of $40,000,000, use its reasonable efforts to make available senior executives of the Company to participate in customary “road show” presentations that may be reasonably requested by the Underwriter(s) in any Underwritten Offering;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 otherwise, in good faith, cooperate reasonably with, and take such customary actions as may reasonably be requested by the Holders, in connection with such Registration.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shall not be required to provide any documents or information to an Underwriter if such Underwriter has not then been named with respect to the applicable Underwritten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xml:space="preserve">. Including as set forth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all Registration Expenses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w:t>
      </w:r>
      <w:r>
        <w:rPr>
          <w:rFonts w:ascii="Times New Roman;Times;Serif" w:hAnsi="Times New Roman;Times;Serif"/>
          <w:b/>
          <w:i w:val="false"/>
          <w:caps w:val="false"/>
          <w:smallCaps w:val="false"/>
          <w:sz w:val="20"/>
        </w:rPr>
        <w:t>Registration Expenses</w:t>
      </w:r>
      <w:r>
        <w:rPr>
          <w:rFonts w:ascii="Times New Roman;Times;Serif" w:hAnsi="Times New Roman;Times;Serif"/>
          <w:b w:val="false"/>
          <w:i w:val="false"/>
          <w:caps w:val="false"/>
          <w:smallCaps w:val="false"/>
          <w:sz w:val="20"/>
        </w:rPr>
        <w:t>,” all reasonable fees and expenses of any legal counsel representing the Holders.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Requirements for Participation in Underwritten Offerings</w:t>
      </w:r>
      <w:r>
        <w:rPr>
          <w:rFonts w:ascii="Times New Roman;Times;Serif" w:hAnsi="Times New Roman;Times;Serif"/>
          <w:b w:val="false"/>
          <w:i w:val="false"/>
          <w:caps w:val="false"/>
          <w:smallCaps w:val="false"/>
          <w:sz w:val="20"/>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Notwithstanding anything in this Agreement to the contrary, if any Holder does not complete and/or execute such documents or does not otherwise provide the Company with such information with respect to such Holder as the Company reasonably requests for use in connection with any such Registration Statement or Prospectus covering Registrable Securities of such Holder within two (2) Business Days prior to filing the filing of the applicable “red herring” prospectus or prospectus supplement,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Suspension of Sales; Adverse Disclosure</w:t>
      </w:r>
      <w:r>
        <w:rPr>
          <w:rFonts w:ascii="Times New Roman;Times;Serif" w:hAnsi="Times New Roman;Times;Serif"/>
          <w:b w:val="false"/>
          <w:i w:val="false"/>
          <w:caps w:val="false"/>
          <w:smallCaps w:val="false"/>
          <w:sz w:val="20"/>
        </w:rPr>
        <w:t xml:space="preserve">. The Company shall promptly notify each of the Holders in writing if a Registration Statement or Prospectus contains a Misstatement and, upon receipt of such written notice from the Company, each of the Holders shall forthwith discontinue disposition of Registrable Securities until he, she or it is advised in writing by the Company that the use of the Prospectus may be resumed or has received copies of a supplemented or amended Prospectus correcting the Misstatement, provided that the Company hereby covenants promptly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(a) would require the Company to make an Adverse Disclosure, (b) would require the inclusion in such Registration Statement of financial statements that are unavailable to the Company for reasons beyond the Company’s control, or (c) in the good faith judgment of the Board (which judgment shall be documented in writing and provided to the Holders in the form of a written certificate signed by the Chairman of the Board) would be materially detrimental to the Company, the Company shall have the right to defer the filing, initial effectiveness or continued use of any Registration Statement pursuant to (a), (b) or (c) of this sentence for a period of not more than sixty (60) days, but the Company shall not defer any such filing, initial effectiveness or use of a Registration Statement pursuant to this </w:t>
      </w:r>
      <w:r>
        <w:rPr>
          <w:rFonts w:ascii="Times New Roman;Times;Serif" w:hAnsi="Times New Roman;Times;Serif"/>
          <w:b w:val="false"/>
          <w:i w:val="false"/>
          <w:caps w:val="false"/>
          <w:smallCaps w:val="false"/>
          <w:sz w:val="20"/>
          <w:u w:val="single"/>
        </w:rPr>
        <w:t xml:space="preserve">Section 3.4 </w:t>
      </w:r>
      <w:r>
        <w:rPr>
          <w:rFonts w:ascii="Times New Roman;Times;Serif" w:hAnsi="Times New Roman;Times;Serif"/>
          <w:b w:val="false"/>
          <w:i w:val="false"/>
          <w:caps w:val="false"/>
          <w:smallCaps w:val="false"/>
          <w:sz w:val="20"/>
        </w:rPr>
        <w:t>more than twice or for more than a total of 120 days (in each case counting deferrals initiated pursuant to (a), (b) and (c) of this sentence in the aggregate) in any 12-month period. Each Holder agrees that, upon receipt of any notice from the Company of the commencement of a Blackout Period, such Holder shall discontinue the disposition of Registrable Securities included in the Registration Statement until such Holder’s receipt of the copies of the supplemented or amended Prospectus after the termination of such Blackout Period or notice of the end of the Blackout Period, and, if so directed by the Company, such Holder shall deliver to the Company (at the Company’s expense) all copies (including, without limitation, any and all drafts), other than permanent file copies, then in such Holder’s possession, of the Prospectus covering such Registrable Securities current at the time of receipt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Reporting Obligations</w:t>
      </w:r>
      <w:r>
        <w:rPr>
          <w:rFonts w:ascii="Times New Roman;Times;Serif" w:hAnsi="Times New Roman;Times;Serif"/>
          <w:b w:val="false"/>
          <w:i w:val="false"/>
          <w:caps w:val="false"/>
          <w:smallCaps w:val="false"/>
          <w:sz w:val="20"/>
        </w:rPr>
        <w:t xml:space="preserve">. As long as any Holder shall own Registrable Securities, the Company, at all times while it is subject to the reporting requirements of the Exchange Act, covenants to file timely (or obtain extensions in respect thereof and file within the applicable grace period) all reports required to be filed or furnished by the Company after the date hereof pursuant to the Exchange Act, including, for the avoidance of doubt, its annual reports on Form 20-F and current reports on Form 6-K, as applicable to a foreign private issuer, and shall furnish the Holders with true and complete copies of all such filings;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documents publicly filed or furnished with the Commission on EDGAR shall be deemed to have been furnished or delivered to the Holders pursuant to this Section.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INDEMNIFICATION AND CONTRIBUTION</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45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reasonable outside attorneys’ fees) (as determined by a final and non-appealable judgment, order or decree of a court of competent jurisdiction)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(within the meaning of the Securities Act) the Company against any losses, claims, damages, liabilities and expenses (including reasonable outside attorneys’ fees) (as determined by a final and non-appealable judgment, order or decree of a court of competent jurisdiction)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Any person entitled to indemnification herein shall (i) give prompt written notice to the indemnifying party of any claim with respect to which it seeks indemnification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to such party in the event the Company’s or such Holder’s indemnification is unavailable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If the indemnification provided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liability of any Holder under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subsections 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4.1.3</w:t>
      </w:r>
      <w:r>
        <w:rPr>
          <w:rFonts w:ascii="Times New Roman;Times;Serif" w:hAnsi="Times New Roman;Times;Serif"/>
          <w:b w:val="false"/>
          <w:i w:val="false"/>
          <w:caps w:val="false"/>
          <w:smallCaps w:val="false"/>
          <w:sz w:val="20"/>
        </w:rPr>
        <w:t xml:space="preserve"> above, any documented legal or other fees, charges or expenses reasonably incurred by such party in connection with any investigation or proceeding. 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xml:space="preserve">. No person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xml:space="preserve"> from any person who was not guilty of such fraudulent misrepresentation.</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LOCK-UP</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 xml:space="preserve">. Except as permitted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each Holder shall not Transfer any Consideration Shares beneficially owned or owned of record by such Holder until the end of the Lock-up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shall not apply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transactions relating to Company Shares acquired by the Holders in open market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 Transfers as a bona fide gift;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Transfers to a trust, or other entity formed for estate planning purposes for the primary benefit of the spouse, domestic partner, parent, sibling, child or grandchild of the undersigned or any other person with whom the undersigned has a relationship by blood, marriage or adoption not more remote than first cousin;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 Transfers by will or intestate succession upon the death of the undersigned;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Transfers pursuant to a qualified domestic order or in connection with a divorce settlement;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 if the undersigned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undersigned, and (ii) distributions to partners, limited liability company members or stockholders of the undersigned;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 Transfers between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 Transfers to the Company’s officers, directors or their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5.2.9 pledges of Consideration Shares as security or collateral in connection with any borrowing or the incurrence of any indebtedness by any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borrowing or incurrence of indebtedness is secured by a portfolio of assets or equity interests issued by multiple issuers;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5.2.10 Transfers pursuant to a bona fide third-party tender offer, merger, stock sale, recapitalization, consolidation or other transaction involving a Change in Control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such tender offer, merger, recapitalization, consolidation or other such transaction is not completed, the Consideration Shares subject to this Agreement shall remain subject to this Agreement; and</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5.2.11 the establishment of a trading plan pursuant to Rule 10b5-1 promulgated under the Exchange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plan does not provide for the Transfer of Consideration Shares during the Lock-up Period applicable to the Holder establishing such a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case of any Transfer pursuant to </w:t>
      </w:r>
      <w:r>
        <w:rPr>
          <w:rFonts w:ascii="Times New Roman;Times;Serif" w:hAnsi="Times New Roman;Times;Serif"/>
          <w:b w:val="false"/>
          <w:i w:val="false"/>
          <w:caps w:val="false"/>
          <w:smallCaps w:val="false"/>
          <w:sz w:val="20"/>
          <w:u w:val="single"/>
        </w:rPr>
        <w:t>Sections 5.2.2</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5.2.7</w:t>
      </w:r>
      <w:r>
        <w:rPr>
          <w:rFonts w:ascii="Times New Roman;Times;Serif" w:hAnsi="Times New Roman;Times;Serif"/>
          <w:b w:val="false"/>
          <w:i w:val="false"/>
          <w:caps w:val="false"/>
          <w:smallCaps w:val="false"/>
          <w:sz w:val="20"/>
        </w:rPr>
        <w:t>, each donee, distributee or other transferee shall agree in writing, in form and substance reasonably satisfactory to the Company, to be bound by the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Restrictions on 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 Lock-Up Legend. Each certificate, instrument or book entry representing the Consideration Shares shall also be notated with a legend in substantially the following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HEREBY ARE SUBJECT TO RESTRICTIONS ON TRANSFERABILITY AND RESALE, INCLUDING A LOCK-UP PERIOD AND MAY NOT BE OFFERED, SOLD, TRANSFERRED, PLEDGED OR OTHERWISE DISPOSED, EXCEPT IN ACCORDANCE WITH THE TERMS AS SET FORTH IN THE REGISTRATION RIGHTS AND LOCK-UP AGREEMENT DATED [*],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 Bona Fide Pledges. A Holder may, in connection with a bona fide loan or indebtedness financing transaction, pledge or grant a security interest in some or all of the Consideration Shares to a bona fide institutional lender in the business of commercial lending, provided, however, that it shall be a condition to such transfer that (i) such institutional lender execute and deliver to the Company an agreement stating that it is receiving and holding restricted Consideration Shares subject to the transfer and lock-up restrictions set forth in this Agreement, (ii) there shall be no further transfer of any such restricted Consideration Shares except in accordance with this Agreement, and (iii) no transfer, foreclosure or other disposition of such restricted Consideration Shares shall occur unless (a) permitted under this Agreement and under applicable securities laws and (b) the Company receives an opinion of counsel reasonably satisfactory to the Company to such effect, at such Holder’s expense. No voting rights or other ownership shall be transferred in connection with such pledge except as otherwise agreed by the Company in writing. At the applicable Holder’s expense, the Company will execute and deliver such reasonable documentation as such institutional lender may reasonably request in connection with the pledge or grant of such Consideration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 Legend Removal. Certificates or book entries evidencing the Consideration Shares shall not contain any legend: (i) on the Applicable Release Date, or (ii) while a Registration Statement covering the resale of such Consideration Shares is effective under the Securities Act, or (iii) following any sale of such Consideration Shares pursuant to (a) if the Holder is not an “affiliate” of the Company (as defined under Rule 144), Section 4(a)(1) under the Securities Act or (b) if the Holder is an “affiliate” of the Company (as defined under Rule 144), Rule 144, or (iv) if such legend is not required under applicable requirements of the Securities Act (including judicial interpretations and pronouncements issued by the staff of the Commission), as set forth in a legal opinion delivered by nationally recognized counsel to the Holder, as may reasonably be required by the Company or its Transfer Agent to confirm that the legend may be removed under applicable securities laws (the “</w:t>
      </w:r>
      <w:r>
        <w:rPr>
          <w:rFonts w:ascii="Times New Roman;Times;Serif" w:hAnsi="Times New Roman;Times;Serif"/>
          <w:b w:val="false"/>
          <w:i w:val="false"/>
          <w:caps w:val="false"/>
          <w:smallCaps w:val="false"/>
          <w:sz w:val="20"/>
          <w:u w:val="single"/>
        </w:rPr>
        <w:t>Legend Removal Documents</w:t>
      </w:r>
      <w:r>
        <w:rPr>
          <w:rFonts w:ascii="Times New Roman;Times;Serif" w:hAnsi="Times New Roman;Times;Serif"/>
          <w:b w:val="false"/>
          <w:i w:val="false"/>
          <w:caps w:val="false"/>
          <w:smallCaps w:val="false"/>
          <w:sz w:val="20"/>
        </w:rPr>
        <w:t>”). The Company shall cooperate with the applicable Holder to effect removal of the legend on such Consideration Shares pursuant to this Section 5.3.3 as soon as reasonably practicable after delivery of notice from such Holder that the conditions to removal are satisfied (together with any Legend Removal Documents, as applicable). In connection with any legend removal pursuant to this Section 5.3.3, if required by the Company’s Transfer Agent, the Company shall cause an opinion of counsel to be delivered to and maintained with the Company’s Transfer Agent, together with any other authorizations, certificates and directions required by the Transfer Agent that authorize and direct the Transfer Agent to issue the Consideration Shares without any such legend. The Company shall bear all direct costs and expenses associated with the removal of a legend. The Company shall not be required to remove any legend or cause any legend to be removed from any certificate or book entry if the Holder is an “affiliate” of the Company (as defined under Rule 144) unless and until all applicable requirements of Rule 144 have been satisfied. Any determination of “affiliate status” shall be made in accordance with applicable law and shall not be presumed by virtue of the number of Company Shares issued pursuant to the Sale and Purchase Agreement. For the avoidance of doubt, the Company shall not be required to remove any legend or deliver any instruction to the Transfer Agent to remove or omit any legend if such removal would result in a violation of the Securities Act or other applicable law.</w:t>
      </w:r>
    </w:p>
    <w:p>
      <w:pPr>
        <w:pStyle w:val="TextBody"/>
        <w:bidi w:val="0"/>
        <w:spacing w:before="0" w:after="0"/>
        <w:ind w:left="0" w:right="0" w:firstLine="144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TERMINATION</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with respect to each Holder, upon the earliest of the date on which such Holder or any of its permitted assignees (i) no longer has Registrable Securities that remain outstanding; (ii) the dissolution, liquidation, or winding up of the Company; and (iii) the mutual written agreement of the parties to effect such termination. The provisions of Article 4 shall survive any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GENERAL PROVISIONS</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2825"/>
        <w:gridCol w:w="3230"/>
      </w:tblGrid>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the Company, to it at:</w:t>
            </w:r>
          </w:p>
        </w:tc>
        <w:tc>
          <w:tcPr>
            <w:tcW w:w="3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Diginex Limited</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Room 1311, Level 13 Leighton Centre</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 Leighton Road</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Causeway Bay</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attention of:</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Ewing</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paul.ewing@diginex.com</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(which shall not constitute notice) to:</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Gibson, Dunn &amp; Crutcher LLP</w:t>
            </w:r>
          </w:p>
        </w:tc>
        <w:tc>
          <w:tcPr>
            <w:tcW w:w="3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w:t>
            </w:r>
            <w:r>
              <w:rPr>
                <w:rFonts w:ascii="Times New Roman;Times;Serif" w:hAnsi="Times New Roman;Times;Serif"/>
                <w:sz w:val="20"/>
              </w:rPr>
              <w:t>200 Park Avenue, New York,</w:t>
            </w:r>
          </w:p>
        </w:tc>
        <w:tc>
          <w:tcPr>
            <w:tcW w:w="3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NY 10166-0193</w:t>
            </w:r>
          </w:p>
        </w:tc>
        <w:tc>
          <w:tcPr>
            <w:tcW w:w="3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Robert D. Giannattasio;</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rgiannattasio@gibsondunn.com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Holder, to the address or email address set forth for such Holder in the records of the Company.</w:t>
      </w:r>
    </w:p>
    <w:p>
      <w:pPr>
        <w:pStyle w:val="TextBody"/>
        <w:bidi w:val="0"/>
        <w:spacing w:before="0" w:after="0"/>
        <w:ind w:left="216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Entire Agreement; Assignment</w:t>
      </w:r>
      <w:r>
        <w:rPr>
          <w:rFonts w:ascii="Times New Roman;Times;Serif" w:hAnsi="Times New Roman;Times;Serif"/>
          <w:b w:val="false"/>
          <w:i w:val="false"/>
          <w:caps w:val="false"/>
          <w:smallCaps w:val="false"/>
          <w:sz w:val="20"/>
        </w:rPr>
        <w:t>. 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other parties hereto, except that a Holder may, without consent, assign such Holder’s rights under this Agreement to any Permitted Transferee.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Parties in Interest</w:t>
      </w:r>
      <w:r>
        <w:rPr>
          <w:rFonts w:ascii="Times New Roman;Times;Serif" w:hAnsi="Times New Roman;Times;Serif"/>
          <w:b w:val="false"/>
          <w:i w:val="false"/>
          <w:caps w:val="false"/>
          <w:smallCaps w:val="false"/>
          <w:sz w:val="20"/>
        </w:rPr>
        <w:t>. This Agreement shall be binding upon and inure solely to the benefit of each party hereto (and its respective permitted assigns), and nothing in this Agreement, express or implied, is intended to or shall confer upon any other person any right, benefit or remedy of any nature whatsoever under or by reason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Agreement, and any claim or cause of action hereunder based upon, arising out of or related to this Agreement (whether based on law, in equity, in contract, in tort or any other theory) or the negotiation, execution, performance or enforcement of this Agreement, shall be governed by and construed in accordance with the laws of the State of New York, without giving effect to the principles of conflicts of law thereof.</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HERETO IRREVOCABLY SUBMIT TO THE EXCLUSIVE JURISDICTION OF THE UNITED STATES DISTRICT COURT FOR THE SOUTHERN DISTRICT OF NEW YORK, THE SUPREME COURT OF THE STATE OF NEW YORK AND THE FEDERAL COURTS OF THE UNITED STATES OF AMERICA LOCATED IN THE STATE OF NEW YORK (THE “CHOSEN COURTS”) SOLELY IN RESPECT OF THE INTERPRETATION AND ENFORCEMENT OF THE PROVISIONS OF THIS AGREEMENT AND THE DOCUMENTS REFERRED TO IN THIS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OR IN SUCH OTHER MANNER AS MAY BE PERMITTED BY LAW SHALL BE VALID AND SUFFICIENT SERVICE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Headings; Interpretation</w:t>
      </w:r>
      <w:r>
        <w:rPr>
          <w:rFonts w:ascii="Times New Roman;Times;Serif" w:hAnsi="Times New Roman;Times;Serif"/>
          <w:b w:val="false"/>
          <w:i w:val="false"/>
          <w:caps w:val="false"/>
          <w:smallCaps w:val="false"/>
          <w:sz w:val="20"/>
        </w:rPr>
        <w:t>. The descriptive headings contained in this Agreement are included for convenience of reference only and 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Holder agrees to treat as confidential the receipt of any notice hereunder (including notice of a Demand Registration) and the information contained therein, and not to disclose or use the information contained in any such notice (or the existence thereof) without the prior written consent of the Company until such time as the information contained therein is or becomes available to the public generally (other than as a result of disclosure by such Holder in breach of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not be amended except by an instrument in writing signed by (i) the Company and (ii) Holders holding at least a majority in interest of the then-outstanding number of Registrable Securities held by all Holders (provided the Holders or their Permitted Transferees hold Registrable Securities at the time of such amendment); provided, however, that notwithstanding the foregoing, any amendment hereto or waiver hereof that adversely affects one Holder, solely in its capacity as a holder of the shares of the Company, in a manner that is materially different from the other Holders (in such capacity) shall require the consent of the Holder so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At any time, (i) the Company may (a) extend the time for the performance of any obligation or other act of any Holder, (b) waive any inaccuracy in the representations and warranties of any Holder contained herein or in any document delivered by such Holder pursuant hereto and (c) waive compliance with any agreement of such Holder or any condition to its own obligations contained herein. At any time, (i) the Holders of a majority of the total Registrable Securities may on behalf of all Holders (a) extend the time for the performance of any obligation or other act of the Company, (b) waive any inaccuracy in the representations and warranties of the Company contained herein or in any document delivered by the Company pursuant hereto and (c) waive compliance with any agreement of the Company or any condition to their own obligations contained herein; provided, that any waiver that adversely affects one Holder, solely in its capacity as a holder of the shares of capital stock of the Company, in a manner that is materially different from the other Holders (in such capacity) shall require the consent of the Holder so affected. Any such extension or waiver shall be valid if set forth in an instrument in writing signed by the party or parties to be bound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the request of the Company, in the case of any Holder, or at the request of any Holder, in the case of the Company,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shall be deemed to be the language chosen by the parties to express their mutual intent and no rule of strict construction shall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3170"/>
        <w:gridCol w:w="545"/>
        <w:gridCol w:w="75"/>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tc>
        <w:tc>
          <w:tcPr>
            <w:tcW w:w="54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ind w:left="0" w:right="0" w:hanging="0"/>
              <w:jc w:val="left"/>
              <w:rPr>
                <w:sz w:val="4"/>
                <w:szCs w:val="4"/>
              </w:rPr>
            </w:pPr>
            <w:r>
              <w:rPr>
                <w:sz w:val="4"/>
                <w:szCs w:val="4"/>
              </w:rPr>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HOLDERS</w:t>
      </w:r>
    </w:p>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4520"/>
        <w:gridCol w:w="545"/>
        <w:gridCol w:w="75"/>
      </w:tblGrid>
      <w:tr>
        <w:trPr/>
        <w:tc>
          <w:tcPr>
            <w:tcW w:w="452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CENTILLION INNOVATIONS PRIVATE LIMITED</w:t>
            </w:r>
          </w:p>
        </w:tc>
        <w:tc>
          <w:tcPr>
            <w:tcW w:w="54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ind w:left="0" w:right="0" w:hanging="0"/>
              <w:jc w:val="left"/>
              <w:rPr>
                <w:sz w:val="4"/>
                <w:szCs w:val="4"/>
              </w:rPr>
            </w:pPr>
            <w:r>
              <w:rPr>
                <w:sz w:val="4"/>
                <w:szCs w:val="4"/>
              </w:rPr>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170"/>
        <w:gridCol w:w="3080"/>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 PENNY PTE. LTD.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3290"/>
        <w:gridCol w:w="3080"/>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 TUKTUKS,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500 TUKTUKS GP, 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 the capacity as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500 TUKTUKS GP,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 the capacity as General Partner</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Christine Tsai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170"/>
        <w:gridCol w:w="3080"/>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 PENNY PTE. LTD.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155"/>
        <w:gridCol w:w="3080"/>
      </w:tblGrid>
      <w:tr>
        <w:trPr/>
        <w:tc>
          <w:tcPr>
            <w:tcW w:w="315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HARESH RAM KHOOBCHANDANI</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2090"/>
        <w:gridCol w:w="3080"/>
      </w:tblGrid>
      <w:tr>
        <w:trPr/>
        <w:tc>
          <w:tcPr>
            <w:tcW w:w="20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RADHIKA SUNDARAM</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4745"/>
        <w:gridCol w:w="3080"/>
      </w:tblGrid>
      <w:tr>
        <w:trPr/>
        <w:tc>
          <w:tcPr>
            <w:tcW w:w="474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RAMBACTHAVACHALAM DHAKSHINA MOORTHY</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170"/>
        <w:gridCol w:w="3080"/>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KASSNIK PTY LTD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170"/>
        <w:gridCol w:w="3080"/>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TIGER SEE FINANCING LIMITED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5390"/>
        <w:gridCol w:w="3080"/>
      </w:tblGrid>
      <w:tr>
        <w:trPr/>
        <w:tc>
          <w:tcPr>
            <w:tcW w:w="53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[EQUIOM FIDUCIARY SERVICES (HONG KONG) LIMITED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 OF THE GIORGINI TRUST]</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4595"/>
        <w:gridCol w:w="3080"/>
      </w:tblGrid>
      <w:tr>
        <w:trPr/>
        <w:tc>
          <w:tcPr>
            <w:tcW w:w="459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BRELKO CONVEYOR PRODUCTS (PTY) LIMITED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170"/>
        <w:gridCol w:w="3080"/>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[ARTEMIS HOLDINGS LIMITED]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3395"/>
        <w:gridCol w:w="3080"/>
      </w:tblGrid>
      <w:tr>
        <w:trPr/>
        <w:tc>
          <w:tcPr>
            <w:tcW w:w="339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AWARD SPV SELLER]3</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Registered name of the Employee Award SPV Seller to be inserted after incorporation.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Holder</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275"/>
        <w:gridCol w:w="6770"/>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Centillion Innovations Private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Penny Pte.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Tuktuks,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Penny Pte.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Haresh Ram Khoobchandani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Rambackthavachalam Dhakshina Moorthy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Kassnik Pty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Tiger See Financing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[Equiom Fiduciary Services (Hong Kong) Limited as Trustee of The Giorgini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Brelko Conveyor Products (PTY)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[Artemis Holdings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Award SPV Seller]4</w:t>
            </w:r>
          </w:p>
        </w:tc>
      </w:tr>
    </w:tbl>
    <w:p>
      <w:pPr>
        <w:pStyle w:val="TextBody"/>
        <w:bidi w:val="0"/>
        <w:jc w:val="left"/>
        <w:rPr>
          <w:caps w:val="false"/>
          <w:smallCaps w:val="false"/>
        </w:rPr>
      </w:pPr>
      <w:r>
        <w:rPr>
          <w:caps w:val="false"/>
          <w:smallCaps w:val="false"/>
        </w:rPr>
        <w:t> </w:t>
      </w:r>
    </w:p>
    <w:p>
      <w:pPr>
        <w:pStyle w:val="TextBody"/>
        <w:bidi w:val="0"/>
        <w:ind w:left="0" w:right="0" w:firstLine="400"/>
        <w:jc w:val="left"/>
        <w:rPr>
          <w:bdr w:val="single" w:sz="8" w:space="1" w:color="000000"/>
        </w:rPr>
      </w:pPr>
      <w:r>
        <w:rPr>
          <w:bdr w:val="single" w:sz="8" w:space="1" w:color="00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Registered name of the Employee Award SPV Seller to be inserted after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Indemnity</w:t>
      </w:r>
    </w:p>
    <w:p>
      <w:pPr>
        <w:pStyle w:val="TextBody"/>
        <w:bidi w:val="0"/>
        <w:spacing w:before="0" w:after="0"/>
        <w:ind w:left="0" w:right="0" w:hanging="0"/>
        <w:jc w:val="center"/>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85"/>
        <w:gridCol w:w="15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Covenants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‎3, the Sellers covenant to the Purchaser to indemnify the Purchaser on demand an amount equal to the following:</w:t>
      </w:r>
    </w:p>
    <w:p>
      <w:pPr>
        <w:pStyle w:val="TextBody"/>
        <w:bidi w:val="0"/>
        <w:spacing w:before="0" w:after="0"/>
        <w:ind w:left="72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23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Tax Liability which has arisen or arises as a result of, in respect of or in consequence of:</w:t>
            </w:r>
          </w:p>
        </w:tc>
      </w:tr>
    </w:tbl>
    <w:p>
      <w:pPr>
        <w:pStyle w:val="TextBody"/>
        <w:bidi w:val="0"/>
        <w:spacing w:before="0" w:after="0"/>
        <w:ind w:left="1440" w:right="0" w:hanging="72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0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which occurred or was deemed for Tax purposes to occur on or before the Completion Date; and</w:t>
            </w:r>
          </w:p>
        </w:tc>
      </w:tr>
    </w:tbl>
    <w:p>
      <w:pPr>
        <w:pStyle w:val="TextBody"/>
        <w:bidi w:val="0"/>
        <w:spacing w:before="0" w:after="0"/>
        <w:ind w:left="2126" w:right="0" w:hanging="70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income, profits or gains earned, accrued, received or otherwise recognised, deemed for Tax purposes or actual, on or before the Completion Date or in respect of a period ending on or before the Completion Date;</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 Liability of any Group Company relating to or arising at any time in respect of Tax for which another person is primarily liable or which is primarily attributable to another person but is chargeable on the Group Company as a result of, or by reference to, such Group Company having been at any time prior to or at Completion in the same group (howsoever defined for any Tax purpose and whether or not on a consolidated or unified basis) or consortium or similar relationship as or otherwise connected, associated or related for any Tax purpose with any other person;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fees and expenses reasonably and properly suffered or incurred by the Purchaser or any Group Company in connection with a liability for which the Sellers are liable under paragraphs 1(a) or 1(b) of this Schedule 9.</w:t>
            </w:r>
          </w:p>
        </w:tc>
      </w:tr>
    </w:tbl>
    <w:p>
      <w:pPr>
        <w:pStyle w:val="TextBody"/>
        <w:bidi w:val="0"/>
        <w:spacing w:before="0" w:after="0"/>
        <w:ind w:left="1440" w:right="0" w:hanging="72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85"/>
        <w:gridCol w:w="18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8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Date for Payment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Sellers become liable to make any payment pursuant to a Tax Indemnity Claim, the due date for the making of the payment shall be:</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payment relates to a liability of the Company to make a payment on account of any Tax Liability to a Tax Authority, the date which is the later of: (i) twenty (20) Business Days prior to the last date on which that payment of Tax can be made to the Tax Authority (after taking into account any postponement of the due date for payment which is obtained); and (ii) twenty (20) Business Days after service of a notice of the Tax Claim on the Sellers by the Purchaser;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date falling twenty (20) Business Days after service of a notice of the Tax Indemnity Claim on the Sellers by the Purchaser.</w:t>
            </w:r>
          </w:p>
        </w:tc>
      </w:tr>
    </w:tbl>
    <w:p>
      <w:pPr>
        <w:pStyle w:val="TextBody"/>
        <w:bidi w:val="0"/>
        <w:spacing w:before="0" w:after="0"/>
        <w:ind w:left="1440" w:right="0" w:hanging="72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85"/>
        <w:gridCol w:w="23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Exclusions and Limitations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Schedule 5 shall apply to a Tax Indemnity Claim. To the extent any provision of this ‎Schedule 9 conflicts or are otherwise inconsistent with the provisions of Schedule 5 expressly applicable to a Tax Indemnity Claim, the provisions of this ‎Schedule 9 shall prevail.</w:t>
            </w:r>
          </w:p>
        </w:tc>
      </w:tr>
    </w:tbl>
    <w:p>
      <w:pPr>
        <w:pStyle w:val="TextBody"/>
        <w:bidi w:val="0"/>
        <w:spacing w:before="0" w:after="0"/>
        <w:ind w:left="720" w:right="0" w:hanging="72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290"/>
        <w:gridCol w:w="95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not be liable in respect of any Tax Indemnity Claim in respect of any Tax Liability to the extent that: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arises or is otherwise increased pursuant to an event or transaction occurring, or in respect of income, profits or gains earned, accrued or received, in the ordinary course of the Group’s business after the Completion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would not have arisen or would have been reduced or eliminated but for a failure or omission on the part of the Group after the Completion Date to make any claim, election or give any notice or consent or do any other thing the making or giving or doing of which was notified by the Sellers to the Purchaser;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would not have arisen or otherwise increased but for a disclaimer, disregard, revision to or revocation of a claim or election for or surrender of any Tax Relief (including capital allowances) where such disclaimer, disregard, revision or revocation is caused or made by the Group after the Completion Date;</w:t>
            </w:r>
          </w:p>
        </w:tc>
      </w:tr>
    </w:tbl>
    <w:p>
      <w:pPr>
        <w:pStyle w:val="TextBody"/>
        <w:bidi w:val="0"/>
        <w:spacing w:before="0" w:after="0"/>
        <w:ind w:left="1440" w:right="0" w:hanging="720"/>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245"/>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arises or is otherwise increased due to unreasonable delay by the Purchaser or any member of the Purchaser’s Group; or</w:t>
            </w:r>
          </w:p>
        </w:tc>
      </w:tr>
    </w:tbl>
    <w:p>
      <w:pPr>
        <w:pStyle w:val="TextBody"/>
        <w:bidi w:val="0"/>
        <w:spacing w:before="0" w:after="0"/>
        <w:ind w:left="1440" w:right="0" w:hanging="72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23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event or transaction occurring after the Completion Date with the Purchaser’s prior written consent.</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Intentionally omitted</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3"/>
        <w:gridCol w:w="60"/>
        <w:gridCol w:w="1578"/>
        <w:gridCol w:w="60"/>
        <w:gridCol w:w="1366"/>
        <w:gridCol w:w="60"/>
        <w:gridCol w:w="1894"/>
        <w:gridCol w:w="60"/>
        <w:gridCol w:w="1247"/>
        <w:gridCol w:w="60"/>
        <w:gridCol w:w="1757"/>
      </w:tblGrid>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Property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office space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office space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property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office space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office space</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Lease (lease, underlease, licence, date and parties)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Suite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Suite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HSQ Seventh Floor LLP,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Y.M.R. Prasoona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Associates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Industrious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Pacific WOrkplaces</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Registered/unregistered (and title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date of termination of 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 13,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 24,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 31, 2028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 13,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 13, 2026</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Occupier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Companies Pte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Pte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Edge Solution Technologies Private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Digitals India Private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Star Tech Services Private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Solution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Communication USA Corp.</w:t>
            </w:r>
          </w:p>
        </w:tc>
      </w:tr>
      <w:tr>
        <w:trPr/>
        <w:tc>
          <w:tcPr>
            <w:tcW w:w="20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Use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purpose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purpose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purpose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purpose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purpose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this Agreement has been executed by the Parties as a deed and is intended to be and is hereby delivered on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SELLERS</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4520"/>
        <w:gridCol w:w="60"/>
        <w:gridCol w:w="1295"/>
      </w:tblGrid>
      <w:tr>
        <w:trPr/>
        <w:tc>
          <w:tcPr>
            <w:tcW w:w="452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EXECUTED 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 BUVAN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CENTILLION INNOVATIONS PRIVATE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lineRule="atLeast" w:line="260"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/s/ </w:t>
            </w:r>
            <w:r>
              <w:rPr>
                <w:rFonts w:ascii="Times New Roman;Times;Serif" w:hAnsi="Times New Roman;Times;Serif"/>
                <w:b w:val="false"/>
                <w:i/>
                <w:caps w:val="false"/>
                <w:smallCaps w:val="false"/>
                <w:sz w:val="20"/>
              </w:rPr>
              <w:t>P Buvan</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 Buvan</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 Krishnakanth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B. Krishnakanth</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3050"/>
        <w:gridCol w:w="60"/>
        <w:gridCol w:w="1865"/>
      </w:tblGrid>
      <w:tr>
        <w:trPr/>
        <w:tc>
          <w:tcPr>
            <w:tcW w:w="305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EXECUTED 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GRIANDEO PITTCA</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Griandeo Pittca</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Griandeo Pittca</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Dhananjay Visvanath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Dhananjay Visvanath</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3290"/>
        <w:gridCol w:w="60"/>
        <w:gridCol w:w="4865"/>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 CHRISTINE TSAI</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 TUKTUKS,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500 TUKTUKS GP,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 the capacity as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500 TUKTUKS GP, Ltd.,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 the capacity as General Partner</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Christine Tsai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Christine Tsai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Emily Lozano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Emily Lozano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3050"/>
        <w:gridCol w:w="60"/>
        <w:gridCol w:w="4865"/>
      </w:tblGrid>
      <w:tr>
        <w:trPr/>
        <w:tc>
          <w:tcPr>
            <w:tcW w:w="305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EXECUTED 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GIANDEO PITTCA</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Giandeo Pittca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Giandeo Pittca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Dhananjay Visvanath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Dhananjay Visvanath</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75"/>
        <w:gridCol w:w="60"/>
        <w:gridCol w:w="4370"/>
      </w:tblGrid>
      <w:tr>
        <w:trPr/>
        <w:tc>
          <w:tcPr>
            <w:tcW w:w="5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 HARESH RAM KHOOBCHANDANI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Haresh Ram Khoobchandani</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_______________________________________________ </w:t>
            </w:r>
          </w:p>
        </w:tc>
      </w:tr>
      <w:tr>
        <w:trPr/>
        <w:tc>
          <w:tcPr>
            <w:tcW w:w="57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NG Jung Yeon Monica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7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NG Jung Yeon Monica</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76"/>
        <w:gridCol w:w="60"/>
        <w:gridCol w:w="4769"/>
      </w:tblGrid>
      <w:tr>
        <w:trPr/>
        <w:tc>
          <w:tcPr>
            <w:tcW w:w="53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 RADHIKA SUNDARAM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Radhika Sundaram</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53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Maria Christina Antonette Cabigas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6"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Maria Christina Antonette Cabigas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4745"/>
        <w:gridCol w:w="60"/>
        <w:gridCol w:w="4865"/>
      </w:tblGrid>
      <w:tr>
        <w:trPr/>
        <w:tc>
          <w:tcPr>
            <w:tcW w:w="474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RAMBACTHAVACHALAM DHAKSHINA MOORTHY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Rambacthavachalam Dhakshina Moorthy</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47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Joy Wei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Joy Wei</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3290"/>
        <w:gridCol w:w="60"/>
        <w:gridCol w:w="4865"/>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ARTHUR CHARLAFTIS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KASSNIK PTY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Arthur Charlaftis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Arthur Charlaftis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Rulden Sngo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Rulden Sngo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3290"/>
        <w:gridCol w:w="60"/>
        <w:gridCol w:w="4865"/>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HRISTO IVANOV GRUEV</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TIGER SEE FINANCING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Hristo Ivanov Gruev</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Hristo Ivanov Gruev</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Stefanstonanov Darov</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Stefanstonanov Darov</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4130"/>
        <w:gridCol w:w="60"/>
        <w:gridCol w:w="4865"/>
      </w:tblGrid>
      <w:tr>
        <w:trPr/>
        <w:tc>
          <w:tcPr>
            <w:tcW w:w="413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KANABARAN PADAYACHEE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BRELKO CONVEYOR PRODUCTS (PTY)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Kanabaran Padayachee</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Kanabaran Padayachee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Rudolf Van Rensburg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Rudolf Van Rensburg</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PURCHASER</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3290"/>
        <w:gridCol w:w="60"/>
        <w:gridCol w:w="4865"/>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 CHRISTIAN PELHAM</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Miles Pelham</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Miles Pelham</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Ewing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Paul Ewing</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2</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283"/>
        <w:jc w:val="left"/>
        <w:rPr/>
      </w:pPr>
      <w:r>
        <w:rPr/>
        <w:t> </w:t>
      </w:r>
    </w:p>
    <w:tbl>
      <w:tblPr>
        <w:tblW w:w="4400" w:type="dxa"/>
        <w:jc w:val="left"/>
        <w:tblInd w:w="0" w:type="dxa"/>
        <w:tblLayout w:type="fixed"/>
        <w:tblCellMar>
          <w:top w:w="0" w:type="dxa"/>
          <w:left w:w="0" w:type="dxa"/>
          <w:bottom w:w="0" w:type="dxa"/>
          <w:right w:w="0" w:type="dxa"/>
        </w:tblCellMar>
      </w:tblPr>
      <w:tblGrid>
        <w:gridCol w:w="75"/>
        <w:gridCol w:w="4250"/>
        <w:gridCol w:w="75"/>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250" w:type="dxa"/>
            <w:tcBorders>
              <w:top w:val="single" w:sz="1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THIRD AMENDED AND RESTATED</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memorandum of association</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239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23950" cy="447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w:t>
      </w:r>
    </w:p>
    <w:p>
      <w:pPr>
        <w:pStyle w:val="TextBody"/>
        <w:bidi w:val="0"/>
        <w:spacing w:before="0" w:after="0"/>
        <w:ind w:left="0" w:right="0" w:hanging="0"/>
        <w:jc w:val="center"/>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40"/>
        <w:gridCol w:w="380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Diginex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Ogier Global (Cayman) Limited, 89 Nexus Way, Camana Bay, Grand Cayman, KY1-9009, Cayman Islands or at such other place in the Cayman Islands as the directors may at any time decide.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any of the preceding paragraphs permits the Company to carry on any of the following businesses without being duly licensed, namely: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a bank or trust company without being licensed in that behalf under the Banks and Trust Companies Act (Revised);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business from within the Cayman Islands or the business of an insurance manager, agent, sub-agent or broker without being licensed in that behalf under the Insurance Act (Revised);or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company management without being licensed in that behalf under the Companies Management Act (Revised).</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US$520,000 divided into 130,000,000 ordinary shares of a par value of US$0.004 each. However, subject to the Companies Act (Revised) and the Company’s articles of association, the Company has power to do any one or more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23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redeem or repurchase any of its shares;</w:t>
            </w:r>
          </w:p>
        </w:tc>
      </w:tr>
    </w:tbl>
    <w:p>
      <w:pPr>
        <w:pStyle w:val="TextBody"/>
        <w:bidi w:val="0"/>
        <w:spacing w:before="0" w:after="0"/>
        <w:ind w:left="1418" w:right="0" w:hanging="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45"/>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or reduce its capital;</w:t>
            </w:r>
          </w:p>
        </w:tc>
      </w:tr>
    </w:tbl>
    <w:p>
      <w:pPr>
        <w:pStyle w:val="TextBody"/>
        <w:bidi w:val="0"/>
        <w:spacing w:before="0" w:after="0"/>
        <w:ind w:left="1418" w:right="0" w:hanging="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3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any part of its capital (whether original, redeemed, increased or reduced):</w:t>
            </w:r>
          </w:p>
        </w:tc>
      </w:tr>
    </w:tbl>
    <w:p>
      <w:pPr>
        <w:pStyle w:val="TextBody"/>
        <w:bidi w:val="0"/>
        <w:spacing w:before="0" w:after="0"/>
        <w:ind w:left="1418" w:right="0" w:hanging="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bl>
    <w:p>
      <w:pPr>
        <w:pStyle w:val="TextBody"/>
        <w:bidi w:val="0"/>
        <w:spacing w:before="0" w:after="0"/>
        <w:ind w:left="2126" w:right="0" w:hanging="708"/>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6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418"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alter any of those rights, privileges, conditions, limitations or restrictions.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283"/>
        <w:jc w:val="left"/>
        <w:rPr/>
      </w:pPr>
      <w:r>
        <w:rPr/>
        <w:t> </w:t>
      </w:r>
    </w:p>
    <w:tbl>
      <w:tblPr>
        <w:tblW w:w="4400" w:type="dxa"/>
        <w:jc w:val="left"/>
        <w:tblInd w:w="0" w:type="dxa"/>
        <w:tblLayout w:type="fixed"/>
        <w:tblCellMar>
          <w:top w:w="0" w:type="dxa"/>
          <w:left w:w="0" w:type="dxa"/>
          <w:bottom w:w="0" w:type="dxa"/>
          <w:right w:w="0" w:type="dxa"/>
        </w:tblCellMar>
      </w:tblPr>
      <w:tblGrid>
        <w:gridCol w:w="75"/>
        <w:gridCol w:w="4250"/>
        <w:gridCol w:w="75"/>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250" w:type="dxa"/>
            <w:tcBorders>
              <w:top w:val="single" w:sz="1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tHIRD AMENDED AND RESTATED</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articles of association</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center"/>
        <w:rPr/>
      </w:pPr>
      <w:r>
        <w:rPr/>
        <w:drawing>
          <wp:inline distT="0" distB="0" distL="0" distR="0">
            <wp:extent cx="112395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23950" cy="4476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before="0" w:after="0"/>
        <w:ind w:left="0" w:right="0" w:hanging="0"/>
        <w:jc w:val="center"/>
        <w:rPr>
          <w:caps/>
        </w:rPr>
      </w:pPr>
      <w:r>
        <w:rPr>
          <w:caps/>
        </w:rPr>
        <w:t> </w:t>
      </w:r>
    </w:p>
    <w:tbl>
      <w:tblPr>
        <w:tblW w:w="7090" w:type="dxa"/>
        <w:jc w:val="left"/>
        <w:tblInd w:w="0" w:type="dxa"/>
        <w:tblLayout w:type="fixed"/>
        <w:tblCellMar>
          <w:top w:w="0" w:type="dxa"/>
          <w:left w:w="0" w:type="dxa"/>
          <w:bottom w:w="0" w:type="dxa"/>
          <w:right w:w="0" w:type="dxa"/>
        </w:tblCellMar>
      </w:tblPr>
      <w:tblGrid>
        <w:gridCol w:w="6845"/>
        <w:gridCol w:w="245"/>
      </w:tblGrid>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 interpretation and exclusion of Table A</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Table A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Shares and options, with or without special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fractions of a Share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commissions and brokerage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Trusts not recognised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vary class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new Share issue on existing class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bearer Shares or warrants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attaching to Treasury Shares and related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Return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Share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of lost or damaged share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Lien on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and scope of lien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sell Shares to satisfy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execute instrument of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sale of Shares to satisfy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 of sale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Calls on Shares and forfeiture</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calls and effect of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when call made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unpaid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accept early payment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different arrangements at time of issue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or surrender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forfeited or surrendered Share and power to cancel forfeiture or surrender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forfeiture or surrender on former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forfeiture or surrender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forfeited or surrendered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Transfer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ind w:left="0" w:right="0" w:hanging="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6055" w:type="dxa"/>
        <w:jc w:val="left"/>
        <w:tblInd w:w="0" w:type="dxa"/>
        <w:tblLayout w:type="fixed"/>
        <w:tblCellMar>
          <w:top w:w="0" w:type="dxa"/>
          <w:left w:w="0" w:type="dxa"/>
          <w:bottom w:w="0" w:type="dxa"/>
          <w:right w:w="0" w:type="dxa"/>
        </w:tblCellMar>
      </w:tblPr>
      <w:tblGrid>
        <w:gridCol w:w="5840"/>
        <w:gridCol w:w="215"/>
      </w:tblGrid>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Power to refuse registration for Shares not listed on a Designated Stock Exchange</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Suspension of transfers</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Company may retain instrument of transfer</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Notice of refusal to register</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                 Transmission of Shares</w:t>
            </w:r>
          </w:p>
        </w:tc>
        <w:tc>
          <w:tcPr>
            <w:tcW w:w="2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17</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Persons entitled on death of a Member</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Registration of transfer of a Share following death or bankruptcy</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Indemnity</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Rights of person entitled to a Share following death or bankruptcy</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                 Alteration of capital</w:t>
            </w:r>
          </w:p>
        </w:tc>
        <w:tc>
          <w:tcPr>
            <w:tcW w:w="2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19</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Increasing, consolidating, converting, dividing and cancelling share capital</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Dealing with fractions resulting from consolidation of Shares</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Reducing share capital</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9                 Redemption and purchase of own Shares</w:t>
            </w:r>
          </w:p>
        </w:tc>
        <w:tc>
          <w:tcPr>
            <w:tcW w:w="2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Power to issue redeemable Shares and to purchase own Shares</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Power to pay for redemption or purchase in cash or in specie</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Effect of redemption or purchase of a Share</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                 Meetings of Members</w:t>
            </w:r>
          </w:p>
        </w:tc>
        <w:tc>
          <w:tcPr>
            <w:tcW w:w="2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Annual and extraordinary general meetings</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Power to call meetings</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Content of notice</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Period of notice</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Persons entitled to receive notice</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Accidental omission to give notice or non-receipt of notice</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11                 Proceedings at meetings of Members</w:t>
            </w:r>
          </w:p>
        </w:tc>
        <w:tc>
          <w:tcPr>
            <w:tcW w:w="2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24</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Quorum</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Lack of quorum</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Chairman</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Right of a Director to attend and speak</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Accommodation of Members at Virtual Meeting</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Security</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Adjournment, postponement and cancellation</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Method of voting</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Taking of a poll</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Chairman’s casting vote</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Written resolutions</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Sole-Member Company</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12                 Voting rights of Members</w:t>
            </w:r>
          </w:p>
        </w:tc>
        <w:tc>
          <w:tcPr>
            <w:tcW w:w="2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29</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Right to vote</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Rights of joint holders</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Representation of corporate Members</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Member with mental disorder</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Objections to admissibility of votes</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Form of proxy</w:t>
            </w:r>
          </w:p>
        </w:tc>
        <w:tc>
          <w:tcPr>
            <w:tcW w:w="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How and when proxy is to be delivered</w:t>
            </w:r>
          </w:p>
        </w:tc>
        <w:tc>
          <w:tcPr>
            <w:tcW w:w="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5935" w:type="dxa"/>
        <w:jc w:val="left"/>
        <w:tblInd w:w="0" w:type="dxa"/>
        <w:tblLayout w:type="fixed"/>
        <w:tblCellMar>
          <w:top w:w="0" w:type="dxa"/>
          <w:left w:w="0" w:type="dxa"/>
          <w:bottom w:w="0" w:type="dxa"/>
          <w:right w:w="0" w:type="dxa"/>
        </w:tblCellMar>
      </w:tblPr>
      <w:tblGrid>
        <w:gridCol w:w="5690"/>
        <w:gridCol w:w="245"/>
      </w:tblGrid>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by proxy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                 Number of Directors </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Appointment, disqualification and removal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 limit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shareholding qualification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Board’s power to appoint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office of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Alternate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and removal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alternate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ceases when the appointor ceases to be a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alternate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the Director making the appointment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Powers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below the minimum number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Appointments to office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employees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voting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Delegation of powers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delegate any of the Directors’ powers to a committee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boards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agent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attorney or authorised signatory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Powers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Governance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Meetings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Directors’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Calling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technology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or deputy to preside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Recording of dissent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acts of Directors in spite of formal defect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7360" w:type="dxa"/>
        <w:jc w:val="left"/>
        <w:tblInd w:w="0" w:type="dxa"/>
        <w:tblLayout w:type="fixed"/>
        <w:tblCellMar>
          <w:top w:w="0" w:type="dxa"/>
          <w:left w:w="0" w:type="dxa"/>
          <w:bottom w:w="0" w:type="dxa"/>
          <w:right w:w="0" w:type="dxa"/>
        </w:tblCellMar>
      </w:tblPr>
      <w:tblGrid>
        <w:gridCol w:w="7115"/>
        <w:gridCol w:w="245"/>
      </w:tblGrid>
      <w:tr>
        <w:trPr/>
        <w:tc>
          <w:tcPr>
            <w:tcW w:w="7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Permissible Directors’ interests and disclosure</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Minutes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Accounts and audit</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Record dates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dividends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of dividends by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interim dividends and declaration of final dividends by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Apportionment of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set off</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other than in cash</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payments may be made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or other monies not to bear interest in absence of special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unable to be paid or unclaimed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Capitalisation of profits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Capitalisation of profits or of any share premium account or capital redemption reserve;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an amount for the benefit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to maintain share premium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Debits to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Duplicate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and how seal is to be used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seal is adopted or used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allow non-manual signatures and facsimile printing of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execution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Indemnity</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communications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authorised to give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written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notice to a deceased or bankrupt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giving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Authentication of Electronic Records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8230" w:type="dxa"/>
        <w:jc w:val="left"/>
        <w:tblInd w:w="0" w:type="dxa"/>
        <w:tblLayout w:type="fixed"/>
        <w:tblCellMar>
          <w:top w:w="0" w:type="dxa"/>
          <w:left w:w="0" w:type="dxa"/>
          <w:bottom w:w="0" w:type="dxa"/>
          <w:right w:w="0" w:type="dxa"/>
        </w:tblCellMar>
      </w:tblPr>
      <w:tblGrid>
        <w:gridCol w:w="7985"/>
        <w:gridCol w:w="245"/>
      </w:tblGrid>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Articles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documents sent by Members by Electronic means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 sent by the Secretary or Officers of the Company by Electronic means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of signing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Transfer by way of continuation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Winding up</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assets in specie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accept liability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Amendment of Memorandum and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change name or amend Memorandum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amend these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bl>
    <w:p>
      <w:pPr>
        <w:pStyle w:val="TextBody"/>
        <w:bidi w:val="0"/>
        <w:spacing w:before="0" w:after="0"/>
        <w:ind w:left="0" w:right="0" w:hanging="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w:t>
      </w:r>
    </w:p>
    <w:p>
      <w:pPr>
        <w:pStyle w:val="TextBody"/>
        <w:bidi w:val="0"/>
        <w:spacing w:before="0" w:after="0"/>
        <w:ind w:left="0" w:right="0" w:hanging="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means the Companies Act (Revised) of the Cayman Islands, including any statutory modification or re-enactment thereof for the time being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1418" w:right="0" w:hanging="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particular articles of these Articles;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of calendar days excluding:</w:t>
      </w:r>
    </w:p>
    <w:p>
      <w:pPr>
        <w:pStyle w:val="TextBody"/>
        <w:bidi w:val="0"/>
        <w:spacing w:before="0" w:after="0"/>
        <w:ind w:left="0" w:right="0" w:hanging="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23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calendar day when the notice is given or deemed to be given; and</w:t>
            </w:r>
          </w:p>
        </w:tc>
      </w:tr>
    </w:tbl>
    <w:p>
      <w:pPr>
        <w:pStyle w:val="TextBody"/>
        <w:bidi w:val="0"/>
        <w:spacing w:before="0" w:after="0"/>
        <w:ind w:left="141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45"/>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calendar day for which it is given or on which it is to take effect;</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Nasdaq Capital Market in the United States of America for so long as any class of the Company’s Shares are there listed and any other stock exchange on which any class of the Company’s Shares are listed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on the Designated Stock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Communication Facilities</w:t>
      </w:r>
      <w:r>
        <w:rPr>
          <w:rFonts w:ascii="Times New Roman;Times;Serif" w:hAnsi="Times New Roman;Times;Serif"/>
          <w:b w:val="false"/>
          <w:i w:val="false"/>
          <w:caps w:val="false"/>
          <w:smallCaps w:val="false"/>
          <w:sz w:val="20"/>
        </w:rPr>
        <w:t xml:space="preserve"> means video, video-conferencing, internet or online conferencing applications, telephone or tele-conferencing and/or any other video-communications, internet or online conferencing application or telecommunications facilities by means of which all persons participating in a meeting are capable of hearing and being heard by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1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passed by a simple majority of the votes by Members who (being entitled to do so) vote in person or by proxy, or in the case of corporations, by their duly authorised representatives, at a General Meeting. The expression includes a written resolution signed by the requisite majority in accordance with Article 11.14;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Share </w:t>
      </w:r>
      <w:r>
        <w:rPr>
          <w:rFonts w:ascii="Times New Roman;Times;Serif" w:hAnsi="Times New Roman;Times;Serif"/>
          <w:b w:val="false"/>
          <w:i w:val="false"/>
          <w:caps w:val="false"/>
          <w:smallCaps w:val="false"/>
          <w:sz w:val="20"/>
        </w:rPr>
        <w:t>means an ordinary share in the capital of the Company, having the rights set out in these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share in the share capital of the Company and the expression:</w:t>
      </w:r>
    </w:p>
    <w:p>
      <w:pPr>
        <w:pStyle w:val="TextBody"/>
        <w:bidi w:val="0"/>
        <w:spacing w:before="0" w:after="0"/>
        <w:ind w:left="0" w:right="0" w:hanging="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1418" w:right="0" w:hanging="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of a General Meeting or a resolution of a meeting of the holders of any class of Shares in a class meeting duly constituted in accordance with the Articles in each case passed by a majority of not less than two-thirds of the votes by Members who (being entitled to do so) vote in person or by proxy at that meeting. The expression includes a unanimous written resolution signed by all of the Members entitled to vote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Virtual Meeting </w:t>
      </w:r>
      <w:r>
        <w:rPr>
          <w:rFonts w:ascii="Times New Roman;Times;Serif" w:hAnsi="Times New Roman;Times;Serif"/>
          <w:b w:val="false"/>
          <w:i w:val="false"/>
          <w:caps w:val="false"/>
          <w:smallCaps w:val="false"/>
          <w:sz w:val="20"/>
        </w:rPr>
        <w:t>means any general meeting of the Members at which the Members (and any other permitted participants of such meeting, including without limitation the chairman of the meeting and any Directors) are permitted to attend and participate by means of Electronic Communication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1418"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2126" w:right="0" w:hanging="708"/>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418" w:right="0" w:hanging="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141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includes, as appropriate, a company, trust, partnership, joint venture, association, body corporate or government agency.</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18" w:right="0" w:hanging="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or any similar expression are to be construed without limitation.</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present</w:t>
            </w:r>
            <w:r>
              <w:rPr>
                <w:rFonts w:ascii="Times New Roman;Times;Serif" w:hAnsi="Times New Roman;Times;Serif"/>
                <w:b w:val="false"/>
                <w:i w:val="false"/>
                <w:caps w:val="false"/>
                <w:smallCaps w:val="false"/>
                <w:sz w:val="20"/>
              </w:rPr>
              <w:t>” means, in respect of any person attending a meeting, such person’s presence at a general meeting of Members (or any meeting of the holders of any class of Shares), which may be satisfied by means of such person or, if a corporation or other non-natural person, its duly authorized representative (or, in the case of any Member, a proxy which has been validly appointed by such Member in accordance with these Articles), being: (a) physically present at the meeting; or (b) in the case of any meeting at which Electronic Communication Facilities are permitted in accordance with these Articles, including any Virtual Meeting, connected by means of the use of such Electronic Communication Facilities.</w:t>
            </w:r>
          </w:p>
        </w:tc>
      </w:tr>
    </w:tbl>
    <w:p>
      <w:pPr>
        <w:pStyle w:val="TextBody"/>
        <w:bidi w:val="0"/>
        <w:spacing w:before="0" w:after="0"/>
        <w:ind w:left="1418" w:right="0" w:hanging="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about the redemption and purchase of the Shares (and to any direction that may be given by the Company in General Meeting) and, where applicable, the rules and regulations of the Designated Stock Exchange, the Commission and/or any other competent regulatory authority or otherwise under applicable law, the Directors have general and unconditional authority to allot (with or without confirming rights of renunciation), issue, grant options over or otherwise deal with any unissued Shares to such persons, at such times and on such terms and conditions as they may decide. No Share may be issued at a discount except in accordance with the provisions of the Act.</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0" w:right="0" w:hanging="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1418"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90"/>
        <w:gridCol w:w="39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refuse to accept any application for Shares, and may accept any application in whole or in part, for any reason or for no reason.</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fractions of a Share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3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141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90"/>
        <w:gridCol w:w="24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the Act:</w:t>
            </w:r>
          </w:p>
        </w:tc>
      </w:tr>
    </w:tbl>
    <w:p>
      <w:pPr>
        <w:pStyle w:val="TextBody"/>
        <w:bidi w:val="0"/>
        <w:spacing w:before="0" w:after="0"/>
        <w:ind w:left="0" w:right="0" w:hanging="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1418" w:right="0" w:hanging="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2.9(b), all the provisions of these Articles relating to general meetings apply, mutatis mutandis, to every such separate meeting except that the necessary quorum shall be one or more persons holding, or representing by proxy, not less than one third of the issued Shares of the class.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Member holding Shares of any class shall not be deemed to be varied by the creation or issue of further Shares ranking pari passu with the existing Shares of that class. The rights attached to, or otherwise conferred upon the holders of, the Shares of any class shall not be deemed to be materially adversely varied by the creation or issue of Shares with preferred or other rights prescribed according to Article 2.20 including, without limitation, the creation of Shares with enhanced or weighted voting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0" w:right="0" w:hanging="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1418" w:right="0" w:hanging="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4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Act are otherwise complied with.</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1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2.15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Act and otherwise on such terms and conditions as the Directors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40"/>
        <w:gridCol w:w="15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 (to the extent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0" w:right="0" w:hanging="0"/>
        <w:jc w:val="left"/>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1418" w:right="0" w:hanging="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1418"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1418"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1418" w:right="0" w:hanging="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418" w:right="0" w:hanging="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18" w:right="0" w:hanging="0"/>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23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(14) Clear Days after that notice is deemed to be given under these Articles,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90"/>
        <w:gridCol w:w="6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1418"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1418" w:right="0" w:hanging="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0" w:right="0" w:hanging="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1418" w:right="0" w:hanging="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0" w:right="0" w:hanging="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1418"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 and</w:t>
            </w:r>
          </w:p>
        </w:tc>
      </w:tr>
    </w:tbl>
    <w:p>
      <w:pPr>
        <w:pStyle w:val="TextBody"/>
        <w:bidi w:val="0"/>
        <w:spacing w:before="0" w:after="0"/>
        <w:ind w:left="1418" w:right="0" w:hanging="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1418"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 The Directors may accept the surrender for no consideration of any Share in accordance with the Act.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18" w:right="0" w:hanging="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0" w:right="0" w:hanging="0"/>
        <w:jc w:val="left"/>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1418" w:right="0" w:hanging="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1418" w:right="0" w:hanging="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2126" w:right="0" w:hanging="708"/>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0" w:right="0" w:hanging="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ind w:left="1418" w:right="0" w:hanging="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40"/>
        <w:gridCol w:w="161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(if such Shares are listed on the Designated Stock Exchange) or in any other form approved by the Directors, executed:</w:t>
            </w:r>
          </w:p>
        </w:tc>
      </w:tr>
    </w:tbl>
    <w:p>
      <w:pPr>
        <w:pStyle w:val="TextBody"/>
        <w:bidi w:val="0"/>
        <w:spacing w:before="0" w:after="0"/>
        <w:ind w:left="0" w:right="0" w:hanging="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ind w:left="1418" w:right="0" w:hanging="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of any class in question are not listed on or subject to the rules of any Designated Stock Exchange,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418"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418" w:right="0" w:hanging="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fourteen (14) Clear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Clear Days in any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of any class not listed on a Designated Stock Exchange, they shall within one (1) month after the date on which the instrument of transfer was lodged with the Company send to each of the transferor and the transferee notice of the refusal.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the Register of Members.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40"/>
        <w:gridCol w:w="201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1418" w:right="0" w:hanging="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1418" w:right="0" w:hanging="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1418" w:right="0" w:hanging="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90"/>
        <w:gridCol w:w="7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0" w:right="0" w:hanging="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1418" w:right="0" w:hanging="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1418"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Act, the Company may by Ordinary Resolution do any of the following and amend its Memorandum for that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18"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ind w:left="1418" w:right="0" w:hanging="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round up or down the fraction to the nearest whole number, such rounding to be determined by the Directors acting in their sole discretion;</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Act, the Company); or</w:t>
            </w:r>
          </w:p>
        </w:tc>
      </w:tr>
    </w:tbl>
    <w:p>
      <w:pPr>
        <w:pStyle w:val="TextBody"/>
        <w:bidi w:val="0"/>
        <w:spacing w:before="0" w:after="0"/>
        <w:ind w:left="1418" w:right="0" w:hanging="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its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in specie</w:t>
            </w:r>
            <w:r>
              <w:rPr>
                <w:rFonts w:ascii="Times New Roman;Times;Serif" w:hAnsi="Times New Roman;Times;Serif"/>
                <w:b w:val="false"/>
                <w:i w:val="false"/>
                <w:caps w:val="false"/>
                <w:smallCaps w:val="false"/>
                <w:sz w:val="20"/>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1418"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2126"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2126" w:right="0" w:hanging="708"/>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1418" w:right="0" w:hanging="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395"/>
        <w:gridCol w:w="84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95"/>
        <w:gridCol w:w="43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(10) per cent of the rights to vote at such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0" w:right="0" w:hanging="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1418" w:right="0" w:hanging="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(5)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500"/>
        <w:gridCol w:w="9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ind w:left="1418"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45"/>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meeting will be held virtually, at a physical place or both;</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3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any part at a physical place, the address of such place;</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or in any part virtually, the Electronic Communication Facilities that will be used to facilitate the meeting, including the procedures to be followed by any Member or other participant of the meeting who wishes to utilise such Electronic Communication Facilities for the purposes of attending and participating in such meeting;</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(f) and the requirements of (to the extent applicable) the Designated Stock Exchange Rules, the general nature of the business to be transacted; and</w:t>
            </w:r>
          </w:p>
        </w:tc>
      </w:tr>
    </w:tbl>
    <w:p>
      <w:pPr>
        <w:pStyle w:val="TextBody"/>
        <w:bidi w:val="0"/>
        <w:spacing w:before="0" w:after="0"/>
        <w:ind w:left="1418" w:right="0" w:hanging="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0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1418"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1418"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500"/>
        <w:gridCol w:w="70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five (5) Clear Days’ notice must be given to Members for any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 meeting may be convened on shorter notice, subject to the Act with the consent of the Member or Members who, individually or collectively, hold at least ninety (90) per cent of the voting rights of all those who have a right to vote at that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0" w:right="0" w:hanging="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23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1418" w:right="0" w:hanging="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ind w:left="1418" w:right="0" w:hanging="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ind w:left="1418"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4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(if appointed).</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attend and vote at a meeting are those persons entered on the register of Members at the close of business on a day determined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1418" w:right="0" w:hanging="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0" w:right="0" w:hanging="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1418" w:right="0" w:hanging="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1418"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1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at the meeting. A quorum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3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at the meeting within fifteen minutes of the time appointed for the meeting, or if at any time during the meeting it becomes inquorate, then the following provisions apply:</w:t>
            </w:r>
          </w:p>
        </w:tc>
      </w:tr>
    </w:tbl>
    <w:p>
      <w:pPr>
        <w:pStyle w:val="TextBody"/>
        <w:bidi w:val="0"/>
        <w:spacing w:before="0" w:after="0"/>
        <w:ind w:left="0" w:right="0" w:hanging="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(7) days hence, or to such other time or place as is determined by the Directors. If a quorum is not present at the meeting within fifteen minutes of the time appointed for the adjourned meeting, then the Members present in person or by proxy at the meeting shall constitute a quorum.</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(including any Virtual Meeting) shall be the chairman of the Board or such other Director as the Directors may determine. Absent any such person being present at the meeting within fifteen minutes of the time appointed for the meeting, the Directors present shall elect one of their number to chair the meeting. The chairman of the meeting shall be entitled to attend and participate at any such general meeting by means of Electronic Communication Facilities, and to act as the chairman of such general meeting, in which event the chairman of the meeting shall be deemed to be present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Virtual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entitled to receive notice and attend a meeting will be deemed to be in attendance at such meeting despite their attendance being virtual if adequate facilities are available to ensure that the Member is able to:</w:t>
            </w:r>
          </w:p>
        </w:tc>
      </w:tr>
    </w:tbl>
    <w:p>
      <w:pPr>
        <w:pStyle w:val="TextBody"/>
        <w:bidi w:val="0"/>
        <w:spacing w:before="0" w:after="0"/>
        <w:ind w:left="0" w:right="0" w:hanging="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23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 and</w:t>
            </w:r>
          </w:p>
        </w:tc>
      </w:tr>
    </w:tbl>
    <w:p>
      <w:pPr>
        <w:pStyle w:val="TextBody"/>
        <w:bidi w:val="0"/>
        <w:spacing w:before="0" w:after="0"/>
        <w:ind w:left="1418" w:right="0" w:hanging="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245"/>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all that happens at the meeting.</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the Directors may determine that any general meeting may be held as a Virtual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postponement and cancellation</w:t>
      </w:r>
    </w:p>
    <w:p>
      <w:pPr>
        <w:pStyle w:val="TextBody"/>
        <w:bidi w:val="0"/>
        <w:spacing w:before="0" w:after="0"/>
        <w:ind w:left="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395"/>
        <w:gridCol w:w="15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postponed or cancelled prior to the meeting at the discretion of the Directors by written notice provided to all persons entitled to attend the meeting, unless the meeting was requisitioned by Members or otherwise called by Members pursuant to Article 10;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adjourned, with or without an appointed date for resumption, at any time during the meeting at the discretion of the chairman with the consent of the Members constituting a quorum</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must adjourn the meeting if so directed by the Members constituting a quorum at the meeting. No business, however, can be transacted at an adjourned or postponed meeting other than business which might properly have been transacted at the original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seven (7) Clear Days, whether because of a lack of quorum or otherwise, Members shall be given at least seven (7)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500"/>
        <w:gridCol w:w="566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500"/>
        <w:gridCol w:w="90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Chairman of the meeting shall not be entitled to a second or casting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60(1) of the Act, Members may pass a Special Resolution in writing without holding a meeting if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 given notice of the resolution as if the same were being proposed at a meeting of Members;</w:t>
            </w:r>
          </w:p>
        </w:tc>
      </w:tr>
    </w:tbl>
    <w:p>
      <w:pPr>
        <w:pStyle w:val="TextBody"/>
        <w:bidi w:val="0"/>
        <w:spacing w:before="0" w:after="0"/>
        <w:ind w:left="1418"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1418"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26"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shall be as effective as if it had been passed at a duly convened and held meeting of the Members entitled to vote.</w:t>
      </w:r>
    </w:p>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500"/>
        <w:gridCol w:w="94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an Ordinary Resolution in writing without holding a meeting if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3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w:t>
            </w:r>
          </w:p>
        </w:tc>
      </w:tr>
    </w:tbl>
    <w:p>
      <w:pPr>
        <w:pStyle w:val="TextBody"/>
        <w:bidi w:val="0"/>
        <w:spacing w:before="0" w:after="0"/>
        <w:ind w:left="1418" w:right="0" w:hanging="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0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notice of the resolution as if the same were being proposed at a meeting of Members;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notified in the same or an accompanying notice of the date by which the resolution must be passed if it is not to lapse, being a period of five (5) Clear Days beginning with the date that the notice is first given;</w:t>
            </w:r>
          </w:p>
        </w:tc>
      </w:tr>
    </w:tbl>
    <w:p>
      <w:pPr>
        <w:pStyle w:val="TextBody"/>
        <w:bidi w:val="0"/>
        <w:spacing w:before="0" w:after="0"/>
        <w:ind w:left="2126" w:right="0" w:hanging="708"/>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45"/>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majority of the Members entitled so to vote:</w:t>
            </w:r>
          </w:p>
        </w:tc>
      </w:tr>
    </w:tbl>
    <w:p>
      <w:pPr>
        <w:pStyle w:val="TextBody"/>
        <w:bidi w:val="0"/>
        <w:spacing w:before="0" w:after="0"/>
        <w:ind w:left="1418"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26"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26"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five (5) Clear Days beginning with the date that notice of the resolution is first given and (ii) the date when the required majority have so signified their agreement to the resolution. However, the proposed written resolution lapses if it is not passed before the end of the period of fourteen (14) days beginning with the date that notice of it is first given.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prior to the written resolution taking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500"/>
        <w:gridCol w:w="91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45"/>
        <w:gridCol w:w="21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395"/>
        <w:gridCol w:w="3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a Member shall have one (1) vote for each Share he holds, unless any Share carries special voting rights. A fraction of a Share shall entitle its holder to an equivalent fraction of one (1) vote (or a fraction of such number of votes which such Share carries pursuant to its special voting rights).</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95"/>
        <w:gridCol w:w="9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395"/>
        <w:gridCol w:w="7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00"/>
        <w:gridCol w:w="61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bidi w:val="0"/>
        <w:spacing w:before="0" w:after="0"/>
        <w:ind w:left="1418" w:right="0" w:hanging="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bidi w:val="0"/>
        <w:spacing w:before="0" w:after="0"/>
        <w:ind w:left="1418" w:right="0" w:hanging="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12.18 will affect the validity of any acts carried out by the relevant proxy before the Directors of the Company had actual notice of the revocation.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1418"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specified in the notice convening the meeting or in any form of appointment of proxy sent out by the Company in relation to the meeting.</w:t>
            </w:r>
          </w:p>
        </w:tc>
      </w:tr>
    </w:tbl>
    <w:p>
      <w:pPr>
        <w:pStyle w:val="TextBody"/>
        <w:bidi w:val="0"/>
        <w:spacing w:before="0" w:after="0"/>
        <w:ind w:left="2126"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18" w:right="0" w:hanging="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bidi w:val="0"/>
        <w:spacing w:before="0" w:after="0"/>
        <w:ind w:left="2126" w:right="0" w:hanging="708"/>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bidi w:val="0"/>
        <w:spacing w:before="0" w:after="0"/>
        <w:ind w:left="2126" w:right="0" w:hanging="708"/>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12.20(a) and Article 12.20(b), the chairman of the Company may, in any event at his discretion, direct that an instrument of proxy shall be deemed to have been duly deposited.</w:t>
            </w:r>
          </w:p>
        </w:tc>
      </w:tr>
    </w:tbl>
    <w:p>
      <w:pPr>
        <w:pStyle w:val="TextBody"/>
        <w:bidi w:val="0"/>
        <w:spacing w:before="0" w:after="0"/>
        <w:ind w:left="1418"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00"/>
        <w:gridCol w:w="59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not confer any further right to speak at the meeting, except with the permission of the chairman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45"/>
        <w:gridCol w:w="47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disqualification and removal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395"/>
        <w:gridCol w:w="7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Director(s) may appoint a Director even though there is not a quorum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of office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re-appointment at a meeting of the Members or re-appointment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500"/>
        <w:gridCol w:w="62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these Articles, a Director may be removed by Ordinary Resolution.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0" w:right="0" w:hanging="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bidi w:val="0"/>
        <w:spacing w:before="0" w:after="0"/>
        <w:ind w:left="1418" w:right="0" w:hanging="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bidi w:val="0"/>
        <w:spacing w:before="0" w:after="0"/>
        <w:ind w:left="1418"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bidi w:val="0"/>
        <w:spacing w:before="0" w:after="0"/>
        <w:ind w:left="1418"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18" w:right="0" w:hanging="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bidi w:val="0"/>
        <w:spacing w:before="0" w:after="0"/>
        <w:ind w:left="1418" w:right="0" w:hanging="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1418"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45"/>
        <w:gridCol w:w="16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0" w:right="0" w:hanging="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395"/>
        <w:gridCol w:w="83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95"/>
        <w:gridCol w:w="55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500"/>
        <w:gridCol w:w="711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0"/>
        <w:ind w:left="0" w:right="0" w:hanging="0"/>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bidi w:val="0"/>
        <w:spacing w:before="0" w:after="0"/>
        <w:ind w:left="1418" w:right="0" w:hanging="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bidi w:val="0"/>
        <w:spacing w:before="0" w:after="0"/>
        <w:ind w:left="1418" w:right="0" w:hanging="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395"/>
        <w:gridCol w:w="97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Directors may also appoint and remove any person, who need not be a Director:</w:t>
            </w:r>
          </w:p>
        </w:tc>
      </w:tr>
    </w:tbl>
    <w:p>
      <w:pPr>
        <w:pStyle w:val="TextBody"/>
        <w:bidi w:val="0"/>
        <w:spacing w:before="0" w:after="0"/>
        <w:ind w:left="0" w:right="0" w:hanging="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bidi w:val="0"/>
        <w:spacing w:before="0" w:after="0"/>
        <w:ind w:left="1418" w:right="0" w:hanging="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applicable laws, including the applicable federal securities laws of the United States, 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bidi w:val="0"/>
        <w:spacing w:before="0" w:after="0"/>
        <w:ind w:left="1418"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or</w:t>
            </w:r>
          </w:p>
        </w:tc>
      </w:tr>
    </w:tbl>
    <w:p>
      <w:pPr>
        <w:pStyle w:val="TextBody"/>
        <w:bidi w:val="0"/>
        <w:spacing w:before="0" w:after="0"/>
        <w:ind w:left="1418"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245"/>
        <w:gridCol w:w="807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establish an audit committee, a compensation committee and a nominating and corporate governance committee if so required by the applicable Designated Stock Exchange Rules. Each of these committees shall be empowered to do all things necessary to exercise the rights of such committee set forth in these Articles. Each of the audit committee, compensation committee and nominating and corporate governance committee (if so established) shall be made up of such number of Independent Directors as required from time to time by the Designated Stock Exchange Rules or otherwise required by applicable law, subject to any exemptions permitted under the Designated Stock Exchange Rules and other applicable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0" w:right="0" w:hanging="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bidi w:val="0"/>
        <w:spacing w:before="0" w:after="0"/>
        <w:ind w:left="1418"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0" w:right="0" w:hanging="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bidi w:val="0"/>
        <w:spacing w:before="0" w:after="0"/>
        <w:ind w:left="1418"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bidi w:val="0"/>
        <w:spacing w:before="0" w:after="0"/>
        <w:ind w:left="1418"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bidi w:val="0"/>
        <w:spacing w:before="0" w:after="0"/>
        <w:ind w:left="1418"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395"/>
        <w:gridCol w:w="68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(2) unless the Directors fix some other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a chairman and one or more deputy chairman or chairmen and may at any time revoke any such appointment.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0" w:right="0" w:hanging="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bidi w:val="0"/>
        <w:spacing w:before="0" w:after="0"/>
        <w:ind w:left="1418" w:right="0" w:hanging="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bidi w:val="0"/>
        <w:spacing w:before="0" w:after="0"/>
        <w:ind w:left="1418"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500"/>
        <w:gridCol w:w="86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0" w:right="0" w:hanging="0"/>
        <w:jc w:val="left"/>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 December in each year and begin on 1 January in each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Designated Stock Exchange Rules, the Directors may appoint or remove an Auditor of the Company who shall hold office on such terms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395"/>
        <w:gridCol w:w="97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45"/>
        <w:gridCol w:w="113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inter se</w:t>
            </w:r>
            <w:r>
              <w:rPr>
                <w:rFonts w:ascii="Times New Roman;Times;Serif" w:hAnsi="Times New Roman;Times;Serif"/>
                <w:b w:val="false"/>
                <w:i w:val="false"/>
                <w:caps w:val="false"/>
                <w:smallCaps w:val="false"/>
                <w:sz w:val="20"/>
              </w:rPr>
              <w:t xml:space="preserve"> in respect of the dividend of transferors and transferees of any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45"/>
        <w:gridCol w:w="8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395"/>
        <w:gridCol w:w="8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in relation to the distinction between interim dividends and final dividends,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18"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1418" w:right="0" w:hanging="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bidi w:val="0"/>
        <w:spacing w:before="0" w:after="0"/>
        <w:ind w:left="1418" w:right="0" w:hanging="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1418" w:right="0" w:hanging="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4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Act.</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0" w:right="0" w:hanging="0"/>
        <w:jc w:val="left"/>
        <w:rPr>
          <w:caps w:val="false"/>
          <w:smallCaps w:val="false"/>
        </w:rPr>
      </w:pPr>
      <w:r>
        <w:rPr>
          <w:caps w:val="false"/>
          <w:smallCaps w:val="false"/>
        </w:rPr>
        <w:t> </w:t>
      </w:r>
    </w:p>
    <w:tbl>
      <w:tblPr>
        <w:tblW w:w="640" w:type="dxa"/>
        <w:jc w:val="left"/>
        <w:tblInd w:w="0" w:type="dxa"/>
        <w:tblLayout w:type="fixed"/>
        <w:tblCellMar>
          <w:top w:w="0" w:type="dxa"/>
          <w:left w:w="0" w:type="dxa"/>
          <w:bottom w:w="0" w:type="dxa"/>
          <w:right w:w="0" w:type="dxa"/>
        </w:tblCellMar>
      </w:tblPr>
      <w:tblGrid>
        <w:gridCol w:w="245"/>
        <w:gridCol w:w="3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95"/>
        <w:gridCol w:w="4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18"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18" w:right="0" w:hanging="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1418" w:right="0" w:hanging="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3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Act.</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95"/>
        <w:gridCol w:w="5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 fraud, wilful default and wilful neglect.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 fraud, wilful default and wilful neglect.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pay, or agree to pay, a premium in respect of a contract insuring each of the following persons against risks determined by the Directors, other than liability arising out of that person’s own dishonesty, fraud, wilful default and wilful neglect:</w:t>
            </w:r>
          </w:p>
        </w:tc>
      </w:tr>
    </w:tbl>
    <w:p>
      <w:pPr>
        <w:pStyle w:val="TextBody"/>
        <w:bidi w:val="0"/>
        <w:spacing w:before="0" w:after="0"/>
        <w:ind w:left="0" w:right="0" w:hanging="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1418" w:right="0" w:hanging="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1418" w:right="0" w:hanging="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245"/>
        <w:gridCol w:w="6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any notice to be given to or by any person pursuant to these Articles shall be:</w:t>
            </w:r>
          </w:p>
        </w:tc>
      </w:tr>
    </w:tbl>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18" w:right="0" w:hanging="72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0" w:right="0" w:hanging="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3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 or otherwise accept the notice;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or Officer provides the giver of the notice an electronic address to which the notice may be sent and a notice is sent to that address within a reasonable period of time.</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provided the giver of the notice with an Electronic address to which notice may be 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bidi w:val="0"/>
        <w:spacing w:before="0" w:after="0"/>
        <w:ind w:left="1418" w:right="0" w:hanging="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4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418"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0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bidi w:val="0"/>
        <w:spacing w:before="0" w:after="0"/>
        <w:ind w:left="2126" w:right="0" w:hanging="708"/>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bidi w:val="0"/>
        <w:spacing w:before="0" w:after="0"/>
        <w:ind w:left="2126" w:right="0" w:hanging="708"/>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00"/>
        <w:gridCol w:w="52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500"/>
        <w:gridCol w:w="50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4272"/>
        <w:gridCol w:w="60"/>
        <w:gridCol w:w="5873"/>
      </w:tblGrid>
      <w:tr>
        <w:trPr/>
        <w:tc>
          <w:tcPr>
            <w:tcW w:w="427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60" w:type="dxa"/>
            <w:tcBorders/>
            <w:tcMar>
              <w:bottom w:w="0" w:type="dxa"/>
            </w:tcMar>
            <w:vAlign w:val="center"/>
          </w:tcPr>
          <w:p>
            <w:pPr>
              <w:pStyle w:val="TableContents"/>
              <w:bidi w:val="0"/>
              <w:spacing w:before="0" w:after="283"/>
              <w:jc w:val="left"/>
              <w:rPr/>
            </w:pPr>
            <w:r>
              <w:rPr/>
              <w:t> </w:t>
            </w:r>
          </w:p>
        </w:tc>
        <w:tc>
          <w:tcPr>
            <w:tcW w:w="587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45"/>
        <w:gridCol w:w="315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Electronic Records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one or more of those Members;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18"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18"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0" w:right="0" w:hanging="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1418" w:right="0" w:hanging="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1418"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1418"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0"/>
        <w:ind w:left="141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95"/>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45"/>
        <w:gridCol w:w="35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Memorandum and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by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as provided in these Articles, the Company may, by Special Resolution, amend these Articles in whole or in part.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2024 OMNIBUS INCENTIVE PLAN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shareholders resolution passed on _________ __,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General.</w:t>
      </w:r>
    </w:p>
    <w:p>
      <w:pPr>
        <w:pStyle w:val="TextBody"/>
        <w:bidi w:val="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Plan is the Diginex Limited 2024 Omnibus Incentive Plan (the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The Plan intends to:</w:t>
      </w:r>
    </w:p>
    <w:p>
      <w:pPr>
        <w:pStyle w:val="TextBody"/>
        <w:bidi w:val="0"/>
        <w:ind w:left="58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encourage the profitability and growth of the Company through short-term and long-term incentives that are consistent with the Company’s objectives;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give Participants an incentive for individual performance;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promote teamwork among Participants;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give the Company an advantage in attracting and retaining key Employees, Directors, and Consultants. To accomplish such purposes, the Plan provides that the Company may grant Options, Share Appreciation Rights, Restricted Shares, Restricted Share Units, Performance-Based Awards (including performance-based Restricted Shares and Restricted Share Units), Other Share-Based Awards, Other Cash-Based Awards or any combination of the foregoing.</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THE CONTENTS OF THIS PLAN HAVE NOT BEEN REVIEWED BY ANY REGUALTORY AUTHORITY. YOU ARE ADVISED TO EXERCISE CAUTION IN RELATION TO THE OFFER. IF YOU ARE IN ANY DOUBT ABOUT ANY OF THE CONTENTS OF THIS PLAN, YOU SHOULD OBTAIN INDEPENDENT PROFESSIONAL ADVICE.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Definitions.</w:t>
      </w:r>
    </w:p>
    <w:p>
      <w:pPr>
        <w:pStyle w:val="TextBody"/>
        <w:bidi w:val="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Plan, the following terms shall be defined as set forth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both"/>
              <w:rPr/>
            </w:pPr>
            <w:r>
              <w:rPr/>
              <w:t>“</w:t>
            </w:r>
            <w:r>
              <w:rPr>
                <w:rFonts w:ascii="Times New Roman;Times;Serif" w:hAnsi="Times New Roman;Times;Serif"/>
                <w:i/>
                <w:sz w:val="20"/>
              </w:rPr>
              <w:t>Administrator</w:t>
            </w:r>
            <w:r>
              <w:rPr>
                <w:rFonts w:ascii="Times New Roman;Times;Serif" w:hAnsi="Times New Roman;Times;Serif"/>
                <w:sz w:val="20"/>
              </w:rPr>
              <w:t>” means the Board, or, if and to the extent the Board does not administer the Plan, the Committee appointed by the Board to administer the Plan in accordance with Section 3 of the Plan.</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3" w:type="dxa"/>
            <w:tcBorders/>
            <w:vAlign w:val="center"/>
          </w:tcPr>
          <w:p>
            <w:pPr>
              <w:pStyle w:val="TableContents"/>
              <w:bidi w:val="0"/>
              <w:spacing w:before="0" w:after="283"/>
              <w:jc w:val="both"/>
              <w:rPr/>
            </w:pPr>
            <w:r>
              <w:rPr/>
              <w:t>“</w:t>
            </w:r>
            <w:r>
              <w:rPr>
                <w:rFonts w:ascii="Times New Roman;Times;Serif" w:hAnsi="Times New Roman;Times;Serif"/>
                <w:i/>
                <w:sz w:val="20"/>
              </w:rPr>
              <w:t>Affiliate</w:t>
            </w:r>
            <w:r>
              <w:rPr>
                <w:rFonts w:ascii="Times New Roman;Times;Serif" w:hAnsi="Times New Roman;Times;Serif"/>
                <w:sz w:val="20"/>
              </w:rPr>
              <w:t>” means a Person that directly, or indirectly through one or more intermediaries, controls, or is controlled by, or is under common control with, the Person specified. An entity shall be deemed an Affiliate of the Company for purposes of this definition only for such periods as the requisite ownership or control relationship is maintained.</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3" w:type="dxa"/>
            <w:tcBorders/>
            <w:vAlign w:val="center"/>
          </w:tcPr>
          <w:p>
            <w:pPr>
              <w:pStyle w:val="TableContents"/>
              <w:bidi w:val="0"/>
              <w:spacing w:before="0" w:after="283"/>
              <w:jc w:val="both"/>
              <w:rPr/>
            </w:pPr>
            <w:r>
              <w:rPr/>
              <w:t>“</w:t>
            </w:r>
            <w:r>
              <w:rPr>
                <w:rFonts w:ascii="Times New Roman;Times;Serif" w:hAnsi="Times New Roman;Times;Serif"/>
                <w:i/>
                <w:sz w:val="20"/>
              </w:rPr>
              <w:t>Automatic Exercise Date</w:t>
            </w:r>
            <w:r>
              <w:rPr>
                <w:rFonts w:ascii="Times New Roman;Times;Serif" w:hAnsi="Times New Roman;Times;Serif"/>
                <w:sz w:val="20"/>
              </w:rPr>
              <w:t>” means, with respect to an Option or a Share Appreciation Right, the last business day of the applicable term of the Option or such right pursuant to Section 7(c) or the Share Appreciation Right pursuant to Section 8(g).</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3" w:type="dxa"/>
            <w:tcBorders/>
            <w:vAlign w:val="center"/>
          </w:tcPr>
          <w:p>
            <w:pPr>
              <w:pStyle w:val="TableContents"/>
              <w:bidi w:val="0"/>
              <w:spacing w:before="0" w:after="283"/>
              <w:jc w:val="both"/>
              <w:rPr/>
            </w:pPr>
            <w:r>
              <w:rPr/>
              <w:t>“</w:t>
            </w:r>
            <w:r>
              <w:rPr>
                <w:rFonts w:ascii="Times New Roman;Times;Serif" w:hAnsi="Times New Roman;Times;Serif"/>
                <w:i/>
                <w:sz w:val="20"/>
              </w:rPr>
              <w:t>Award</w:t>
            </w:r>
            <w:r>
              <w:rPr>
                <w:rFonts w:ascii="Times New Roman;Times;Serif" w:hAnsi="Times New Roman;Times;Serif"/>
                <w:sz w:val="20"/>
              </w:rPr>
              <w:t>” means any Option, Share Appreciation Right, Restricted Share, Restricted Share Unit, Performance-Based Award, Other Share-Based Award, or Other Cash-Based Award granted under the Plan.</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93" w:type="dxa"/>
            <w:tcBorders/>
            <w:vAlign w:val="center"/>
          </w:tcPr>
          <w:p>
            <w:pPr>
              <w:pStyle w:val="TableContents"/>
              <w:bidi w:val="0"/>
              <w:spacing w:before="0" w:after="283"/>
              <w:jc w:val="both"/>
              <w:rPr/>
            </w:pPr>
            <w:r>
              <w:rPr/>
              <w:t>“</w:t>
            </w:r>
            <w:r>
              <w:rPr>
                <w:rFonts w:ascii="Times New Roman;Times;Serif" w:hAnsi="Times New Roman;Times;Serif"/>
                <w:i/>
                <w:sz w:val="20"/>
              </w:rPr>
              <w:t>Award Agreement</w:t>
            </w:r>
            <w:r>
              <w:rPr>
                <w:rFonts w:ascii="Times New Roman;Times;Serif" w:hAnsi="Times New Roman;Times;Serif"/>
                <w:sz w:val="20"/>
              </w:rPr>
              <w:t>” means any agreement, contract, or other instrument or document evidencing an Award. Evidence of an Award may be in written or electronic form, may be limited to notation on the books and records of the Company and, with the approval of the Administrator. Any Shares that become deliverable to the Participant pursuant to the Plan will be registered in the register of members or listed share register of the Company in the name of the Participant and may be issued in certificate form in the name of the Participant.</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93" w:type="dxa"/>
            <w:tcBorders/>
            <w:vAlign w:val="center"/>
          </w:tcPr>
          <w:p>
            <w:pPr>
              <w:pStyle w:val="TableContents"/>
              <w:bidi w:val="0"/>
              <w:spacing w:before="0" w:after="283"/>
              <w:jc w:val="left"/>
              <w:rPr/>
            </w:pPr>
            <w:r>
              <w:rPr/>
              <w:t>“</w:t>
            </w:r>
            <w:r>
              <w:rPr>
                <w:rFonts w:ascii="Times New Roman;Times;Serif" w:hAnsi="Times New Roman;Times;Serif"/>
                <w:i/>
                <w:sz w:val="20"/>
              </w:rPr>
              <w:t>Bylaws</w:t>
            </w:r>
            <w:r>
              <w:rPr>
                <w:rFonts w:ascii="Times New Roman;Times;Serif" w:hAnsi="Times New Roman;Times;Serif"/>
                <w:sz w:val="20"/>
              </w:rPr>
              <w:t>” means the memorandum and articles of association of the Company, as may be amended and/or restated from time to time.</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93" w:type="dxa"/>
            <w:tcBorders/>
            <w:vAlign w:val="center"/>
          </w:tcPr>
          <w:p>
            <w:pPr>
              <w:pStyle w:val="TableContents"/>
              <w:bidi w:val="0"/>
              <w:spacing w:before="0" w:after="283"/>
              <w:jc w:val="both"/>
              <w:rPr/>
            </w:pPr>
            <w:r>
              <w:rPr/>
              <w:t>“</w:t>
            </w:r>
            <w:r>
              <w:rPr>
                <w:rFonts w:ascii="Times New Roman;Times;Serif" w:hAnsi="Times New Roman;Times;Serif"/>
                <w:i/>
                <w:sz w:val="20"/>
              </w:rPr>
              <w:t>Beneficial Owner</w:t>
            </w:r>
            <w:r>
              <w:rPr>
                <w:rFonts w:ascii="Times New Roman;Times;Serif" w:hAnsi="Times New Roman;Times;Serif"/>
                <w:sz w:val="20"/>
              </w:rPr>
              <w:t>” (or any variant thereof) has the meaning defined in Rule 13d-3 under the Exchange Act.</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93" w:type="dxa"/>
            <w:tcBorders/>
            <w:vAlign w:val="center"/>
          </w:tcPr>
          <w:p>
            <w:pPr>
              <w:pStyle w:val="TableContents"/>
              <w:bidi w:val="0"/>
              <w:spacing w:before="0" w:after="283"/>
              <w:jc w:val="left"/>
              <w:rPr/>
            </w:pPr>
            <w:r>
              <w:rPr/>
              <w:t>“</w:t>
            </w:r>
            <w:r>
              <w:rPr>
                <w:rFonts w:ascii="Times New Roman;Times;Serif" w:hAnsi="Times New Roman;Times;Serif"/>
                <w:i/>
                <w:sz w:val="20"/>
              </w:rPr>
              <w:t>Board</w:t>
            </w:r>
            <w:r>
              <w:rPr>
                <w:rFonts w:ascii="Times New Roman;Times;Serif" w:hAnsi="Times New Roman;Times;Serif"/>
                <w:sz w:val="20"/>
              </w:rPr>
              <w:t>” means the board of Directors.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8" w:type="dxa"/>
            <w:tcBorders/>
            <w:vAlign w:val="center"/>
          </w:tcPr>
          <w:p>
            <w:pPr>
              <w:pStyle w:val="TableContents"/>
              <w:bidi w:val="0"/>
              <w:spacing w:before="0" w:after="283"/>
              <w:jc w:val="both"/>
              <w:rPr/>
            </w:pPr>
            <w:r>
              <w:rPr/>
              <w:t>“</w:t>
            </w:r>
            <w:r>
              <w:rPr>
                <w:rFonts w:ascii="Times New Roman;Times;Serif" w:hAnsi="Times New Roman;Times;Serif"/>
                <w:i/>
                <w:sz w:val="20"/>
              </w:rPr>
              <w:t>Cause</w:t>
            </w:r>
            <w:r>
              <w:rPr>
                <w:rFonts w:ascii="Times New Roman;Times;Serif" w:hAnsi="Times New Roman;Times;Serif"/>
                <w:sz w:val="20"/>
              </w:rPr>
              <w:t>” shall have the meaning assigned to such term in any Company or Affiliate employment, severance, or similar agreement or Award Agreement with the Participant or, if no such agreement exists or the agreement does not define “Cause,” Cause means (i) any conduct, action or behavior by a Participant, whether or not in connection with the Participant’s employment, including, without limitation, the commission of any felony or a lesser crime involving dishonesty, fraud, misappropriation, theft, wrongful taking of property, embezzlement, bribery, forgery, extortion or other crime of moral turpitude, that has or may reasonably be expected to have a material adverse effect on the reputation or business of the Company, its Subsidiaries and Affiliates or which results in gain or personal enrichment of the Participant to the detriment of the Company, its Subsidiaries and Affiliates; (</w:t>
            </w:r>
            <w:r>
              <w:rPr>
                <w:rFonts w:ascii="Times New Roman;Times;Serif" w:hAnsi="Times New Roman;Times;Serif"/>
                <w:i/>
                <w:sz w:val="20"/>
              </w:rPr>
              <w:t>ii</w:t>
            </w:r>
            <w:r>
              <w:rPr>
                <w:rFonts w:ascii="Times New Roman;Times;Serif" w:hAnsi="Times New Roman;Times;Serif"/>
                <w:sz w:val="20"/>
              </w:rPr>
              <w:t>) a governmental authority has prohibited the Participant from working or being affiliated with the Company, its Subsidiaries and Affiliates or the business conducted thereby; (</w:t>
            </w:r>
            <w:r>
              <w:rPr>
                <w:rFonts w:ascii="Times New Roman;Times;Serif" w:hAnsi="Times New Roman;Times;Serif"/>
                <w:i/>
                <w:sz w:val="20"/>
              </w:rPr>
              <w:t>iii</w:t>
            </w:r>
            <w:r>
              <w:rPr>
                <w:rFonts w:ascii="Times New Roman;Times;Serif" w:hAnsi="Times New Roman;Times;Serif"/>
                <w:sz w:val="20"/>
              </w:rPr>
              <w:t>) the commission of any act by the Participant of gross negligence or malfeasance, or any willful violation of law, in each case, in connection with the Participant’s performance of his or her duties with the Company or any Affiliate thereof; (</w:t>
            </w:r>
            <w:r>
              <w:rPr>
                <w:rFonts w:ascii="Times New Roman;Times;Serif" w:hAnsi="Times New Roman;Times;Serif"/>
                <w:i/>
                <w:sz w:val="20"/>
              </w:rPr>
              <w:t>iv</w:t>
            </w:r>
            <w:r>
              <w:rPr>
                <w:rFonts w:ascii="Times New Roman;Times;Serif" w:hAnsi="Times New Roman;Times;Serif"/>
                <w:sz w:val="20"/>
              </w:rPr>
              <w:t>) performance of the Participant’s duties in an unsatisfactory manner after a written warning and a ten (10) day opportunity to cure or failure to observe material policies generally applicable to employees after a written warning and a ten (10) day opportunity to cure; (</w:t>
            </w:r>
            <w:r>
              <w:rPr>
                <w:rFonts w:ascii="Times New Roman;Times;Serif" w:hAnsi="Times New Roman;Times;Serif"/>
                <w:i/>
                <w:sz w:val="20"/>
              </w:rPr>
              <w:t>v</w:t>
            </w:r>
            <w:r>
              <w:rPr>
                <w:rFonts w:ascii="Times New Roman;Times;Serif" w:hAnsi="Times New Roman;Times;Serif"/>
                <w:sz w:val="20"/>
              </w:rPr>
              <w:t>) a breach of the Participant’s fiduciary duty to the Company which constitutes a willful failure to deal fairly with the Company or its shareholders in connection with a transaction in which the Participant has a material undisclosed personal conflict of interest; (</w:t>
            </w:r>
            <w:r>
              <w:rPr>
                <w:rFonts w:ascii="Times New Roman;Times;Serif" w:hAnsi="Times New Roman;Times;Serif"/>
                <w:i/>
                <w:sz w:val="20"/>
              </w:rPr>
              <w:t>vi</w:t>
            </w:r>
            <w:r>
              <w:rPr>
                <w:rFonts w:ascii="Times New Roman;Times;Serif" w:hAnsi="Times New Roman;Times;Serif"/>
                <w:sz w:val="20"/>
              </w:rPr>
              <w:t>) the Participant’s chronic absenteeism (</w:t>
            </w:r>
            <w:r>
              <w:rPr>
                <w:rFonts w:ascii="Times New Roman;Times;Serif" w:hAnsi="Times New Roman;Times;Serif"/>
                <w:i/>
                <w:sz w:val="20"/>
              </w:rPr>
              <w:t>i.e</w:t>
            </w:r>
            <w:r>
              <w:rPr>
                <w:rFonts w:ascii="Times New Roman;Times;Serif" w:hAnsi="Times New Roman;Times;Serif"/>
                <w:sz w:val="20"/>
              </w:rPr>
              <w:t>., the Participant’s absence of ten percent (10%) or more of total work-days in a calendar year; (</w:t>
            </w:r>
            <w:r>
              <w:rPr>
                <w:rFonts w:ascii="Times New Roman;Times;Serif" w:hAnsi="Times New Roman;Times;Serif"/>
                <w:i/>
                <w:sz w:val="20"/>
              </w:rPr>
              <w:t>vii</w:t>
            </w:r>
            <w:r>
              <w:rPr>
                <w:rFonts w:ascii="Times New Roman;Times;Serif" w:hAnsi="Times New Roman;Times;Serif"/>
                <w:sz w:val="20"/>
              </w:rPr>
              <w:t>) the Participant’s substance abuse, illegal drug use, or habitual insobriety; or (</w:t>
            </w:r>
            <w:r>
              <w:rPr>
                <w:rFonts w:ascii="Times New Roman;Times;Serif" w:hAnsi="Times New Roman;Times;Serif"/>
                <w:i/>
                <w:sz w:val="20"/>
              </w:rPr>
              <w:t>viii</w:t>
            </w:r>
            <w:r>
              <w:rPr>
                <w:rFonts w:ascii="Times New Roman;Times;Serif" w:hAnsi="Times New Roman;Times;Serif"/>
                <w:sz w:val="20"/>
              </w:rPr>
              <w:t>) the Participant’s violation of obligations of confidentiality to any third party in the course of providing services to the Company, its Subsidiaries and Affiliates.</w:t>
            </w:r>
          </w:p>
        </w:tc>
      </w:tr>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95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58" w:type="dxa"/>
            <w:tcBorders/>
            <w:vAlign w:val="center"/>
          </w:tcPr>
          <w:p>
            <w:pPr>
              <w:pStyle w:val="TableContents"/>
              <w:bidi w:val="0"/>
              <w:spacing w:before="0" w:after="283"/>
              <w:jc w:val="both"/>
              <w:rPr/>
            </w:pPr>
            <w:r>
              <w:rPr/>
              <w:t>“</w:t>
            </w:r>
            <w:r>
              <w:rPr>
                <w:rFonts w:ascii="Times New Roman;Times;Serif" w:hAnsi="Times New Roman;Times;Serif"/>
                <w:i/>
                <w:sz w:val="20"/>
              </w:rPr>
              <w:t>Change in Capitalization</w:t>
            </w:r>
            <w:r>
              <w:rPr>
                <w:rFonts w:ascii="Times New Roman;Times;Serif" w:hAnsi="Times New Roman;Times;Serif"/>
                <w:sz w:val="20"/>
              </w:rPr>
              <w:t>” means any (</w:t>
            </w:r>
            <w:r>
              <w:rPr>
                <w:rFonts w:ascii="Times New Roman;Times;Serif" w:hAnsi="Times New Roman;Times;Serif"/>
                <w:i/>
                <w:sz w:val="20"/>
              </w:rPr>
              <w:t>i</w:t>
            </w:r>
            <w:r>
              <w:rPr>
                <w:rFonts w:ascii="Times New Roman;Times;Serif" w:hAnsi="Times New Roman;Times;Serif"/>
                <w:sz w:val="20"/>
              </w:rPr>
              <w:t>) merger, consolidation, reclassification, recapitalization, spin- off, spin-out, repurchase or other reorganization or corporate transaction or event, (</w:t>
            </w:r>
            <w:r>
              <w:rPr>
                <w:rFonts w:ascii="Times New Roman;Times;Serif" w:hAnsi="Times New Roman;Times;Serif"/>
                <w:i/>
                <w:sz w:val="20"/>
              </w:rPr>
              <w:t>ii</w:t>
            </w:r>
            <w:r>
              <w:rPr>
                <w:rFonts w:ascii="Times New Roman;Times;Serif" w:hAnsi="Times New Roman;Times;Serif"/>
                <w:sz w:val="20"/>
              </w:rPr>
              <w:t>) dividend (whether in the form of cash, Ordinary Shares or other property), share split or reverse share split, (</w:t>
            </w:r>
            <w:r>
              <w:rPr>
                <w:rFonts w:ascii="Times New Roman;Times;Serif" w:hAnsi="Times New Roman;Times;Serif"/>
                <w:i/>
                <w:sz w:val="20"/>
              </w:rPr>
              <w:t>iii</w:t>
            </w:r>
            <w:r>
              <w:rPr>
                <w:rFonts w:ascii="Times New Roman;Times;Serif" w:hAnsi="Times New Roman;Times;Serif"/>
                <w:sz w:val="20"/>
              </w:rPr>
              <w:t>) combination or exchange of shares, (</w:t>
            </w:r>
            <w:r>
              <w:rPr>
                <w:rFonts w:ascii="Times New Roman;Times;Serif" w:hAnsi="Times New Roman;Times;Serif"/>
                <w:i/>
                <w:sz w:val="20"/>
              </w:rPr>
              <w:t>iv</w:t>
            </w:r>
            <w:r>
              <w:rPr>
                <w:rFonts w:ascii="Times New Roman;Times;Serif" w:hAnsi="Times New Roman;Times;Serif"/>
                <w:sz w:val="20"/>
              </w:rPr>
              <w:t>) other change in corporate structure, or (</w:t>
            </w:r>
            <w:r>
              <w:rPr>
                <w:rFonts w:ascii="Times New Roman;Times;Serif" w:hAnsi="Times New Roman;Times;Serif"/>
                <w:i/>
                <w:sz w:val="20"/>
              </w:rPr>
              <w:t>v</w:t>
            </w:r>
            <w:r>
              <w:rPr>
                <w:rFonts w:ascii="Times New Roman;Times;Serif" w:hAnsi="Times New Roman;Times;Serif"/>
                <w:sz w:val="20"/>
              </w:rPr>
              <w:t>) payment of any other distribution, which, in any such case, the Administrator determines, in its sole discretion, affects the Shares such that an adjustment pursuant to Section 5 of the Plan is appropriate.</w:t>
            </w:r>
          </w:p>
        </w:tc>
      </w:tr>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95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958" w:type="dxa"/>
            <w:tcBorders/>
            <w:vAlign w:val="center"/>
          </w:tcPr>
          <w:p>
            <w:pPr>
              <w:pStyle w:val="TableContents"/>
              <w:bidi w:val="0"/>
              <w:spacing w:before="0" w:after="283"/>
              <w:jc w:val="both"/>
              <w:rPr/>
            </w:pPr>
            <w:r>
              <w:rPr/>
              <w:t>“</w:t>
            </w:r>
            <w:r>
              <w:rPr>
                <w:rFonts w:ascii="Times New Roman;Times;Serif" w:hAnsi="Times New Roman;Times;Serif"/>
                <w:i/>
                <w:sz w:val="20"/>
              </w:rPr>
              <w:t>Committee</w:t>
            </w:r>
            <w:r>
              <w:rPr>
                <w:rFonts w:ascii="Times New Roman;Times;Serif" w:hAnsi="Times New Roman;Times;Serif"/>
                <w:sz w:val="20"/>
              </w:rPr>
              <w:t>” means any committee or subcommittee the Board may appoint to administer the Plan. Subject to the discretion of the Board, the Committee shall be composed entirely of individuals who meet the qualifications of a “non-employee director” within the meaning of Rule 16b-3 under the Exchange Act and any other qualifications required by the applicable stock/share exchange on which the Ordinary Shares are traded. If at any time or to any extent the Board shall not administer the Plan, then the functions of the Administrator specified in the Plan shall be exercised by the Committee. Except as otherwise provided in the Bylaws, or any charter establishing the Committee, any action of the Committee with respect to the administration of the Plan shall be taken by a majority vote at a meeting at which a quorum is duly constituted or unanimous written consent of the Committee’s members.</w:t>
            </w:r>
          </w:p>
        </w:tc>
      </w:tr>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95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958" w:type="dxa"/>
            <w:tcBorders/>
            <w:vAlign w:val="center"/>
          </w:tcPr>
          <w:p>
            <w:pPr>
              <w:pStyle w:val="TableContents"/>
              <w:bidi w:val="0"/>
              <w:spacing w:before="0" w:after="283"/>
              <w:jc w:val="both"/>
              <w:rPr/>
            </w:pPr>
            <w:r>
              <w:rPr/>
              <w:t>“</w:t>
            </w:r>
            <w:r>
              <w:rPr>
                <w:rFonts w:ascii="Times New Roman;Times;Serif" w:hAnsi="Times New Roman;Times;Serif"/>
                <w:i/>
                <w:sz w:val="20"/>
              </w:rPr>
              <w:t>Company</w:t>
            </w:r>
            <w:r>
              <w:rPr>
                <w:rFonts w:ascii="Times New Roman;Times;Serif" w:hAnsi="Times New Roman;Times;Serif"/>
                <w:sz w:val="20"/>
              </w:rPr>
              <w:t>” means Diginex Limited, an exempted company incorporated in the Cayman Islands with limited liability.</w:t>
            </w:r>
          </w:p>
        </w:tc>
      </w:tr>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95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958" w:type="dxa"/>
            <w:tcBorders/>
            <w:vAlign w:val="center"/>
          </w:tcPr>
          <w:p>
            <w:pPr>
              <w:pStyle w:val="TableContents"/>
              <w:bidi w:val="0"/>
              <w:spacing w:before="0" w:after="283"/>
              <w:jc w:val="both"/>
              <w:rPr/>
            </w:pPr>
            <w:r>
              <w:rPr/>
              <w:t>“</w:t>
            </w:r>
            <w:r>
              <w:rPr>
                <w:rFonts w:ascii="Times New Roman;Times;Serif" w:hAnsi="Times New Roman;Times;Serif"/>
                <w:i/>
                <w:sz w:val="20"/>
              </w:rPr>
              <w:t xml:space="preserve">Consultant” </w:t>
            </w:r>
            <w:r>
              <w:rPr>
                <w:rFonts w:ascii="Times New Roman;Times;Serif" w:hAnsi="Times New Roman;Times;Serif"/>
                <w:sz w:val="20"/>
              </w:rPr>
              <w:t>means any consultant or independent contractor of the Company or an Affiliate thereof, in each case, who is not an Employee, Executive Officer, or non-employee Director.</w:t>
            </w:r>
          </w:p>
        </w:tc>
      </w:tr>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95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9958" w:type="dxa"/>
            <w:tcBorders/>
            <w:vAlign w:val="center"/>
          </w:tcPr>
          <w:p>
            <w:pPr>
              <w:pStyle w:val="TableContents"/>
              <w:bidi w:val="0"/>
              <w:spacing w:before="0" w:after="283"/>
              <w:jc w:val="both"/>
              <w:rPr/>
            </w:pPr>
            <w:r>
              <w:rPr/>
              <w:t>“</w:t>
            </w:r>
            <w:r>
              <w:rPr>
                <w:rFonts w:ascii="Times New Roman;Times;Serif" w:hAnsi="Times New Roman;Times;Serif"/>
                <w:i/>
                <w:sz w:val="20"/>
              </w:rPr>
              <w:t>Disability</w:t>
            </w:r>
            <w:r>
              <w:rPr>
                <w:rFonts w:ascii="Times New Roman;Times;Serif" w:hAnsi="Times New Roman;Times;Serif"/>
                <w:sz w:val="20"/>
              </w:rPr>
              <w:t>” shall have the meaning assigned to such term in any individual employment, severance or similar agreement or Award Agreement with the Participant or, if no such agreement exists or the agreement does not define “Disability,” Disability means, with respect to any Participant, that such Participant (</w:t>
            </w:r>
            <w:r>
              <w:rPr>
                <w:rFonts w:ascii="Times New Roman;Times;Serif" w:hAnsi="Times New Roman;Times;Serif"/>
                <w:i/>
                <w:sz w:val="20"/>
              </w:rPr>
              <w:t>i</w:t>
            </w:r>
            <w:r>
              <w:rPr>
                <w:rFonts w:ascii="Times New Roman;Times;Serif" w:hAnsi="Times New Roman;Times;Serif"/>
                <w:sz w:val="20"/>
              </w:rPr>
              <w:t>) is unable to engage in any substantial gainful activity by reason of any medically determinable physical or mental impairment which can be expected to result in death or can be expected to last for a continuous period of not less than twelve (12) months, or (</w:t>
            </w:r>
            <w:r>
              <w:rPr>
                <w:rFonts w:ascii="Times New Roman;Times;Serif" w:hAnsi="Times New Roman;Times;Serif"/>
                <w:i/>
                <w:sz w:val="20"/>
              </w:rPr>
              <w:t>ii</w:t>
            </w:r>
            <w:r>
              <w:rPr>
                <w:rFonts w:ascii="Times New Roman;Times;Serif" w:hAnsi="Times New Roman;Times;Serif"/>
                <w:sz w:val="20"/>
              </w:rPr>
              <w:t>)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tc>
      </w:tr>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95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958" w:type="dxa"/>
            <w:tcBorders/>
            <w:vAlign w:val="center"/>
          </w:tcPr>
          <w:p>
            <w:pPr>
              <w:pStyle w:val="TableContents"/>
              <w:bidi w:val="0"/>
              <w:spacing w:before="0" w:after="283"/>
              <w:jc w:val="left"/>
              <w:rPr/>
            </w:pPr>
            <w:r>
              <w:rPr/>
              <w:t>“</w:t>
            </w:r>
            <w:r>
              <w:rPr>
                <w:rFonts w:ascii="Times New Roman;Times;Serif" w:hAnsi="Times New Roman;Times;Serif"/>
                <w:i/>
                <w:sz w:val="20"/>
              </w:rPr>
              <w:t>Director</w:t>
            </w:r>
            <w:r>
              <w:rPr>
                <w:rFonts w:ascii="Times New Roman;Times;Serif" w:hAnsi="Times New Roman;Times;Serif"/>
                <w:sz w:val="20"/>
              </w:rPr>
              <w:t>” means any director of the Company on or after the Effective Date.</w:t>
            </w:r>
          </w:p>
        </w:tc>
      </w:tr>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95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9958" w:type="dxa"/>
            <w:tcBorders/>
            <w:vAlign w:val="center"/>
          </w:tcPr>
          <w:p>
            <w:pPr>
              <w:pStyle w:val="TableContents"/>
              <w:bidi w:val="0"/>
              <w:spacing w:before="0" w:after="283"/>
              <w:jc w:val="left"/>
              <w:rPr/>
            </w:pPr>
            <w:r>
              <w:rPr/>
              <w:t>“</w:t>
            </w:r>
            <w:r>
              <w:rPr>
                <w:rFonts w:ascii="Times New Roman;Times;Serif" w:hAnsi="Times New Roman;Times;Serif"/>
                <w:i/>
                <w:sz w:val="20"/>
              </w:rPr>
              <w:t>Effective Date</w:t>
            </w:r>
            <w:r>
              <w:rPr>
                <w:rFonts w:ascii="Times New Roman;Times;Serif" w:hAnsi="Times New Roman;Times;Serif"/>
                <w:sz w:val="20"/>
              </w:rPr>
              <w:t>” shall have the meaning set forth in Section 17 of the Plan.</w:t>
            </w:r>
          </w:p>
        </w:tc>
      </w:tr>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95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w:t>
            </w:r>
          </w:p>
        </w:tc>
        <w:tc>
          <w:tcPr>
            <w:tcW w:w="9958" w:type="dxa"/>
            <w:tcBorders/>
            <w:vAlign w:val="center"/>
          </w:tcPr>
          <w:p>
            <w:pPr>
              <w:pStyle w:val="TableContents"/>
              <w:bidi w:val="0"/>
              <w:spacing w:before="0" w:after="283"/>
              <w:jc w:val="both"/>
              <w:rPr/>
            </w:pPr>
            <w:r>
              <w:rPr/>
              <w:t>“</w:t>
            </w:r>
            <w:r>
              <w:rPr>
                <w:rFonts w:ascii="Times New Roman;Times;Serif" w:hAnsi="Times New Roman;Times;Serif"/>
                <w:i/>
                <w:sz w:val="20"/>
              </w:rPr>
              <w:t>Eligible Recipient</w:t>
            </w:r>
            <w:r>
              <w:rPr>
                <w:rFonts w:ascii="Times New Roman;Times;Serif" w:hAnsi="Times New Roman;Times;Serif"/>
                <w:sz w:val="20"/>
              </w:rPr>
              <w:t>” means: (</w:t>
            </w:r>
            <w:r>
              <w:rPr>
                <w:rFonts w:ascii="Times New Roman;Times;Serif" w:hAnsi="Times New Roman;Times;Serif"/>
                <w:i/>
                <w:sz w:val="20"/>
              </w:rPr>
              <w:t>i</w:t>
            </w:r>
            <w:r>
              <w:rPr>
                <w:rFonts w:ascii="Times New Roman;Times;Serif" w:hAnsi="Times New Roman;Times;Serif"/>
                <w:sz w:val="20"/>
              </w:rPr>
              <w:t>) an Employee; (</w:t>
            </w:r>
            <w:r>
              <w:rPr>
                <w:rFonts w:ascii="Times New Roman;Times;Serif" w:hAnsi="Times New Roman;Times;Serif"/>
                <w:i/>
                <w:sz w:val="20"/>
              </w:rPr>
              <w:t>ii</w:t>
            </w:r>
            <w:r>
              <w:rPr>
                <w:rFonts w:ascii="Times New Roman;Times;Serif" w:hAnsi="Times New Roman;Times;Serif"/>
                <w:sz w:val="20"/>
              </w:rPr>
              <w:t>) a non-employee Director; or (</w:t>
            </w:r>
            <w:r>
              <w:rPr>
                <w:rFonts w:ascii="Times New Roman;Times;Serif" w:hAnsi="Times New Roman;Times;Serif"/>
                <w:i/>
                <w:sz w:val="20"/>
              </w:rPr>
              <w:t>iii</w:t>
            </w:r>
            <w:r>
              <w:rPr>
                <w:rFonts w:ascii="Times New Roman;Times;Serif" w:hAnsi="Times New Roman;Times;Serif"/>
                <w:sz w:val="20"/>
              </w:rPr>
              <w:t>) a Consultant, in each case, who has been selected as an Eligible Recipient under the Plan by the Administrator.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t>
            </w:r>
          </w:p>
        </w:tc>
        <w:tc>
          <w:tcPr>
            <w:tcW w:w="9898" w:type="dxa"/>
            <w:tcBorders/>
            <w:vAlign w:val="center"/>
          </w:tcPr>
          <w:p>
            <w:pPr>
              <w:pStyle w:val="TableContents"/>
              <w:bidi w:val="0"/>
              <w:spacing w:before="0" w:after="283"/>
              <w:jc w:val="both"/>
              <w:rPr/>
            </w:pPr>
            <w:r>
              <w:rPr/>
              <w:t>“</w:t>
            </w:r>
            <w:r>
              <w:rPr>
                <w:rFonts w:ascii="Times New Roman;Times;Serif" w:hAnsi="Times New Roman;Times;Serif"/>
                <w:i/>
                <w:sz w:val="20"/>
              </w:rPr>
              <w:t>Employee</w:t>
            </w:r>
            <w:r>
              <w:rPr>
                <w:rFonts w:ascii="Times New Roman;Times;Serif" w:hAnsi="Times New Roman;Times;Serif"/>
                <w:sz w:val="20"/>
              </w:rPr>
              <w:t>” shall mean an employee of the Company or an Affiliate thereof, including an Executive Officer or Director who is also treated as an employee.</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t>
            </w:r>
          </w:p>
        </w:tc>
        <w:tc>
          <w:tcPr>
            <w:tcW w:w="9898" w:type="dxa"/>
            <w:tcBorders/>
            <w:vAlign w:val="center"/>
          </w:tcPr>
          <w:p>
            <w:pPr>
              <w:pStyle w:val="TableContents"/>
              <w:bidi w:val="0"/>
              <w:spacing w:before="0" w:after="283"/>
              <w:jc w:val="both"/>
              <w:rPr/>
            </w:pPr>
            <w:r>
              <w:rPr/>
              <w:t>“</w:t>
            </w:r>
            <w:r>
              <w:rPr>
                <w:rFonts w:ascii="Times New Roman;Times;Serif" w:hAnsi="Times New Roman;Times;Serif"/>
                <w:i/>
                <w:sz w:val="20"/>
              </w:rPr>
              <w:t>Exchange Act</w:t>
            </w:r>
            <w:r>
              <w:rPr>
                <w:rFonts w:ascii="Times New Roman;Times;Serif" w:hAnsi="Times New Roman;Times;Serif"/>
                <w:sz w:val="20"/>
              </w:rPr>
              <w:t>” means the United States Securities Exchange Act of 1934, as amended from time to time.</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t>
            </w:r>
          </w:p>
        </w:tc>
        <w:tc>
          <w:tcPr>
            <w:tcW w:w="9898" w:type="dxa"/>
            <w:tcBorders/>
            <w:vAlign w:val="center"/>
          </w:tcPr>
          <w:p>
            <w:pPr>
              <w:pStyle w:val="TableContents"/>
              <w:bidi w:val="0"/>
              <w:spacing w:before="0" w:after="283"/>
              <w:jc w:val="both"/>
              <w:rPr/>
            </w:pPr>
            <w:r>
              <w:rPr/>
              <w:t>“</w:t>
            </w:r>
            <w:r>
              <w:rPr>
                <w:rFonts w:ascii="Times New Roman;Times;Serif" w:hAnsi="Times New Roman;Times;Serif"/>
                <w:i/>
                <w:sz w:val="20"/>
              </w:rPr>
              <w:t xml:space="preserve">Executive Officer” </w:t>
            </w:r>
            <w:r>
              <w:rPr>
                <w:rFonts w:ascii="Times New Roman;Times;Serif" w:hAnsi="Times New Roman;Times;Serif"/>
                <w:sz w:val="20"/>
              </w:rPr>
              <w:t>means each Participant who is an executive officer (within the meaning of Rule 3b-7 under the Exchange Act) of the Company.</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w:t>
            </w:r>
          </w:p>
        </w:tc>
        <w:tc>
          <w:tcPr>
            <w:tcW w:w="9898" w:type="dxa"/>
            <w:tcBorders/>
            <w:vAlign w:val="center"/>
          </w:tcPr>
          <w:p>
            <w:pPr>
              <w:pStyle w:val="TableContents"/>
              <w:bidi w:val="0"/>
              <w:spacing w:before="0" w:after="283"/>
              <w:jc w:val="both"/>
              <w:rPr/>
            </w:pPr>
            <w:r>
              <w:rPr/>
              <w:t>“</w:t>
            </w:r>
            <w:r>
              <w:rPr>
                <w:rFonts w:ascii="Times New Roman;Times;Serif" w:hAnsi="Times New Roman;Times;Serif"/>
                <w:i/>
                <w:sz w:val="20"/>
              </w:rPr>
              <w:t>Exercise Price</w:t>
            </w:r>
            <w:r>
              <w:rPr>
                <w:rFonts w:ascii="Times New Roman;Times;Serif" w:hAnsi="Times New Roman;Times;Serif"/>
                <w:sz w:val="20"/>
              </w:rPr>
              <w:t>” means, with respect to any Award under which the holder may purchase Shares, the price per share at which a holder of such Award granted hereunder may purchase Shares issuable upon exercise of such Award.</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898" w:type="dxa"/>
            <w:tcBorders/>
            <w:vAlign w:val="center"/>
          </w:tcPr>
          <w:p>
            <w:pPr>
              <w:pStyle w:val="TableContents"/>
              <w:bidi w:val="0"/>
              <w:spacing w:before="0" w:after="283"/>
              <w:jc w:val="both"/>
              <w:rPr/>
            </w:pPr>
            <w:r>
              <w:rPr/>
              <w:t>“</w:t>
            </w:r>
            <w:r>
              <w:rPr>
                <w:rFonts w:ascii="Times New Roman;Times;Serif" w:hAnsi="Times New Roman;Times;Serif"/>
                <w:i/>
                <w:sz w:val="20"/>
              </w:rPr>
              <w:t>Fair Market Value</w:t>
            </w:r>
            <w:r>
              <w:rPr>
                <w:rFonts w:ascii="Times New Roman;Times;Serif" w:hAnsi="Times New Roman;Times;Serif"/>
                <w:sz w:val="20"/>
              </w:rPr>
              <w:t>” as of a particular date shall mean: (</w:t>
            </w:r>
            <w:r>
              <w:rPr>
                <w:rFonts w:ascii="Times New Roman;Times;Serif" w:hAnsi="Times New Roman;Times;Serif"/>
                <w:i/>
                <w:sz w:val="20"/>
              </w:rPr>
              <w:t>i</w:t>
            </w:r>
            <w:r>
              <w:rPr>
                <w:rFonts w:ascii="Times New Roman;Times;Serif" w:hAnsi="Times New Roman;Times;Serif"/>
                <w:sz w:val="20"/>
              </w:rPr>
              <w:t>) if the Ordinary Shares are admitted to trading on a national securities exchange, the fair market value of a Share on any date shall be the closing sale price reported for such share on such exchange on such date or, if no sale was reported on such date, on the last day preceding such date on which a sale was reported; or (</w:t>
            </w:r>
            <w:r>
              <w:rPr>
                <w:rFonts w:ascii="Times New Roman;Times;Serif" w:hAnsi="Times New Roman;Times;Serif"/>
                <w:i/>
                <w:sz w:val="20"/>
              </w:rPr>
              <w:t>ii</w:t>
            </w:r>
            <w:r>
              <w:rPr>
                <w:rFonts w:ascii="Times New Roman;Times;Serif" w:hAnsi="Times New Roman;Times;Serif"/>
                <w:sz w:val="20"/>
              </w:rPr>
              <w:t>) if the Shares are not then listed on a national securities exchange or traded in an over-the-counter market or the value of such Shares is not otherwise determinable, such value as determined by the Committee in good faith (such determination to be conclusive and binding on all persons).</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t>
            </w:r>
          </w:p>
        </w:tc>
        <w:tc>
          <w:tcPr>
            <w:tcW w:w="9898" w:type="dxa"/>
            <w:tcBorders/>
            <w:vAlign w:val="center"/>
          </w:tcPr>
          <w:p>
            <w:pPr>
              <w:pStyle w:val="TableContents"/>
              <w:bidi w:val="0"/>
              <w:spacing w:before="0" w:after="283"/>
              <w:jc w:val="left"/>
              <w:rPr/>
            </w:pPr>
            <w:r>
              <w:rPr/>
              <w:t>“</w:t>
            </w:r>
            <w:r>
              <w:rPr>
                <w:rFonts w:ascii="Times New Roman;Times;Serif" w:hAnsi="Times New Roman;Times;Serif"/>
                <w:i/>
                <w:sz w:val="20"/>
              </w:rPr>
              <w:t>Free Standing Rights</w:t>
            </w:r>
            <w:r>
              <w:rPr>
                <w:rFonts w:ascii="Times New Roman;Times;Serif" w:hAnsi="Times New Roman;Times;Serif"/>
                <w:sz w:val="20"/>
              </w:rPr>
              <w:t>” shall have the meaning set forth in Section 8(a) of the Plan.</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898" w:type="dxa"/>
            <w:tcBorders/>
            <w:vAlign w:val="center"/>
          </w:tcPr>
          <w:p>
            <w:pPr>
              <w:pStyle w:val="TableContents"/>
              <w:bidi w:val="0"/>
              <w:spacing w:before="0" w:after="283"/>
              <w:jc w:val="left"/>
              <w:rPr/>
            </w:pPr>
            <w:r>
              <w:rPr/>
              <w:t>“</w:t>
            </w:r>
            <w:r>
              <w:rPr>
                <w:rFonts w:ascii="Times New Roman;Times;Serif" w:hAnsi="Times New Roman;Times;Serif"/>
                <w:i/>
                <w:sz w:val="20"/>
              </w:rPr>
              <w:t>Option</w:t>
            </w:r>
            <w:r>
              <w:rPr>
                <w:rFonts w:ascii="Times New Roman;Times;Serif" w:hAnsi="Times New Roman;Times;Serif"/>
                <w:sz w:val="20"/>
              </w:rPr>
              <w:t>” means an option to purchase Shares granted pursuant to Section 7 of the Plan.</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p>
        </w:tc>
        <w:tc>
          <w:tcPr>
            <w:tcW w:w="9898" w:type="dxa"/>
            <w:tcBorders/>
            <w:vAlign w:val="center"/>
          </w:tcPr>
          <w:p>
            <w:pPr>
              <w:pStyle w:val="TableContents"/>
              <w:bidi w:val="0"/>
              <w:spacing w:before="0" w:after="283"/>
              <w:jc w:val="left"/>
              <w:rPr/>
            </w:pPr>
            <w:r>
              <w:rPr/>
              <w:t>“</w:t>
            </w:r>
            <w:r>
              <w:rPr>
                <w:rFonts w:ascii="Times New Roman;Times;Serif" w:hAnsi="Times New Roman;Times;Serif"/>
                <w:i/>
                <w:sz w:val="20"/>
              </w:rPr>
              <w:t>Ordinary Shares</w:t>
            </w:r>
            <w:r>
              <w:rPr>
                <w:rFonts w:ascii="Times New Roman;Times;Serif" w:hAnsi="Times New Roman;Times;Serif"/>
                <w:sz w:val="20"/>
              </w:rPr>
              <w:t>” means the ordinary shares of par value US$0.004 each of the Company.</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w:t>
            </w:r>
          </w:p>
        </w:tc>
        <w:tc>
          <w:tcPr>
            <w:tcW w:w="9898" w:type="dxa"/>
            <w:tcBorders/>
            <w:vAlign w:val="center"/>
          </w:tcPr>
          <w:p>
            <w:pPr>
              <w:pStyle w:val="TableContents"/>
              <w:bidi w:val="0"/>
              <w:spacing w:before="0" w:after="283"/>
              <w:jc w:val="both"/>
              <w:rPr/>
            </w:pPr>
            <w:r>
              <w:rPr/>
              <w:t>“</w:t>
            </w:r>
            <w:r>
              <w:rPr>
                <w:rFonts w:ascii="Times New Roman;Times;Serif" w:hAnsi="Times New Roman;Times;Serif"/>
                <w:i/>
                <w:sz w:val="20"/>
              </w:rPr>
              <w:t>Other Cash-Based Award</w:t>
            </w:r>
            <w:r>
              <w:rPr>
                <w:rFonts w:ascii="Times New Roman;Times;Serif" w:hAnsi="Times New Roman;Times;Serif"/>
                <w:sz w:val="20"/>
              </w:rPr>
              <w:t>” means a cash Award granted to a Participant under Section 11 of the Plan, including cash awarded as a bonus or upon the attainment of Performance Goals or otherwise as permitted under the Plan.</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w:t>
            </w:r>
          </w:p>
        </w:tc>
        <w:tc>
          <w:tcPr>
            <w:tcW w:w="9898" w:type="dxa"/>
            <w:tcBorders/>
            <w:vAlign w:val="center"/>
          </w:tcPr>
          <w:p>
            <w:pPr>
              <w:pStyle w:val="TableContents"/>
              <w:bidi w:val="0"/>
              <w:spacing w:before="0" w:after="283"/>
              <w:jc w:val="both"/>
              <w:rPr/>
            </w:pPr>
            <w:r>
              <w:rPr/>
              <w:t>“</w:t>
            </w:r>
            <w:r>
              <w:rPr>
                <w:rFonts w:ascii="Times New Roman;Times;Serif" w:hAnsi="Times New Roman;Times;Serif"/>
                <w:i/>
                <w:sz w:val="20"/>
              </w:rPr>
              <w:t>Other Share-Based Award</w:t>
            </w:r>
            <w:r>
              <w:rPr>
                <w:rFonts w:ascii="Times New Roman;Times;Serif" w:hAnsi="Times New Roman;Times;Serif"/>
                <w:sz w:val="20"/>
              </w:rPr>
              <w:t>” means a right or other interest granted to a Participant under Section 11 of the Plan that may be denominated or payable in, valued in whole or in part by reference to, or otherwise based on or related to, Ordinary Shares, including, but not limited to, unrestricted Shares or dividend equivalents, each of which may be subject to the attainment of Performance Goals or a period of continued employment or other terms or conditions as permitted under the Plan.</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bb)</w:t>
            </w:r>
          </w:p>
        </w:tc>
        <w:tc>
          <w:tcPr>
            <w:tcW w:w="9898" w:type="dxa"/>
            <w:tcBorders/>
            <w:vAlign w:val="center"/>
          </w:tcPr>
          <w:p>
            <w:pPr>
              <w:pStyle w:val="TableContents"/>
              <w:bidi w:val="0"/>
              <w:spacing w:before="0" w:after="283"/>
              <w:jc w:val="both"/>
              <w:rPr/>
            </w:pPr>
            <w:r>
              <w:rPr/>
              <w:t>“</w:t>
            </w:r>
            <w:r>
              <w:rPr>
                <w:rFonts w:ascii="Times New Roman;Times;Serif" w:hAnsi="Times New Roman;Times;Serif"/>
                <w:i/>
                <w:sz w:val="20"/>
              </w:rPr>
              <w:t>Participant</w:t>
            </w:r>
            <w:r>
              <w:rPr>
                <w:rFonts w:ascii="Times New Roman;Times;Serif" w:hAnsi="Times New Roman;Times;Serif"/>
                <w:sz w:val="20"/>
              </w:rPr>
              <w:t>” means any Eligible Recipient selected by the Administrator, pursuant to the Administrator’s authority provided for in Section 3 of the Plan, to receive grants of Options, Share Appreciation Rights, Restricted Shares, Restricted Share Units, Performance-Based Awards, Other Share-Based Awards, Other Cash-Based Awards or any combination of the foregoing, and, upon his or her death, his or her successors, heirs, executors and administrators, as the case may be, solely with respect to any Awards outstanding at the date of the Eligible Recipient’s death.</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w:t>
            </w:r>
          </w:p>
        </w:tc>
        <w:tc>
          <w:tcPr>
            <w:tcW w:w="9898" w:type="dxa"/>
            <w:tcBorders/>
            <w:vAlign w:val="center"/>
          </w:tcPr>
          <w:p>
            <w:pPr>
              <w:pStyle w:val="TableContents"/>
              <w:bidi w:val="0"/>
              <w:spacing w:before="0" w:after="283"/>
              <w:jc w:val="both"/>
              <w:rPr/>
            </w:pPr>
            <w:r>
              <w:rPr/>
              <w:t>“</w:t>
            </w:r>
            <w:r>
              <w:rPr>
                <w:rFonts w:ascii="Times New Roman;Times;Serif" w:hAnsi="Times New Roman;Times;Serif"/>
                <w:i/>
                <w:sz w:val="20"/>
              </w:rPr>
              <w:t>Performance-Based Award</w:t>
            </w:r>
            <w:r>
              <w:rPr>
                <w:rFonts w:ascii="Times New Roman;Times;Serif" w:hAnsi="Times New Roman;Times;Serif"/>
                <w:sz w:val="20"/>
              </w:rPr>
              <w:t>” means any Award granted under the Plan that is subject to one or more Performance Goals. Any dividends or dividend equivalents payable or credited to a Participant with respect to any unvested Performance-Based Award shall be subject to the same Performance Goals as the Shares or units underlying the Performance-Based Award.</w:t>
            </w:r>
          </w:p>
        </w:tc>
      </w:tr>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dd)</w:t>
            </w:r>
          </w:p>
        </w:tc>
        <w:tc>
          <w:tcPr>
            <w:tcW w:w="9898" w:type="dxa"/>
            <w:tcBorders/>
            <w:vAlign w:val="center"/>
          </w:tcPr>
          <w:p>
            <w:pPr>
              <w:pStyle w:val="TableContents"/>
              <w:bidi w:val="0"/>
              <w:spacing w:before="0" w:after="283"/>
              <w:jc w:val="both"/>
              <w:rPr/>
            </w:pPr>
            <w:r>
              <w:rPr/>
              <w:t>“</w:t>
            </w:r>
            <w:r>
              <w:rPr>
                <w:rFonts w:ascii="Times New Roman;Times;Serif" w:hAnsi="Times New Roman;Times;Serif"/>
                <w:i/>
                <w:sz w:val="20"/>
              </w:rPr>
              <w:t>Performance Goals</w:t>
            </w:r>
            <w:r>
              <w:rPr>
                <w:rFonts w:ascii="Times New Roman;Times;Serif" w:hAnsi="Times New Roman;Times;Serif"/>
                <w:sz w:val="20"/>
              </w:rPr>
              <w:t>” means performance goals based on one or more of the following criteria: (</w:t>
            </w:r>
            <w:r>
              <w:rPr>
                <w:rFonts w:ascii="Times New Roman;Times;Serif" w:hAnsi="Times New Roman;Times;Serif"/>
                <w:i/>
                <w:sz w:val="20"/>
              </w:rPr>
              <w:t>i</w:t>
            </w:r>
            <w:r>
              <w:rPr>
                <w:rFonts w:ascii="Times New Roman;Times;Serif" w:hAnsi="Times New Roman;Times;Serif"/>
                <w:sz w:val="20"/>
              </w:rPr>
              <w:t>) earnings before interest and taxes; (</w:t>
            </w:r>
            <w:r>
              <w:rPr>
                <w:rFonts w:ascii="Times New Roman;Times;Serif" w:hAnsi="Times New Roman;Times;Serif"/>
                <w:i/>
                <w:sz w:val="20"/>
              </w:rPr>
              <w:t>ii</w:t>
            </w:r>
            <w:r>
              <w:rPr>
                <w:rFonts w:ascii="Times New Roman;Times;Serif" w:hAnsi="Times New Roman;Times;Serif"/>
                <w:sz w:val="20"/>
              </w:rPr>
              <w:t>) earnings before interest, taxes, depreciation and amortization; (</w:t>
            </w:r>
            <w:r>
              <w:rPr>
                <w:rFonts w:ascii="Times New Roman;Times;Serif" w:hAnsi="Times New Roman;Times;Serif"/>
                <w:i/>
                <w:sz w:val="20"/>
              </w:rPr>
              <w:t>iii</w:t>
            </w:r>
            <w:r>
              <w:rPr>
                <w:rFonts w:ascii="Times New Roman;Times;Serif" w:hAnsi="Times New Roman;Times;Serif"/>
                <w:sz w:val="20"/>
              </w:rPr>
              <w:t>) net operating profit after tax; (</w:t>
            </w:r>
            <w:r>
              <w:rPr>
                <w:rFonts w:ascii="Times New Roman;Times;Serif" w:hAnsi="Times New Roman;Times;Serif"/>
                <w:i/>
                <w:sz w:val="20"/>
              </w:rPr>
              <w:t>iv</w:t>
            </w:r>
            <w:r>
              <w:rPr>
                <w:rFonts w:ascii="Times New Roman;Times;Serif" w:hAnsi="Times New Roman;Times;Serif"/>
                <w:sz w:val="20"/>
              </w:rPr>
              <w:t>) cash flow; (</w:t>
            </w:r>
            <w:r>
              <w:rPr>
                <w:rFonts w:ascii="Times New Roman;Times;Serif" w:hAnsi="Times New Roman;Times;Serif"/>
                <w:i/>
                <w:sz w:val="20"/>
              </w:rPr>
              <w:t>v</w:t>
            </w:r>
            <w:r>
              <w:rPr>
                <w:rFonts w:ascii="Times New Roman;Times;Serif" w:hAnsi="Times New Roman;Times;Serif"/>
                <w:sz w:val="20"/>
              </w:rPr>
              <w:t>) revenue; (</w:t>
            </w:r>
            <w:r>
              <w:rPr>
                <w:rFonts w:ascii="Times New Roman;Times;Serif" w:hAnsi="Times New Roman;Times;Serif"/>
                <w:i/>
                <w:sz w:val="20"/>
              </w:rPr>
              <w:t>vi</w:t>
            </w:r>
            <w:r>
              <w:rPr>
                <w:rFonts w:ascii="Times New Roman;Times;Serif" w:hAnsi="Times New Roman;Times;Serif"/>
                <w:sz w:val="20"/>
              </w:rPr>
              <w:t>) net revenues; (</w:t>
            </w:r>
            <w:r>
              <w:rPr>
                <w:rFonts w:ascii="Times New Roman;Times;Serif" w:hAnsi="Times New Roman;Times;Serif"/>
                <w:i/>
                <w:sz w:val="20"/>
              </w:rPr>
              <w:t>vii</w:t>
            </w:r>
            <w:r>
              <w:rPr>
                <w:rFonts w:ascii="Times New Roman;Times;Serif" w:hAnsi="Times New Roman;Times;Serif"/>
                <w:sz w:val="20"/>
              </w:rPr>
              <w:t>) sales; (</w:t>
            </w:r>
            <w:r>
              <w:rPr>
                <w:rFonts w:ascii="Times New Roman;Times;Serif" w:hAnsi="Times New Roman;Times;Serif"/>
                <w:i/>
                <w:sz w:val="20"/>
              </w:rPr>
              <w:t>viii</w:t>
            </w:r>
            <w:r>
              <w:rPr>
                <w:rFonts w:ascii="Times New Roman;Times;Serif" w:hAnsi="Times New Roman;Times;Serif"/>
                <w:sz w:val="20"/>
              </w:rPr>
              <w:t>) days sales outstanding; (i</w:t>
            </w:r>
            <w:r>
              <w:rPr>
                <w:rFonts w:ascii="Times New Roman;Times;Serif" w:hAnsi="Times New Roman;Times;Serif"/>
                <w:i/>
                <w:sz w:val="20"/>
              </w:rPr>
              <w:t>x</w:t>
            </w:r>
            <w:r>
              <w:rPr>
                <w:rFonts w:ascii="Times New Roman;Times;Serif" w:hAnsi="Times New Roman;Times;Serif"/>
                <w:sz w:val="20"/>
              </w:rPr>
              <w:t>) income; (</w:t>
            </w:r>
            <w:r>
              <w:rPr>
                <w:rFonts w:ascii="Times New Roman;Times;Serif" w:hAnsi="Times New Roman;Times;Serif"/>
                <w:i/>
                <w:sz w:val="20"/>
              </w:rPr>
              <w:t>x</w:t>
            </w:r>
            <w:r>
              <w:rPr>
                <w:rFonts w:ascii="Times New Roman;Times;Serif" w:hAnsi="Times New Roman;Times;Serif"/>
                <w:sz w:val="20"/>
              </w:rPr>
              <w:t>) net income; (</w:t>
            </w:r>
            <w:r>
              <w:rPr>
                <w:rFonts w:ascii="Times New Roman;Times;Serif" w:hAnsi="Times New Roman;Times;Serif"/>
                <w:i/>
                <w:sz w:val="20"/>
              </w:rPr>
              <w:t>xi</w:t>
            </w:r>
            <w:r>
              <w:rPr>
                <w:rFonts w:ascii="Times New Roman;Times;Serif" w:hAnsi="Times New Roman;Times;Serif"/>
                <w:sz w:val="20"/>
              </w:rPr>
              <w:t>) operating income; (</w:t>
            </w:r>
            <w:r>
              <w:rPr>
                <w:rFonts w:ascii="Times New Roman;Times;Serif" w:hAnsi="Times New Roman;Times;Serif"/>
                <w:i/>
                <w:sz w:val="20"/>
              </w:rPr>
              <w:t>xii</w:t>
            </w:r>
            <w:r>
              <w:rPr>
                <w:rFonts w:ascii="Times New Roman;Times;Serif" w:hAnsi="Times New Roman;Times;Serif"/>
                <w:sz w:val="20"/>
              </w:rPr>
              <w:t>) net operating income; (</w:t>
            </w:r>
            <w:r>
              <w:rPr>
                <w:rFonts w:ascii="Times New Roman;Times;Serif" w:hAnsi="Times New Roman;Times;Serif"/>
                <w:i/>
                <w:sz w:val="20"/>
              </w:rPr>
              <w:t>xiii</w:t>
            </w:r>
            <w:r>
              <w:rPr>
                <w:rFonts w:ascii="Times New Roman;Times;Serif" w:hAnsi="Times New Roman;Times;Serif"/>
                <w:sz w:val="20"/>
              </w:rPr>
              <w:t>) operating margin; (</w:t>
            </w:r>
            <w:r>
              <w:rPr>
                <w:rFonts w:ascii="Times New Roman;Times;Serif" w:hAnsi="Times New Roman;Times;Serif"/>
                <w:i/>
                <w:sz w:val="20"/>
              </w:rPr>
              <w:t>xiv</w:t>
            </w:r>
            <w:r>
              <w:rPr>
                <w:rFonts w:ascii="Times New Roman;Times;Serif" w:hAnsi="Times New Roman;Times;Serif"/>
                <w:sz w:val="20"/>
              </w:rPr>
              <w:t>) earnings; (</w:t>
            </w:r>
            <w:r>
              <w:rPr>
                <w:rFonts w:ascii="Times New Roman;Times;Serif" w:hAnsi="Times New Roman;Times;Serif"/>
                <w:i/>
                <w:sz w:val="20"/>
              </w:rPr>
              <w:t>xv</w:t>
            </w:r>
            <w:r>
              <w:rPr>
                <w:rFonts w:ascii="Times New Roman;Times;Serif" w:hAnsi="Times New Roman;Times;Serif"/>
                <w:sz w:val="20"/>
              </w:rPr>
              <w:t>) earnings per share; (</w:t>
            </w:r>
            <w:r>
              <w:rPr>
                <w:rFonts w:ascii="Times New Roman;Times;Serif" w:hAnsi="Times New Roman;Times;Serif"/>
                <w:i/>
                <w:sz w:val="20"/>
              </w:rPr>
              <w:t>xvi</w:t>
            </w:r>
            <w:r>
              <w:rPr>
                <w:rFonts w:ascii="Times New Roman;Times;Serif" w:hAnsi="Times New Roman;Times;Serif"/>
                <w:sz w:val="20"/>
              </w:rPr>
              <w:t>) return on equity; (</w:t>
            </w:r>
            <w:r>
              <w:rPr>
                <w:rFonts w:ascii="Times New Roman;Times;Serif" w:hAnsi="Times New Roman;Times;Serif"/>
                <w:i/>
                <w:sz w:val="20"/>
              </w:rPr>
              <w:t>xvii</w:t>
            </w:r>
            <w:r>
              <w:rPr>
                <w:rFonts w:ascii="Times New Roman;Times;Serif" w:hAnsi="Times New Roman;Times;Serif"/>
                <w:sz w:val="20"/>
              </w:rPr>
              <w:t>) return on investment; (</w:t>
            </w:r>
            <w:r>
              <w:rPr>
                <w:rFonts w:ascii="Times New Roman;Times;Serif" w:hAnsi="Times New Roman;Times;Serif"/>
                <w:i/>
                <w:sz w:val="20"/>
              </w:rPr>
              <w:t>xviii</w:t>
            </w:r>
            <w:r>
              <w:rPr>
                <w:rFonts w:ascii="Times New Roman;Times;Serif" w:hAnsi="Times New Roman;Times;Serif"/>
                <w:sz w:val="20"/>
              </w:rPr>
              <w:t>) return on capital; (</w:t>
            </w:r>
            <w:r>
              <w:rPr>
                <w:rFonts w:ascii="Times New Roman;Times;Serif" w:hAnsi="Times New Roman;Times;Serif"/>
                <w:i/>
                <w:sz w:val="20"/>
              </w:rPr>
              <w:t>xix</w:t>
            </w:r>
            <w:r>
              <w:rPr>
                <w:rFonts w:ascii="Times New Roman;Times;Serif" w:hAnsi="Times New Roman;Times;Serif"/>
                <w:sz w:val="20"/>
              </w:rPr>
              <w:t>) return on assets; (</w:t>
            </w:r>
            <w:r>
              <w:rPr>
                <w:rFonts w:ascii="Times New Roman;Times;Serif" w:hAnsi="Times New Roman;Times;Serif"/>
                <w:i/>
                <w:sz w:val="20"/>
              </w:rPr>
              <w:t>xx</w:t>
            </w:r>
            <w:r>
              <w:rPr>
                <w:rFonts w:ascii="Times New Roman;Times;Serif" w:hAnsi="Times New Roman;Times;Serif"/>
                <w:sz w:val="20"/>
              </w:rPr>
              <w:t>) return on net assets; (</w:t>
            </w:r>
            <w:r>
              <w:rPr>
                <w:rFonts w:ascii="Times New Roman;Times;Serif" w:hAnsi="Times New Roman;Times;Serif"/>
                <w:i/>
                <w:sz w:val="20"/>
              </w:rPr>
              <w:t>xxi</w:t>
            </w:r>
            <w:r>
              <w:rPr>
                <w:rFonts w:ascii="Times New Roman;Times;Serif" w:hAnsi="Times New Roman;Times;Serif"/>
                <w:sz w:val="20"/>
              </w:rPr>
              <w:t>) total shareholder return; (</w:t>
            </w:r>
            <w:r>
              <w:rPr>
                <w:rFonts w:ascii="Times New Roman;Times;Serif" w:hAnsi="Times New Roman;Times;Serif"/>
                <w:i/>
                <w:sz w:val="20"/>
              </w:rPr>
              <w:t>xxii</w:t>
            </w:r>
            <w:r>
              <w:rPr>
                <w:rFonts w:ascii="Times New Roman;Times;Serif" w:hAnsi="Times New Roman;Times;Serif"/>
                <w:sz w:val="20"/>
              </w:rPr>
              <w:t>) economic profit; (</w:t>
            </w:r>
            <w:r>
              <w:rPr>
                <w:rFonts w:ascii="Times New Roman;Times;Serif" w:hAnsi="Times New Roman;Times;Serif"/>
                <w:i/>
                <w:sz w:val="20"/>
              </w:rPr>
              <w:t>xxiii</w:t>
            </w:r>
            <w:r>
              <w:rPr>
                <w:rFonts w:ascii="Times New Roman;Times;Serif" w:hAnsi="Times New Roman;Times;Serif"/>
                <w:sz w:val="20"/>
              </w:rPr>
              <w:t>) market share; (</w:t>
            </w:r>
            <w:r>
              <w:rPr>
                <w:rFonts w:ascii="Times New Roman;Times;Serif" w:hAnsi="Times New Roman;Times;Serif"/>
                <w:i/>
                <w:sz w:val="20"/>
              </w:rPr>
              <w:t>xxiv</w:t>
            </w:r>
            <w:r>
              <w:rPr>
                <w:rFonts w:ascii="Times New Roman;Times;Serif" w:hAnsi="Times New Roman;Times;Serif"/>
                <w:sz w:val="20"/>
              </w:rPr>
              <w:t>) appreciation in the fair market value, book value or other measure of value of the Company’s Ordinary Shares; (</w:t>
            </w:r>
            <w:r>
              <w:rPr>
                <w:rFonts w:ascii="Times New Roman;Times;Serif" w:hAnsi="Times New Roman;Times;Serif"/>
                <w:i/>
                <w:sz w:val="20"/>
              </w:rPr>
              <w:t>xxv</w:t>
            </w:r>
            <w:r>
              <w:rPr>
                <w:rFonts w:ascii="Times New Roman;Times;Serif" w:hAnsi="Times New Roman;Times;Serif"/>
                <w:sz w:val="20"/>
              </w:rPr>
              <w:t>) expense or cost control; (</w:t>
            </w:r>
            <w:r>
              <w:rPr>
                <w:rFonts w:ascii="Times New Roman;Times;Serif" w:hAnsi="Times New Roman;Times;Serif"/>
                <w:i/>
                <w:sz w:val="20"/>
              </w:rPr>
              <w:t>xxvi</w:t>
            </w:r>
            <w:r>
              <w:rPr>
                <w:rFonts w:ascii="Times New Roman;Times;Serif" w:hAnsi="Times New Roman;Times;Serif"/>
                <w:sz w:val="20"/>
              </w:rPr>
              <w:t>) working capital; (</w:t>
            </w:r>
            <w:r>
              <w:rPr>
                <w:rFonts w:ascii="Times New Roman;Times;Serif" w:hAnsi="Times New Roman;Times;Serif"/>
                <w:i/>
                <w:sz w:val="20"/>
              </w:rPr>
              <w:t>xxvii</w:t>
            </w:r>
            <w:r>
              <w:rPr>
                <w:rFonts w:ascii="Times New Roman;Times;Serif" w:hAnsi="Times New Roman;Times;Serif"/>
                <w:sz w:val="20"/>
              </w:rPr>
              <w:t>) volume or production; (</w:t>
            </w:r>
            <w:r>
              <w:rPr>
                <w:rFonts w:ascii="Times New Roman;Times;Serif" w:hAnsi="Times New Roman;Times;Serif"/>
                <w:i/>
                <w:sz w:val="20"/>
              </w:rPr>
              <w:t>xviii</w:t>
            </w:r>
            <w:r>
              <w:rPr>
                <w:rFonts w:ascii="Times New Roman;Times;Serif" w:hAnsi="Times New Roman;Times;Serif"/>
                <w:sz w:val="20"/>
              </w:rPr>
              <w:t>) new products; (</w:t>
            </w:r>
            <w:r>
              <w:rPr>
                <w:rFonts w:ascii="Times New Roman;Times;Serif" w:hAnsi="Times New Roman;Times;Serif"/>
                <w:i/>
                <w:sz w:val="20"/>
              </w:rPr>
              <w:t>xxix</w:t>
            </w:r>
            <w:r>
              <w:rPr>
                <w:rFonts w:ascii="Times New Roman;Times;Serif" w:hAnsi="Times New Roman;Times;Serif"/>
                <w:sz w:val="20"/>
              </w:rPr>
              <w:t>) customer satisfaction; (</w:t>
            </w:r>
            <w:r>
              <w:rPr>
                <w:rFonts w:ascii="Times New Roman;Times;Serif" w:hAnsi="Times New Roman;Times;Serif"/>
                <w:i/>
                <w:sz w:val="20"/>
              </w:rPr>
              <w:t>xxx</w:t>
            </w:r>
            <w:r>
              <w:rPr>
                <w:rFonts w:ascii="Times New Roman;Times;Serif" w:hAnsi="Times New Roman;Times;Serif"/>
                <w:sz w:val="20"/>
              </w:rPr>
              <w:t>) brand development; (</w:t>
            </w:r>
            <w:r>
              <w:rPr>
                <w:rFonts w:ascii="Times New Roman;Times;Serif" w:hAnsi="Times New Roman;Times;Serif"/>
                <w:i/>
                <w:sz w:val="20"/>
              </w:rPr>
              <w:t>xxxi</w:t>
            </w:r>
            <w:r>
              <w:rPr>
                <w:rFonts w:ascii="Times New Roman;Times;Serif" w:hAnsi="Times New Roman;Times;Serif"/>
                <w:sz w:val="20"/>
              </w:rPr>
              <w:t>) employee retention or employee turnover; (</w:t>
            </w:r>
            <w:r>
              <w:rPr>
                <w:rFonts w:ascii="Times New Roman;Times;Serif" w:hAnsi="Times New Roman;Times;Serif"/>
                <w:i/>
                <w:sz w:val="20"/>
              </w:rPr>
              <w:t>xxxii</w:t>
            </w:r>
            <w:r>
              <w:rPr>
                <w:rFonts w:ascii="Times New Roman;Times;Serif" w:hAnsi="Times New Roman;Times;Serif"/>
                <w:sz w:val="20"/>
              </w:rPr>
              <w:t>) employee satisfaction or engagement; (</w:t>
            </w:r>
            <w:r>
              <w:rPr>
                <w:rFonts w:ascii="Times New Roman;Times;Serif" w:hAnsi="Times New Roman;Times;Serif"/>
                <w:i/>
                <w:sz w:val="20"/>
              </w:rPr>
              <w:t>xxxiii</w:t>
            </w:r>
            <w:r>
              <w:rPr>
                <w:rFonts w:ascii="Times New Roman;Times;Serif" w:hAnsi="Times New Roman;Times;Serif"/>
                <w:sz w:val="20"/>
              </w:rPr>
              <w:t>) environmental, health or other safety goals; (</w:t>
            </w:r>
            <w:r>
              <w:rPr>
                <w:rFonts w:ascii="Times New Roman;Times;Serif" w:hAnsi="Times New Roman;Times;Serif"/>
                <w:i/>
                <w:sz w:val="20"/>
              </w:rPr>
              <w:t>xxxiv</w:t>
            </w:r>
            <w:r>
              <w:rPr>
                <w:rFonts w:ascii="Times New Roman;Times;Serif" w:hAnsi="Times New Roman;Times;Serif"/>
                <w:sz w:val="20"/>
              </w:rPr>
              <w:t>) individual performance; (</w:t>
            </w:r>
            <w:r>
              <w:rPr>
                <w:rFonts w:ascii="Times New Roman;Times;Serif" w:hAnsi="Times New Roman;Times;Serif"/>
                <w:i/>
                <w:sz w:val="20"/>
              </w:rPr>
              <w:t>xxxv</w:t>
            </w:r>
            <w:r>
              <w:rPr>
                <w:rFonts w:ascii="Times New Roman;Times;Serif" w:hAnsi="Times New Roman;Times;Serif"/>
                <w:sz w:val="20"/>
              </w:rPr>
              <w:t>) strategic objective milestones; (</w:t>
            </w:r>
            <w:r>
              <w:rPr>
                <w:rFonts w:ascii="Times New Roman;Times;Serif" w:hAnsi="Times New Roman;Times;Serif"/>
                <w:i/>
                <w:sz w:val="20"/>
              </w:rPr>
              <w:t>xxxvi</w:t>
            </w:r>
            <w:r>
              <w:rPr>
                <w:rFonts w:ascii="Times New Roman;Times;Serif" w:hAnsi="Times New Roman;Times;Serif"/>
                <w:sz w:val="20"/>
              </w:rPr>
              <w:t>) days inventory outstanding; and (</w:t>
            </w:r>
            <w:r>
              <w:rPr>
                <w:rFonts w:ascii="Times New Roman;Times;Serif" w:hAnsi="Times New Roman;Times;Serif"/>
                <w:i/>
                <w:sz w:val="20"/>
              </w:rPr>
              <w:t>xxxvii</w:t>
            </w:r>
            <w:r>
              <w:rPr>
                <w:rFonts w:ascii="Times New Roman;Times;Serif" w:hAnsi="Times New Roman;Times;Serif"/>
                <w:sz w:val="20"/>
              </w:rPr>
              <w:t>) any other performance goal or a combination of performance goals selected by the Administrator. Where applicable, the Performance Goals may be expressed in terms of attaining a specified level of the particular criteria or the attainment of a percentage increase or decrease in the particular criteria, and may be applied to one or more of the Company or an Affiliate thereof, or a division or strategic business unit of the Company,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0"/>
        <w:gridCol w:w="9800"/>
      </w:tblGrid>
      <w:tr>
        <w:trPr/>
        <w:tc>
          <w:tcPr>
            <w:tcW w:w="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ee)</w:t>
            </w:r>
          </w:p>
        </w:tc>
        <w:tc>
          <w:tcPr>
            <w:tcW w:w="9800" w:type="dxa"/>
            <w:tcBorders/>
            <w:vAlign w:val="center"/>
          </w:tcPr>
          <w:p>
            <w:pPr>
              <w:pStyle w:val="TableContents"/>
              <w:bidi w:val="0"/>
              <w:spacing w:before="0" w:after="283"/>
              <w:jc w:val="both"/>
              <w:rPr/>
            </w:pPr>
            <w:r>
              <w:rPr/>
              <w:t>“</w:t>
            </w:r>
            <w:r>
              <w:rPr>
                <w:rFonts w:ascii="Times New Roman;Times;Serif" w:hAnsi="Times New Roman;Times;Serif"/>
                <w:i/>
                <w:sz w:val="20"/>
              </w:rPr>
              <w:t>Person</w:t>
            </w:r>
            <w:r>
              <w:rPr>
                <w:rFonts w:ascii="Times New Roman;Times;Serif" w:hAnsi="Times New Roman;Times;Serif"/>
                <w:sz w:val="20"/>
              </w:rPr>
              <w:t>” shall have the meaning given in Section 3(a)(9) of the Exchange Act, as modified and used in Sections 13(d) and 14(d) thereof, except that such term shall not include (</w:t>
            </w:r>
            <w:r>
              <w:rPr>
                <w:rFonts w:ascii="Times New Roman;Times;Serif" w:hAnsi="Times New Roman;Times;Serif"/>
                <w:i/>
                <w:sz w:val="20"/>
              </w:rPr>
              <w:t>i</w:t>
            </w:r>
            <w:r>
              <w:rPr>
                <w:rFonts w:ascii="Times New Roman;Times;Serif" w:hAnsi="Times New Roman;Times;Serif"/>
                <w:sz w:val="20"/>
              </w:rPr>
              <w:t>) the Company or any Affiliate thereof, (</w:t>
            </w:r>
            <w:r>
              <w:rPr>
                <w:rFonts w:ascii="Times New Roman;Times;Serif" w:hAnsi="Times New Roman;Times;Serif"/>
                <w:i/>
                <w:sz w:val="20"/>
              </w:rPr>
              <w:t>ii</w:t>
            </w:r>
            <w:r>
              <w:rPr>
                <w:rFonts w:ascii="Times New Roman;Times;Serif" w:hAnsi="Times New Roman;Times;Serif"/>
                <w:sz w:val="20"/>
              </w:rPr>
              <w:t>) a trustee or other fiduciary holding securities under an employee benefit plan of the Company or any Affiliate thereof, (</w:t>
            </w:r>
            <w:r>
              <w:rPr>
                <w:rFonts w:ascii="Times New Roman;Times;Serif" w:hAnsi="Times New Roman;Times;Serif"/>
                <w:i/>
                <w:sz w:val="20"/>
              </w:rPr>
              <w:t>iii</w:t>
            </w:r>
            <w:r>
              <w:rPr>
                <w:rFonts w:ascii="Times New Roman;Times;Serif" w:hAnsi="Times New Roman;Times;Serif"/>
                <w:sz w:val="20"/>
              </w:rPr>
              <w:t>) an underwriter temporarily holding securities pursuant to an offering of such securities, or (</w:t>
            </w:r>
            <w:r>
              <w:rPr>
                <w:rFonts w:ascii="Times New Roman;Times;Serif" w:hAnsi="Times New Roman;Times;Serif"/>
                <w:i/>
                <w:sz w:val="20"/>
              </w:rPr>
              <w:t>iv</w:t>
            </w:r>
            <w:r>
              <w:rPr>
                <w:rFonts w:ascii="Times New Roman;Times;Serif" w:hAnsi="Times New Roman;Times;Serif"/>
                <w:sz w:val="20"/>
              </w:rPr>
              <w:t>) a corporation owned, directly or indirectly, by the shareholders of the Company in substantially the same proportions as their ownership of shares of the Company.</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00" w:type="dxa"/>
            <w:tcBorders/>
            <w:vAlign w:val="center"/>
          </w:tcPr>
          <w:p>
            <w:pPr>
              <w:pStyle w:val="TableContents"/>
              <w:bidi w:val="0"/>
              <w:spacing w:before="0" w:after="283"/>
              <w:jc w:val="both"/>
              <w:rPr/>
            </w:pPr>
            <w:r>
              <w:rPr/>
              <w:t>“</w:t>
            </w:r>
            <w:r>
              <w:rPr>
                <w:rFonts w:ascii="Times New Roman;Times;Serif" w:hAnsi="Times New Roman;Times;Serif"/>
                <w:i/>
                <w:sz w:val="20"/>
              </w:rPr>
              <w:t>Related Rights</w:t>
            </w:r>
            <w:r>
              <w:rPr>
                <w:rFonts w:ascii="Times New Roman;Times;Serif" w:hAnsi="Times New Roman;Times;Serif"/>
                <w:sz w:val="20"/>
              </w:rPr>
              <w:t>” shall have the meaning set forth in Section 8(a) of the Plan.</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jj)</w:t>
            </w:r>
          </w:p>
        </w:tc>
        <w:tc>
          <w:tcPr>
            <w:tcW w:w="9800" w:type="dxa"/>
            <w:tcBorders/>
            <w:vAlign w:val="center"/>
          </w:tcPr>
          <w:p>
            <w:pPr>
              <w:pStyle w:val="TableContents"/>
              <w:bidi w:val="0"/>
              <w:spacing w:before="0" w:after="283"/>
              <w:jc w:val="both"/>
              <w:rPr/>
            </w:pPr>
            <w:r>
              <w:rPr/>
              <w:t>“</w:t>
            </w:r>
            <w:r>
              <w:rPr>
                <w:rFonts w:ascii="Times New Roman;Times;Serif" w:hAnsi="Times New Roman;Times;Serif"/>
                <w:i/>
                <w:sz w:val="20"/>
              </w:rPr>
              <w:t>Restricted Shares</w:t>
            </w:r>
            <w:r>
              <w:rPr>
                <w:rFonts w:ascii="Times New Roman;Times;Serif" w:hAnsi="Times New Roman;Times;Serif"/>
                <w:sz w:val="20"/>
              </w:rPr>
              <w:t>” means an Award of Shares granted pursuant to Section 9 of the Plan subject to certain restrictions that lapse at the end of a specified period or periods or the attainment of certain Performance Goals.</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kk)</w:t>
            </w:r>
          </w:p>
        </w:tc>
        <w:tc>
          <w:tcPr>
            <w:tcW w:w="9800" w:type="dxa"/>
            <w:tcBorders/>
            <w:vAlign w:val="center"/>
          </w:tcPr>
          <w:p>
            <w:pPr>
              <w:pStyle w:val="TableContents"/>
              <w:bidi w:val="0"/>
              <w:spacing w:before="0" w:after="283"/>
              <w:jc w:val="both"/>
              <w:rPr/>
            </w:pPr>
            <w:r>
              <w:rPr/>
              <w:t>“</w:t>
            </w:r>
            <w:r>
              <w:rPr>
                <w:rFonts w:ascii="Times New Roman;Times;Serif" w:hAnsi="Times New Roman;Times;Serif"/>
                <w:i/>
                <w:sz w:val="20"/>
              </w:rPr>
              <w:t>Restricted Share Unit</w:t>
            </w:r>
            <w:r>
              <w:rPr>
                <w:rFonts w:ascii="Times New Roman;Times;Serif" w:hAnsi="Times New Roman;Times;Serif"/>
                <w:sz w:val="20"/>
              </w:rPr>
              <w:t>” means a notional account established pursuant to an Award granted to a Participant, as described in Section 10 of the Plan, that is (</w:t>
            </w:r>
            <w:r>
              <w:rPr>
                <w:rFonts w:ascii="Times New Roman;Times;Serif" w:hAnsi="Times New Roman;Times;Serif"/>
                <w:i/>
                <w:sz w:val="20"/>
              </w:rPr>
              <w:t>i</w:t>
            </w:r>
            <w:r>
              <w:rPr>
                <w:rFonts w:ascii="Times New Roman;Times;Serif" w:hAnsi="Times New Roman;Times;Serif"/>
                <w:sz w:val="20"/>
              </w:rPr>
              <w:t>) valued solely by reference to Shares, (</w:t>
            </w:r>
            <w:r>
              <w:rPr>
                <w:rFonts w:ascii="Times New Roman;Times;Serif" w:hAnsi="Times New Roman;Times;Serif"/>
                <w:i/>
                <w:sz w:val="20"/>
              </w:rPr>
              <w:t>ii</w:t>
            </w:r>
            <w:r>
              <w:rPr>
                <w:rFonts w:ascii="Times New Roman;Times;Serif" w:hAnsi="Times New Roman;Times;Serif"/>
                <w:sz w:val="20"/>
              </w:rPr>
              <w:t>) subject to restrictions specified in the Award Agreement, and (</w:t>
            </w:r>
            <w:r>
              <w:rPr>
                <w:rFonts w:ascii="Times New Roman;Times;Serif" w:hAnsi="Times New Roman;Times;Serif"/>
                <w:i/>
                <w:sz w:val="20"/>
              </w:rPr>
              <w:t>iii</w:t>
            </w:r>
            <w:r>
              <w:rPr>
                <w:rFonts w:ascii="Times New Roman;Times;Serif" w:hAnsi="Times New Roman;Times;Serif"/>
                <w:sz w:val="20"/>
              </w:rPr>
              <w:t>) payable in cash or in Shares (as specified in the Award Agreement). The Restricted Share Units awarded to the Participant will vest according to the time-based criteria or Performance Goals criteria specified in the Award Agreement.</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ll)</w:t>
            </w:r>
          </w:p>
        </w:tc>
        <w:tc>
          <w:tcPr>
            <w:tcW w:w="9800" w:type="dxa"/>
            <w:tcBorders/>
            <w:vAlign w:val="center"/>
          </w:tcPr>
          <w:p>
            <w:pPr>
              <w:pStyle w:val="TableContents"/>
              <w:bidi w:val="0"/>
              <w:spacing w:before="0" w:after="283"/>
              <w:jc w:val="both"/>
              <w:rPr/>
            </w:pPr>
            <w:r>
              <w:rPr/>
              <w:t>“</w:t>
            </w:r>
            <w:r>
              <w:rPr>
                <w:rFonts w:ascii="Times New Roman;Times;Serif" w:hAnsi="Times New Roman;Times;Serif"/>
                <w:i/>
                <w:sz w:val="20"/>
              </w:rPr>
              <w:t>Restricted Period</w:t>
            </w:r>
            <w:r>
              <w:rPr>
                <w:rFonts w:ascii="Times New Roman;Times;Serif" w:hAnsi="Times New Roman;Times;Serif"/>
                <w:sz w:val="20"/>
              </w:rPr>
              <w:t>” means the period of time determined by the Administrator during which an Award or a portion thereof is subject to restrictions or, as applicable, the period of time within which performance is measured for purposes of determining whether an Award has been earned.</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mm)</w:t>
            </w:r>
          </w:p>
        </w:tc>
        <w:tc>
          <w:tcPr>
            <w:tcW w:w="9800" w:type="dxa"/>
            <w:tcBorders/>
            <w:vAlign w:val="center"/>
          </w:tcPr>
          <w:p>
            <w:pPr>
              <w:pStyle w:val="TableContents"/>
              <w:bidi w:val="0"/>
              <w:spacing w:before="0" w:after="283"/>
              <w:jc w:val="both"/>
              <w:rPr/>
            </w:pPr>
            <w:r>
              <w:rPr/>
              <w:t>“</w:t>
            </w:r>
            <w:r>
              <w:rPr>
                <w:rFonts w:ascii="Times New Roman;Times;Serif" w:hAnsi="Times New Roman;Times;Serif"/>
                <w:i/>
                <w:sz w:val="20"/>
              </w:rPr>
              <w:t>Retirement</w:t>
            </w:r>
            <w:r>
              <w:rPr>
                <w:rFonts w:ascii="Times New Roman;Times;Serif" w:hAnsi="Times New Roman;Times;Serif"/>
                <w:sz w:val="20"/>
              </w:rPr>
              <w:t>” means a termination of a Participant’s employment, other than for Cause and other than by reason of death or Disability, on or after the attainment of age 65 or legal retirement age under applicable laws in the country of employment, whichever earlier.</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nn)</w:t>
            </w:r>
          </w:p>
        </w:tc>
        <w:tc>
          <w:tcPr>
            <w:tcW w:w="9800" w:type="dxa"/>
            <w:tcBorders/>
            <w:vAlign w:val="center"/>
          </w:tcPr>
          <w:p>
            <w:pPr>
              <w:pStyle w:val="TableContents"/>
              <w:bidi w:val="0"/>
              <w:spacing w:before="0" w:after="283"/>
              <w:jc w:val="left"/>
              <w:rPr/>
            </w:pPr>
            <w:r>
              <w:rPr/>
              <w:t>“</w:t>
            </w:r>
            <w:r>
              <w:rPr>
                <w:rFonts w:ascii="Times New Roman;Times;Serif" w:hAnsi="Times New Roman;Times;Serif"/>
                <w:i/>
                <w:sz w:val="20"/>
              </w:rPr>
              <w:t>Rule 16b-3</w:t>
            </w:r>
            <w:r>
              <w:rPr>
                <w:rFonts w:ascii="Times New Roman;Times;Serif" w:hAnsi="Times New Roman;Times;Serif"/>
                <w:sz w:val="20"/>
              </w:rPr>
              <w:t>” shall have the meaning set forth in Section 3(a) of the Plan.</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w:t>
            </w:r>
          </w:p>
        </w:tc>
        <w:tc>
          <w:tcPr>
            <w:tcW w:w="9800" w:type="dxa"/>
            <w:tcBorders/>
            <w:vAlign w:val="center"/>
          </w:tcPr>
          <w:p>
            <w:pPr>
              <w:pStyle w:val="TableContents"/>
              <w:bidi w:val="0"/>
              <w:spacing w:before="0" w:after="283"/>
              <w:jc w:val="both"/>
              <w:rPr/>
            </w:pPr>
            <w:r>
              <w:rPr/>
              <w:t>“</w:t>
            </w:r>
            <w:r>
              <w:rPr>
                <w:rFonts w:ascii="Times New Roman;Times;Serif" w:hAnsi="Times New Roman;Times;Serif"/>
                <w:i/>
                <w:sz w:val="20"/>
              </w:rPr>
              <w:t>Shares</w:t>
            </w:r>
            <w:r>
              <w:rPr>
                <w:rFonts w:ascii="Times New Roman;Times;Serif" w:hAnsi="Times New Roman;Times;Serif"/>
                <w:sz w:val="20"/>
              </w:rPr>
              <w:t>” means Ordinary Shares issued or to be issued under the Plan, as adjusted pursuant to the Plan.</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pp)</w:t>
            </w:r>
          </w:p>
        </w:tc>
        <w:tc>
          <w:tcPr>
            <w:tcW w:w="9800" w:type="dxa"/>
            <w:tcBorders/>
            <w:vAlign w:val="center"/>
          </w:tcPr>
          <w:p>
            <w:pPr>
              <w:pStyle w:val="TableContents"/>
              <w:bidi w:val="0"/>
              <w:spacing w:before="0" w:after="283"/>
              <w:jc w:val="both"/>
              <w:rPr/>
            </w:pPr>
            <w:r>
              <w:rPr/>
              <w:t>“</w:t>
            </w:r>
            <w:r>
              <w:rPr>
                <w:rFonts w:ascii="Times New Roman;Times;Serif" w:hAnsi="Times New Roman;Times;Serif"/>
                <w:i/>
                <w:sz w:val="20"/>
              </w:rPr>
              <w:t>Share Appreciation Right</w:t>
            </w:r>
            <w:r>
              <w:rPr>
                <w:rFonts w:ascii="Times New Roman;Times;Serif" w:hAnsi="Times New Roman;Times;Serif"/>
                <w:sz w:val="20"/>
              </w:rPr>
              <w:t>” means the right pursuant to an Award granted under Section 8 of the Plan to receive an amount equal to the excess, if any, of (</w:t>
            </w:r>
            <w:r>
              <w:rPr>
                <w:rFonts w:ascii="Times New Roman;Times;Serif" w:hAnsi="Times New Roman;Times;Serif"/>
                <w:i/>
                <w:sz w:val="20"/>
              </w:rPr>
              <w:t>i</w:t>
            </w:r>
            <w:r>
              <w:rPr>
                <w:rFonts w:ascii="Times New Roman;Times;Serif" w:hAnsi="Times New Roman;Times;Serif"/>
                <w:sz w:val="20"/>
              </w:rPr>
              <w:t>) the aggregate Fair Market Value, as of the date such Award or portion thereof is surrendered, of the Shares covered by such Award or such portion thereof, over (</w:t>
            </w:r>
            <w:r>
              <w:rPr>
                <w:rFonts w:ascii="Times New Roman;Times;Serif" w:hAnsi="Times New Roman;Times;Serif"/>
                <w:i/>
                <w:sz w:val="20"/>
              </w:rPr>
              <w:t>ii</w:t>
            </w:r>
            <w:r>
              <w:rPr>
                <w:rFonts w:ascii="Times New Roman;Times;Serif" w:hAnsi="Times New Roman;Times;Serif"/>
                <w:sz w:val="20"/>
              </w:rPr>
              <w:t>) the aggregate Exercise Price of such Award or such portion thereof.</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qq)</w:t>
            </w:r>
          </w:p>
        </w:tc>
        <w:tc>
          <w:tcPr>
            <w:tcW w:w="9800" w:type="dxa"/>
            <w:tcBorders/>
            <w:vAlign w:val="center"/>
          </w:tcPr>
          <w:p>
            <w:pPr>
              <w:pStyle w:val="TableContents"/>
              <w:bidi w:val="0"/>
              <w:spacing w:before="0" w:after="283"/>
              <w:jc w:val="left"/>
              <w:rPr/>
            </w:pPr>
            <w:r>
              <w:rPr/>
              <w:t>“</w:t>
            </w:r>
            <w:r>
              <w:rPr>
                <w:rFonts w:ascii="Times New Roman;Times;Serif" w:hAnsi="Times New Roman;Times;Serif"/>
                <w:i/>
                <w:sz w:val="20"/>
              </w:rPr>
              <w:t>Subsidiaries</w:t>
            </w:r>
            <w:r>
              <w:rPr>
                <w:rFonts w:ascii="Times New Roman;Times;Serif" w:hAnsi="Times New Roman;Times;Serif"/>
                <w:sz w:val="20"/>
              </w:rPr>
              <w:t>” has the meaning as ascribed under the Companies Act (As Revised) of the Cayman Islands.</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rr)</w:t>
            </w:r>
          </w:p>
        </w:tc>
        <w:tc>
          <w:tcPr>
            <w:tcW w:w="9800" w:type="dxa"/>
            <w:tcBorders/>
            <w:vAlign w:val="center"/>
          </w:tcPr>
          <w:p>
            <w:pPr>
              <w:pStyle w:val="TableContents"/>
              <w:bidi w:val="0"/>
              <w:spacing w:before="0" w:after="283"/>
              <w:jc w:val="both"/>
              <w:rPr/>
            </w:pPr>
            <w:r>
              <w:rPr/>
              <w:t>“</w:t>
            </w:r>
            <w:r>
              <w:rPr>
                <w:rFonts w:ascii="Times New Roman;Times;Serif" w:hAnsi="Times New Roman;Times;Serif"/>
                <w:i/>
                <w:sz w:val="20"/>
              </w:rPr>
              <w:t xml:space="preserve">Substitute Award” </w:t>
            </w:r>
            <w:r>
              <w:rPr>
                <w:rFonts w:ascii="Times New Roman;Times;Serif" w:hAnsi="Times New Roman;Times;Serif"/>
                <w:sz w:val="20"/>
              </w:rPr>
              <w:t>shall mean an Award granted under the Plan upon the assumption of, or in substitution for, outstanding equity awards granted by a company or other entity in connection with a corporate transaction, such as a merger, combination, consolidation, or acquisition of property or stock/shares; provided, however, that in no event shall the term “Substitute Award” be construed to refer to an award made in connection with the cancellation and repricing of an Option or Share Appreciation Right.</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Administration.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shall be administered by the Administrator and shall be administered in accordance with, to the extent applicable, Rule 16b-3 under the Exchange Act (“</w:t>
      </w:r>
      <w:r>
        <w:rPr>
          <w:rFonts w:ascii="Times New Roman;Times;Serif" w:hAnsi="Times New Roman;Times;Serif"/>
          <w:b w:val="false"/>
          <w:i/>
          <w:caps w:val="false"/>
          <w:smallCaps w:val="false"/>
          <w:sz w:val="20"/>
        </w:rPr>
        <w:t>Rule 16b-3</w:t>
      </w:r>
      <w:r>
        <w:rPr>
          <w:rFonts w:ascii="Times New Roman;Times;Serif" w:hAnsi="Times New Roman;Times;Serif"/>
          <w:b w:val="false"/>
          <w:i w:val="false"/>
          <w:caps w:val="false"/>
          <w:smallCaps w:val="false"/>
          <w:sz w:val="20"/>
        </w:rPr>
        <w:t>”).</w:t>
      </w:r>
    </w:p>
    <w:p>
      <w:pPr>
        <w:pStyle w:val="TextBody"/>
        <w:bidi w:val="0"/>
        <w:ind w:left="0" w:right="0" w:firstLine="36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the terms of the Plan, the Administrator, subject, in the case of any Committee, to any restrictions on the authority delegated to it by the Board, shall have the power and authority, without limitation:</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select those Eligible Recipients who shall be Participants;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determine whether and the extent to which Options, Share Appreciation Rights, Restricted Shares, Restricted Share Units, Performance-Based Awards, Other Share-Based Awards, Other Cash-Based Awards or a combination of any of the foregoing, are to be granted hereunder to Participants;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to be covered by each Award granted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determine the terms and conditions of each Award, not inconsistent with the terms of the Plan, of each Award granted hereunder, including, but not limited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restrictions applicable to Restricted Shares and Restricted Share Units and the conditions under which restrictions applicable to such Restricted Shares and Restricted Share Units shall lapse,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Performance Goals and periods applicable to Awards, if 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Exercise Price of each Award,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the vesting schedule applicable to each Award, and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any amendments to the terms and conditions of outstanding Awards, including, but not limited to, extending the exercise period of such Awards and accelerating the vesting schedule of such Awards;</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of each Award, not inconsistent with the terms of the Plan, which shall govern all written instruments evidencing Options, Share Appreciation Rights, Restricted Shares, Restricted Share Units or Other Share-Based Awards, Other Cash-Based Awards or any combination of the foregoing granted hereunder;</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determine the Fair Market Value;</w:t>
      </w:r>
    </w:p>
    <w:p>
      <w:pPr>
        <w:pStyle w:val="TextBody"/>
        <w:bidi w:val="0"/>
        <w:spacing w:before="0" w:after="283"/>
        <w:jc w:val="left"/>
        <w:rPr/>
      </w:pPr>
      <w:r>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determine the duration and purpose of leaves of absence which may be granted to a Participant without constituting termination of the Participant’s employment for purposes of Awards granted under the Plan;</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adopt, alter and repeal such administrative rules, guidelines and practices governing the Plan as it shall from time to time deem advisable;</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reconcile any inconsistency in, correct any defect in and/or supply any omission in the Plan, any Award Agreement or other instrument or agreement relating to the Plan or an Award granted under the Plan; and</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pStyle w:val="TextBody"/>
        <w:bidi w:val="0"/>
        <w:ind w:left="58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Administrator shall have the right, from time to time, to delegate to one or more officers of the Company the authority of the Administrator to grant and determine the terms and conditions of Awards granted under the Plan, subject to the requirements of any applicable laws and regulations and such other limitations as the Administrator shall determine. In no event shall any such delegation of authority be permitted with respect to Awards to any members of the Board or to any Eligible Recipient who is subject to Rule 16b-3 under the Exchange Act. The Administrator shall also be permitted to delegate, to any appropriate officer or employee of the Company, responsibility for performing certain ministerial functions under the Plan. If the Administrator’s authority is delegated to officers or employees in accordance with the foregoing, all provisions of the Plan relating to the Administrator shall be interpreted in a manner consistent with the foregoing by treating any such reference as a reference to such officer or employee for such purpose. Any action undertaken in accordance with the Administrator’s delegation of authority hereunder shall have the same force and effect as if such action was undertaken directly by the Administrator and shall be deemed for all purposes of the Plan to have been taken by the Administrator.</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decisions made by the Administrator pursuant to the provisions of the Plan shall be final, conclusive, and binding on all persons, including the Company and the Participants. No member of the Board or the Committee, or any officer or employee of the Company or any Affiliate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Affiliate thereof acting on their behalf shall, to the maximum extent permitted by law, be fully indemnified and protected by the Company in respect of any such action, omission, determination or interpretation.</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Shares Subject to the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5 of the Plan, the aggregate number of Shares that are available for issuance pursuant to Awards granted under the Plan (the “</w:t>
      </w:r>
      <w:r>
        <w:rPr>
          <w:rFonts w:ascii="Times New Roman;Times;Serif" w:hAnsi="Times New Roman;Times;Serif"/>
          <w:b w:val="false"/>
          <w:i/>
          <w:caps w:val="false"/>
          <w:smallCaps w:val="false"/>
          <w:sz w:val="20"/>
        </w:rPr>
        <w:t>Maximum Cap</w:t>
      </w:r>
      <w:r>
        <w:rPr>
          <w:rFonts w:ascii="Times New Roman;Times;Serif" w:hAnsi="Times New Roman;Times;Serif"/>
          <w:b w:val="false"/>
          <w:i w:val="false"/>
          <w:caps w:val="false"/>
          <w:smallCaps w:val="false"/>
          <w:sz w:val="20"/>
        </w:rPr>
        <w:t>”) is equal to 9,000,000 Ordinary Shares.</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the maximum number of Shares subject to Awards granted during any fiscal year to any non-employee Director, when taken together with any cash fees paid to such non-employee Director during the fiscal year in respect of his or her service as a Director, shall not exceed US$200,000 in total value (calculating the value of any such Awards based on the grant date Fair Market Value of such Awards for financial reporting purposes).</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Shares issued under the Plan may, in whole or in part, be authorized but unissued Shares or Shares that have been or may be reacquired by the Company in the open market, in private transactions or otherwise. Any Shares subject to an Award under the Plan that, after the Effective Date, are forfeited, canceled, settled or otherwise terminated without a distribution of Shares to a Participant will thereafter be deemed to be available for Awards. In applying the immediately preceding sentence, if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Shares otherwise issuable or issued in respect of, or as part of, any Award are withheld to cover taxes, such Shares shall be treated as having been issued under the Plan and shall not again be available for issuance under the Plan,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Shares otherwise issuable or issued in respect of, or as part of, any Award of Options or Share Appreciation Rights are withheld to cover the Exercise Price, such Shares shall be treated as having been issued under the Plan and shall not be available for issuance under the Plan,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Share-settled Share Appreciation Rights are exercised, the aggregate number of Shares subject to such Share Appreciation Rights shall be deemed issued under the Plan and shall not be available for issuance under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Substitute Awards shall not reduce the Shares authorized for issuance pursuant to exercise or conversion of Awards to be granted under the Plan. In the event that a company acquired by the Company or any Affiliate or with which the Company or any Affiliate combines has shares available for issuance pursuant to award of securities under a pre-existing incentive plan approved by its shareholders and not adopted in contemplation of such acquisition or combination, its remaining shares available for issuance pursuant to exercise or conversion of award of securities to be granted under such pre-existing plan (as adjusted, to the extent appropriate, using the exchange ratio or other adjustment or valuation ratio or formula used in such acquisition or combination to determine the consideration payable to the holders of ordinary shares of the entities party to such acquisition or combination) may be used for Awards under the Plan and shall not reduce the Shares authorized for issuance pursuant to exercise or conversion of Awards to be granted under the Plan;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Awards using such available Shares shall not be granted after the date awards could have been granted under the terms of the said pre-existing plan, absent the acquisition or combination, and shall only be granted to individuals who were not employed by or providing services to the Company or its Affiliates immediately prior to such acquisition or combination.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Equitable Adjustments.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Change in Capitalization, an equitable substitution or proportionate adjustment shall be made, in each case, as may be determined by the Administrator, in its sole discretion, in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Maximum Cap and the maximum number of Shares that may be subject to Awards granted to any Participant in any calendar or fiscal year,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kind, number and Exercise Price subject to outstanding Options and Share Appreciation Rights granted under the Plan,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kind, number and purchase price of Shares subject to outstanding Restricted Shares or Other Share-Based Awards granted under the Plan, in each case as may be determined by the Administrator, in its sole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fractional Shares resulting from the adjustment shall be eliminated or rounded to the nearest whole number, and the Exercise Price per Share for the Shares to be issued pursuant to the exercise of an Option shall be no less than the par value of such Share. Such other equitable substitutions or adjustments shall be made as may be determined by the Administrator, in its sole discretion. Without limiting the generality of the foregoing, in connection with a Change in Capitalization, the Administrator may provide, in its sole discretion, for the cancellation of any outstanding Award granted hereunder in exchange for payment in cash or other property having an aggregate Fair Market Value of the Shares covered by such Award, reduced by the aggregate Exercise Price or purchase price thereof, if any. The Administrator’s determinations pursuant to this Section 5 shall be final, binding and conclusive.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Eligibility.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Participants under the Plan shall be selected from time to time by the Administrator, in its sole discretion, from among Eligible Recipients.</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Options.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The Committee may, in its sole discretion, grant Options to Participants.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granted thereunder.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 The prospective recipient of an Option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5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xml:space="preserve"> The Exercise Price of Shares purchasable under an Option shall be determined by the Administrator in the applicable Award Agreement in its sole discretion at the time of grant, provided that the Exercise Price per Share for the Shares to be issued pursuant to the exercise of an Option shall be no less than the par value of such Share. Notwithstanding the foregoing, the Exercise Price per Share for the Shares underlying an Option granted to a United States tax payer shall be no less than the Fair Market Value of a Share on the date of grant of the Option.</w:t>
      </w:r>
    </w:p>
    <w:p>
      <w:pPr>
        <w:pStyle w:val="TextBody"/>
        <w:bidi w:val="0"/>
        <w:ind w:left="0" w:right="0" w:firstLine="528"/>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Option Term.</w:t>
      </w:r>
      <w:r>
        <w:rPr>
          <w:rFonts w:ascii="Times New Roman;Times;Serif" w:hAnsi="Times New Roman;Times;Serif"/>
          <w:b w:val="false"/>
          <w:i w:val="false"/>
          <w:caps w:val="false"/>
          <w:smallCaps w:val="false"/>
          <w:sz w:val="20"/>
        </w:rPr>
        <w:t xml:space="preserve"> The maximum term of each Option shall be fixed by the Administrator, but in no event shall an Option be exercisable more than (i) ten (10) years after the date such Option is granted to an Employee or (ii) five (5) years after the date such Option is granted to a non-employee Director or a Consultant. Each Option’s term is subject to earlier expiration pursuant to the applicable provisions in the Plan (including section 7(g)) and the Award Agreement. Notwithstanding the foregoing, the Administrator shall have the authority to accelerate the vesting schedule of any outstanding Option at such time and under such circumstances as the Administrator, in its sole discretion, deems appropriate. Notwithstanding any contrary provision herein, if, on the date an outstanding Option would expire, the exercise of the Option, including by a “net exercise” or “cashless” exercise, would violate applicable securities laws or any insider trading policy maintained by the Company from time to time, the expiration date applicable to the Option will be extended, to a date that is thirty (30) calendar days after the date the exercise of the Option would no longer violate applicable securities laws or any such insider trading policy.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as far as the Options granted before the listing of shares of the Company on NASDAQ Capital Market or any other share exchange are concerned, each Option shall be exercised within twelve (12) calendar months after the vesting date as mentioned in the subparagraph (d) below, or otherwise lapse upon expiration of such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Vesting Schedule and Exercisability.</w:t>
      </w:r>
      <w:r>
        <w:rPr>
          <w:rFonts w:ascii="Times New Roman;Times;Serif" w:hAnsi="Times New Roman;Times;Serif"/>
          <w:b w:val="false"/>
          <w:i w:val="false"/>
          <w:caps w:val="false"/>
          <w:smallCaps w:val="false"/>
          <w:sz w:val="20"/>
        </w:rPr>
        <w:t xml:space="preserve"> Each Option shall be vested and exercisable at such time or times and subject to such terms and conditions, including the attainment of pre-established Performance Goals (if applicable),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as far as the Options granted before the listing of shares of the Company on NASDAQ Capital Market or any other share exchange are concerned, such Options shall be vested on either (i) the date(s) specified in the Award Agreement, (ii) after thirty-six (36) calendar months of the grantee’s continuous employment with, or service to, the Company or of any of its affiliates, or (iii) such earlier date as otherwise determined by the Board upon exercising its discretion to accelerate the vesting schedule of the Options.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Method of Exercise.</w:t>
      </w:r>
      <w:r>
        <w:rPr>
          <w:rFonts w:ascii="Times New Roman;Times;Serif" w:hAnsi="Times New Roman;Times;Serif"/>
          <w:b w:val="false"/>
          <w:i w:val="false"/>
          <w:caps w:val="false"/>
          <w:smallCaps w:val="false"/>
          <w:sz w:val="20"/>
        </w:rPr>
        <w:t xml:space="preserve"> Options may be exercised in whole or in part by giving written notice of exercise to the Company specifying the number of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by means of consideration received under any cashless exercise procedure approved by the Administrator (including the withholding of Shares otherwise issuable upon exercise),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in the form of unrestricted Shares already owned by the Participant which have a Fair Market Value on the date of surrender equal to the aggregate Exercise Price of the Shares as to which such Option shall be exercised,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other form of consideration approved by the Administrator and permitted by applicable law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any combination of the foregoing. In determining which methods a Participant may utilize to pay the Exercise Price, the Administrator may consider such factors as it determines are appropriate.</w:t>
      </w:r>
    </w:p>
    <w:p>
      <w:pPr>
        <w:pStyle w:val="TextBody"/>
        <w:bidi w:val="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 xml:space="preserve">Rights as Shareholder. </w:t>
      </w:r>
      <w:r>
        <w:rPr>
          <w:rFonts w:ascii="Times New Roman;Times;Serif" w:hAnsi="Times New Roman;Times;Serif"/>
          <w:b w:val="false"/>
          <w:i w:val="false"/>
          <w:caps w:val="false"/>
          <w:smallCaps w:val="false"/>
          <w:sz w:val="20"/>
        </w:rPr>
        <w:t>A Participant shall have no rights to dividends or any other rights of a shareholder with respect to the Shares subject to an Option until the Participant has given written notice of the exercise thereof, has paid in full for such Shares and has satisfied the requirements of Section 15 of the Plan and the Shares have been issued to the Participant and such Participant has been registered as a shareholder of the Company in the Company’s register of members.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Termination of Employment or Service.</w:t>
      </w:r>
    </w:p>
    <w:p>
      <w:pPr>
        <w:pStyle w:val="TextBody"/>
        <w:bidi w:val="0"/>
        <w:spacing w:before="0" w:after="283"/>
        <w:jc w:val="left"/>
        <w:rPr/>
      </w:pPr>
      <w:r>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the applicable Award Agreement provides otherwise, in the event that the employment or service of a Participant with the Company and all Affiliates thereof shall terminate for any reason other than Cause, Retirement, Disability, or death,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Options granted to such Participant, to the extent that they have been vested at the time of such termination, shall remain exercisable until the date that is ninety (90) days after such termination, on which date they shall expire,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Options granted to such Participant, to the extent that they have not been vested at the time of such termination, shall be cancelled and lapsed at the commencement of business on the date of such termination. The ninety (90) day period described in this Section 7(g)(i) shall be extended to one (1) year after the date of such termination in the event of the Participant’s death during such ninety (90) day period. Notwithstanding the foregoing, no Option shall be exercisable after the expiration of its term or its cancellation.</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Unless the applicable Award Agreement provides otherwise, in the event that the employment or service of a Participant with the Company and all Affiliates thereof shall terminate on account of Retirement, Disability or the death of the Participant,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Options granted to such Participant, to the extent that they have been vested at the time of such termination, shall remain exercisable until the date that is one (1) year after such termination, on which date they shall expire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Options granted to such Participant, to the extent that they have not been vested at the time of such termination, shall be cancelled and lapsed at the commencement of business on the date of such termination. Notwithstanding the foregoing, no Option shall be exercisable after the expiration of its term.</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of the termination of a Participant’s employment or service for Cause, all outstanding Options (whether or not vested) granted to such Participant shall expire at the commencement of business on the date of such termination or its cancellation.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purposes of this Section 7(g), Options that are not exercisable solely due to a blackout period under the applicable securities law and regulations shall be considered exercisable.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Other Change in Employment Status.</w:t>
      </w:r>
      <w:r>
        <w:rPr>
          <w:rFonts w:ascii="Times New Roman;Times;Serif" w:hAnsi="Times New Roman;Times;Serif"/>
          <w:b w:val="false"/>
          <w:i w:val="false"/>
          <w:caps w:val="false"/>
          <w:smallCaps w:val="false"/>
          <w:sz w:val="20"/>
        </w:rPr>
        <w:t xml:space="preserve"> An Option may be affected, both with regard to vesting schedule and termination, by leaves of absence, changes from full-time to part-time employment, partial disability or other changes in the employment status or service of a Participant, as evidenced in a Participant’s Award Agreement.</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Automatic Exercise</w:t>
      </w:r>
      <w:r>
        <w:rPr>
          <w:rFonts w:ascii="Times New Roman;Times;Serif" w:hAnsi="Times New Roman;Times;Serif"/>
          <w:b w:val="false"/>
          <w:i w:val="false"/>
          <w:caps w:val="false"/>
          <w:smallCaps w:val="false"/>
          <w:sz w:val="20"/>
        </w:rPr>
        <w:t>. Unless otherwise provided by the Administrator in an Award Agreement or otherwise, or as otherwise directed by the Participant in writing to the Company, each vested and exercisable Option outstanding on the Automatic Exercise Date with an Exercise Price per Share that is less than the Fair Market Value per Share as of such date and not less than the par value of each Share shall automatically and without further action by the Participant or the Company be exercised on the Automatic Exercise Date. In the sole discretion of the Administrator, payment of the Exercise Price of any such Option shall be made pursuant to Section 7(e) and the Company or any Affiliate shall deduct or withhold an amount sufficient to satisfy all taxes associated with such exercise in accordance with Section 15. Unless otherwise determined by the Administrator, this Section 7(j) shall not apply to an Option if the Participant’s employment or service has terminated on or before the Automatic Exercise Date. For the avoidance of doubt, no Option with an Exercise Price per Share that is equal to or greater the Fair Market Value per Share on the Automatic Exercise Date shall be exercised pursuant to this Section 7(j). This clause (i) will not apply to Options granted before the listing of shares of the Company on NASDAQ Capital Market or any other share exchange.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Share Appreciation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Share Appreciation Rights may be granted either alone (“</w:t>
      </w:r>
      <w:r>
        <w:rPr>
          <w:rFonts w:ascii="Times New Roman;Times;Serif" w:hAnsi="Times New Roman;Times;Serif"/>
          <w:b w:val="false"/>
          <w:i/>
          <w:caps w:val="false"/>
          <w:smallCaps w:val="false"/>
          <w:sz w:val="20"/>
        </w:rPr>
        <w:t>Free Standing Rights</w:t>
      </w:r>
      <w:r>
        <w:rPr>
          <w:rFonts w:ascii="Times New Roman;Times;Serif" w:hAnsi="Times New Roman;Times;Serif"/>
          <w:b w:val="false"/>
          <w:i w:val="false"/>
          <w:caps w:val="false"/>
          <w:smallCaps w:val="false"/>
          <w:sz w:val="20"/>
        </w:rPr>
        <w:t>”) or in conjunction with all or part of any Option granted under the Plan (“</w:t>
      </w:r>
      <w:r>
        <w:rPr>
          <w:rFonts w:ascii="Times New Roman;Times;Serif" w:hAnsi="Times New Roman;Times;Serif"/>
          <w:b w:val="false"/>
          <w:i/>
          <w:caps w:val="false"/>
          <w:smallCaps w:val="false"/>
          <w:sz w:val="20"/>
        </w:rPr>
        <w:t>Related Rights</w:t>
      </w:r>
      <w:r>
        <w:rPr>
          <w:rFonts w:ascii="Times New Roman;Times;Serif" w:hAnsi="Times New Roman;Times;Serif"/>
          <w:b w:val="false"/>
          <w:i w:val="false"/>
          <w:caps w:val="false"/>
          <w:smallCaps w:val="false"/>
          <w:sz w:val="20"/>
        </w:rPr>
        <w:t>”). Related Rights may be granted either at or after the time of the grant of such Option. The Administrator shall determine the Eligible Recipients to whom, and the time or times at which, grants of Share Appreciation Rights shall be made, the number of Shares to be awarded (subject to the Maximum Cap), the price per Share which shall be no less than the par value of such Share, and all other conditions of Share Appreciation Rights. Notwithstanding the foregoing, no Related Right may be granted for more Shares than are subject to the Option to which it relates and any Share Appreciation Right must be granted with an Exercise Price not less than the Fair Market Value of an Ordinary Share on the date of grant. The provisions of Share Appreciation Rights need not be the same with respect to each Participant.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pStyle w:val="TextBody"/>
        <w:bidi w:val="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Awards; Rights as Shareholder.</w:t>
      </w:r>
      <w:r>
        <w:rPr>
          <w:rFonts w:ascii="Times New Roman;Times;Serif" w:hAnsi="Times New Roman;Times;Serif"/>
          <w:b w:val="false"/>
          <w:i w:val="false"/>
          <w:caps w:val="false"/>
          <w:smallCaps w:val="false"/>
          <w:sz w:val="20"/>
        </w:rPr>
        <w:t xml:space="preserve"> The prospective recipient of a Share Appreciation Right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Participants who are granted Share Appreciation Rights shall have no rights as shareholders of the Company with respect to the grant or exercise of such rights.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Exercisability.</w:t>
      </w:r>
    </w:p>
    <w:p>
      <w:pPr>
        <w:pStyle w:val="TextBody"/>
        <w:bidi w:val="0"/>
        <w:spacing w:before="0" w:after="283"/>
        <w:jc w:val="left"/>
        <w:rPr/>
      </w:pPr>
      <w:r>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Share Appreciation Rights that are Free Standing Rights shall be exercisable at such time or times and subject to such terms and conditions as shall be determined by the Administrator in the applicable Award Agreement.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 Appreciation Rights that are Related Rights shall be exercisable only at such time or times and to the extent that the Options to which they relate shall be exercisable in accordance with the provisions of Section 7 above and this Section 8 of the Plan.</w:t>
      </w:r>
    </w:p>
    <w:p>
      <w:pPr>
        <w:pStyle w:val="TextBody"/>
        <w:bidi w:val="0"/>
        <w:ind w:left="58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Payment Upon Exercise.</w:t>
      </w:r>
    </w:p>
    <w:p>
      <w:pPr>
        <w:pStyle w:val="TextBody"/>
        <w:bidi w:val="0"/>
        <w:spacing w:before="0" w:after="283"/>
        <w:jc w:val="left"/>
        <w:rPr/>
      </w:pPr>
      <w:r>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exercise of a Free Standing Right, the Participant shall be entitled to receive up to, but not more than, that number of Shares, determined using the Fair Market Value, equal in value to the excess of the Fair Market Value as of the date of exercise over the price per share specified in the Free Standing Right multiplied by the number of Shares in respect of which the Free Standing Right is being exercised.</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Related Right may be exercised by a Participant by surrendering the applicable portion of the related Option. Upon such exercise and surrender, the Participant shall be entitled to receive up to, but not more than, that number of Shares, determined using the Fair Market Value,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the foregoing, the Administrator may determine to settle the exercise of a Share Appreciation Right in cash (or in any combination of Shares and cash).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Rights as Shareholder.</w:t>
      </w:r>
      <w:r>
        <w:rPr>
          <w:rFonts w:ascii="Times New Roman;Times;Serif" w:hAnsi="Times New Roman;Times;Serif"/>
          <w:b w:val="false"/>
          <w:i w:val="false"/>
          <w:caps w:val="false"/>
          <w:smallCaps w:val="false"/>
          <w:sz w:val="20"/>
        </w:rPr>
        <w:t xml:space="preserve"> A Participant shall have no rights to dividends or any other rights of a shareholder with respect to the Shares subject to a Share Appreciation Right until the Participant has given written notice of the exercise thereof, has satisfied the requirements of Section 15 of the Plan and the Shares have been issued to the Participant.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Termination of Employment or Service.</w:t>
      </w:r>
    </w:p>
    <w:p>
      <w:pPr>
        <w:pStyle w:val="TextBody"/>
        <w:bidi w:val="0"/>
        <w:spacing w:before="0" w:after="283"/>
        <w:jc w:val="left"/>
        <w:rPr/>
      </w:pPr>
      <w:r>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the termination of employment or service with the Company and all Affiliates thereof of a Participant who has been granted one or more Free Standing Rights, such rights shall be exercisable at such time or times and subject to such terms and conditions as shall be determined by the Administrator in the applicable Award Agreement.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Term.</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 of each Free Standing Right shall be fixed by the Administrator, but no Free Standing Right shall be exercisable more than (i) ten (10) years after the date such Free Standing Right is granted to an Employee or (ii) five (5) years after the date such Free Standing Right is granted to a non-employee Director or a Consultant.</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 of each Related Right shall be the term of the Option to which it relates, but no Related Right shall be exercisable more than (i) ten (10) years after the date such Related Right is granted to an Employee or (ii) five (5) years after the date such Related Right is granted to a non-employee Director or a Consultant.</w:t>
      </w:r>
    </w:p>
    <w:p>
      <w:pPr>
        <w:pStyle w:val="TextBody"/>
        <w:bidi w:val="0"/>
        <w:ind w:left="58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58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Automatic Exercise</w:t>
      </w:r>
      <w:r>
        <w:rPr>
          <w:rFonts w:ascii="Times New Roman;Times;Serif" w:hAnsi="Times New Roman;Times;Serif"/>
          <w:b w:val="false"/>
          <w:i w:val="false"/>
          <w:caps w:val="false"/>
          <w:smallCaps w:val="false"/>
          <w:sz w:val="20"/>
        </w:rPr>
        <w:t>. Unless otherwise provided by the Administrator in an Award Agreement or otherwise, or as otherwise directed by the Participant in writing to the Company, each vested and exercisable Share Appreciation Right outstanding on the Automatic Exercise Date with an Exercise Price per Share that is less than the Fair Market Value per Share as of such date shall automatically and without further action by the Participant or the Company be exercised on the Automatic Exercise Date. The Company or any Affiliate shall deduct or withhold an amount sufficient to satisfy all taxes associated with such exercise in accordance with Section 15. Unless otherwise determined by the Administrator, this Section 8(i) shall not apply to a Share Appreciation Right if the Participant’s employment or service has terminated on or before the Automatic Exercise Date. For the avoidance of doubt, no Share Appreciation Right with an Exercise Price per Share that is equal to or greater the Fair Market Value per Share on the Automatic Exercise Date shall be exercised pursuant to this Section 8(i).</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Restricted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Restricted Shares may be issued either alone or in addition to other Awards granted under the Plan. The Administrator shall determine the Eligible Recipients to whom, and the time or times at which, grants of Restricted Shares shall be made; the number of Shares to be awarded subject to the Maximum Cap; the price, if any, to be paid by the Participant for the acquisition of Restricted Shares; the Restricted Period, if any, applicable to Restricted Shares; the Performance Goals (if any) applicable to Restricted Shares; and all other conditions of the Restricted Shares. If the restrictions, Performance Goals and/or conditions established by the Administrator are not attained, a Participant shall forfeit his or her Restricted Shares in accordance with the terms of the grant. The provisions of the Restricted Shares need not be the same with respect to each Participant.</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Awards and Certificates.</w:t>
      </w:r>
      <w:r>
        <w:rPr>
          <w:rFonts w:ascii="Times New Roman;Times;Serif" w:hAnsi="Times New Roman;Times;Serif"/>
          <w:b w:val="false"/>
          <w:i w:val="false"/>
          <w:caps w:val="false"/>
          <w:smallCaps w:val="false"/>
          <w:sz w:val="20"/>
        </w:rPr>
        <w:t xml:space="preserve"> The prospective recipient of Restricted Shares shall not have any rights with respect to any such Award, unless and until such recipient has received an Award Agreement and, if required by the Administrator in the Award Agreement, executed and delivered a fully executed copy thereof to the Company, along with a share power or share transfer form, endorsed in blank covering the Shares covered by such Award, within a period of sixty (60) days (or such other period as the Administrator may specify) after the award date. Except as otherwise provided in Section 9(c) of the Plan,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each Participant who is granted an award of Restricted Shares may, in the Company’s sole discretion, be issued a share certificate in respect of such Restricted Shares;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such certificate so issued shall be registered in the name of the Participant, and shall bear an appropriate legend referring to the terms, conditions, and restrictions applicable to any such Award.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that the share certificates, if any, evidencing Restricted Shares granted hereunder be held in the custody of the Company until the restrictions thereon shall have lapsed, and that, as a condition of any award of Restricted Shares, the Participant shall have delivered a share power or share transfer form, endorsed in blank, relating to the Shares covered by such Award.</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Plan to the contrary, any Restricted Shares (whether before or after any vesting conditions have been satisfied) may, in the Company’s sole discretion, be issued in uncertificated form pursuant to the customary arrangements for issuing shares in such form.</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Restrictions and Conditions.</w:t>
      </w:r>
      <w:r>
        <w:rPr>
          <w:rFonts w:ascii="Times New Roman;Times;Serif" w:hAnsi="Times New Roman;Times;Serif"/>
          <w:b w:val="false"/>
          <w:i w:val="false"/>
          <w:caps w:val="false"/>
          <w:smallCaps w:val="false"/>
          <w:sz w:val="20"/>
        </w:rPr>
        <w:t xml:space="preserve"> The Restricted Shares granted pursuant to this Section 9 shall be subject to the following restrictions and conditions and any additional restrictions or conditions as determined by the Administrator at the time of grant or thereafter:</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a non-employee Director or Consultant of the Company or an Affiliate thereof, or the Participant’s death or Disability.</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provided in the Award Agreement, the Participant shall generally have the rights of a shareholder of the Company with respect to Restricted Shares during the Restricted Period. In the Administrator’s discretion and as provided in the applicable Award Agreement, a Participant may be entitled to dividends or dividend equivalents on an Award of Restricted Shares, which will be payable in accordance with the terms of such grant as determined by the Administrator. Certificates for unrestricted Ordinary Shares may, in the Company’s sole discretion, be delivered to the Participant only after the Restricted Period has expired without forfeiture in respect of such Restricted Shares, except as the Administrator, in its sole discretion, shall otherwise determine. The Restricted Shares shall be subject to forfeiture to the extent provided in the applicable Award Agreement and to the extent such Shares are forfeited, the share certificates shall be returned to the Company, and all rights of the Participant to such Shares and as a shareholder with respect to such Shares shall terminate without further obligation on the part of the Company.</w:t>
      </w:r>
    </w:p>
    <w:p>
      <w:pPr>
        <w:pStyle w:val="TextBody"/>
        <w:bidi w:val="0"/>
        <w:ind w:left="5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rights of Participants granted Restricted Shares upon termination of employment or service as a non-employee Director or Consultant of the Company or an Affiliate thereof terminates for any reason during the Restricted Period shall be set forth in the Award Agreement.</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58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Restricted Share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Restricted Share Units may be issued either alone or in addition to other Awards granted under the Plan. The Administrator shall determine the Eligible Recipients to whom, and the time or times at which, grants of Restricted Share Units shall be made; the number of Restricted Share Units to be awarded; the Restricted Period, if any, applicable to Restricted Share Units; the Performance Goals (if any) applicable to Restricted Share Units; and all other conditions of the Restricted Share Units. If the restrictions, Performance Goals and/or conditions established by the Administrator are not attained, a Participant shall forfeit his or her Restricted Share Units in accordance with the terms of the grant. The provisions of Restricted Share Units need not be the same with respect to each Participant.</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Award Agreement.</w:t>
      </w:r>
      <w:r>
        <w:rPr>
          <w:rFonts w:ascii="Times New Roman;Times;Serif" w:hAnsi="Times New Roman;Times;Serif"/>
          <w:b w:val="false"/>
          <w:i w:val="false"/>
          <w:caps w:val="false"/>
          <w:smallCaps w:val="false"/>
          <w:sz w:val="20"/>
        </w:rPr>
        <w:t xml:space="preserve"> The prospective recipient of Restricted Share Units shall not have any rights with respect to any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No Ordinary Shares shall be issued at the time a Restricted Share Unit is granted, and the Company will not be required to set aside a fund for the payment of any such Award.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Restrictions and Conditions.</w:t>
      </w:r>
      <w:r>
        <w:rPr>
          <w:rFonts w:ascii="Times New Roman;Times;Serif" w:hAnsi="Times New Roman;Times;Serif"/>
          <w:b w:val="false"/>
          <w:i w:val="false"/>
          <w:caps w:val="false"/>
          <w:smallCaps w:val="false"/>
          <w:sz w:val="20"/>
        </w:rPr>
        <w:t xml:space="preserve"> The Restricted Share Units granted pursuant to this Section 10 shall be subject to the following restrictions and conditions and any additional restrictions or conditions as determined by the Administrator at the time of grant or thereafter:</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a non-employee Director or Consultant of the Company or an Affiliate thereof, or the Participant’s death or Disability.</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Participants holding Restricted Share Units shall have no voting rights. A Restricted Share Unit may, at the Administrator’s discretion, carry with it a right to dividend equivalents. Such right would entitle the holder to be credited with an amount equal to all cash dividends paid on one Share while the Restricted Share Unit is outstanding. The Administrator, in its discretion, may grant dividend equivalents from the date of grant or only after a Restricted Share Unit is vested.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rights of Participants granted Restricted Share Units upon termination of employment or service as a non-employee Director or Consultant of the Company or an Affiliate thereof terminates for any reason during the Restricted Period shall be set forth in the Award Agreement.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Settlement of Restricted Share Units</w:t>
      </w:r>
      <w:r>
        <w:rPr>
          <w:rFonts w:ascii="Times New Roman;Times;Serif" w:hAnsi="Times New Roman;Times;Serif"/>
          <w:b w:val="false"/>
          <w:i w:val="false"/>
          <w:caps w:val="false"/>
          <w:smallCaps w:val="false"/>
          <w:sz w:val="20"/>
        </w:rPr>
        <w:t>. Settlement of vested Restricted Share Units shall be made to Participants in the form of Shares, unless the Administrator, in its sole discretion, provides for the payment of the Restricted Share Units in cash (or partly in cash and partly in Shares) equal to the Fair Market Value of the Shares that would otherwise be distributed to the Participant.</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Rights as Shareholder</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Except as provided in the Award Agreement in accordance with Section 10(c)(ii), a Participant shall have no rights to dividends or any other rights of a shareholder with respect to the Shares subject to Restricted Share Units until the Participant has satisfied all conditions of the Award Agreement and the requirements of Section 15 of the Plan and the Shares have been issued to the Participant.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Other Share-Based or Cash-Based Awards.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Administrator is authorized to grant Awards to Participants in the form of Other Share-Based Awards or Other Cash-Based Awards, as deemed by the Administrator to be consistent with the purposes of the Plan and as evidenced by an Award Agreement. The Administrator shall determine the terms and conditions of such Awards, consistent with the terms of the Plan, at the date of grant or thereafter, including any Performance Goals and performance periods. Ordinary Shares or other securities or property delivered pursuant to an Award in the nature of a purchase right granted under this Section 11 shall be purchased for such consideration, paid for at such times, by such methods, and in such forms, including, without limitation, Shares, other Awards, notes or other property, as the Administrator shall determine, subject to any required corporate action.</w:t>
      </w:r>
    </w:p>
    <w:p>
      <w:pPr>
        <w:pStyle w:val="TextBody"/>
        <w:bidi w:val="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prospective recipient of an Other Share-Based Award or Other Cash-Based Award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herein to the contrary, upon a Change in Control, all outstanding Other Share- Based Awards and Other Cash-Based Awards shall be subject to Section 12 of the Plan.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Amendment and Termination.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or the Committee may amend, alter or terminate the Plan, but no amendment, alteration, or termination shall be made that would impair the rights of a Participant under any Award theretofore granted without such Participant’s consent. For the avoidance of doubt, to the extent required by the applicable rules of Nasdaq or any other securities exchange on which the Shares may be listed, no such amendment shall be effective without shareholder approval.</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approval of the Company’s shareholders shall be obtained to increase the Maximum Cap and annual Award limits described in Section 4.</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terms and conditions of the Plan, the Administrator may modify, extend or renew outstanding Awards under the Plan, or accept the surrender of outstanding Awards (to the extent not already exercised) and grant new Awards in substitution of them (to the extent not already exercised).</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no alteration, modification or termination of an Award will, without the prior written consent of the Participant who has been granted Awards, adversely alter or impair any rights or obligations under any Award already granted under the Plan.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Unfunded Status of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intended to constitute an “unfunded” plan for incentive compensation. Neither the Company, the Board nor the Administrator shall be required to establish any special or separate fund or to segregate any assets to assure the performance of its obligations under the Plan. With respect to any payments not yet made or Shares not yet transferred or issued to a Participant by the Company, nothing contained herein shall give any such Participant any rights that are greater than those of a general creditor of the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 Withholding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Participant shall, no later than the date as of which the value of an Award first becomes includible in the gross income of such Participant for income tax purposes, pay to the Company, or make arrangements satisfactory to the Administrator regarding payment of, any taxes of any kind, domestic or foreign, required by the applicable law or regulation to be withheld with respect to the Award.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granted hereunder, the Company shall have the right to deduct therefrom an amount sufficient to satisfy any withholding tax requirements related thereto. Whenever Shares are to be delivered pursuant to an Award, the Company shall have the right to require the Participant to remit to the Company in cash an amount sufficient to satisfy any related taxes, domestic or foreign, to be withheld and applied to the tax obligations. With the approval of the Administrator, a Participant may satisfy the foregoing requirement by electing to have the Company withhold from delivery of Shares or by delivering already owned unrestricted Ordinary Shares, in each case, having a value equal to the amount required to be withheld or such other greater amount up to the maximum statutory rate under applicable law, as applicable to such Participant, if such other greater amount would not result in adverse financial accounting treatment, as determined by the Administrator. Such Shares shall be valued at their Fair Market Value on the date of which the amount of tax to be withheld is determined.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Option or other Award.</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 Transfer of Awards.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purported sale, assignment, mortgage, hypothecation, transfer, charge, pledge, encumbrance, gift, transfer in trust (voting or other) or other disposition of, or creation of a security interest in or lien on, any Award or any agreement or commitment to do any of the foregoing, other than by will or the laws of descent and distribution(each, a “</w:t>
      </w:r>
      <w:r>
        <w:rPr>
          <w:rFonts w:ascii="Times New Roman;Times;Serif" w:hAnsi="Times New Roman;Times;Serif"/>
          <w:b w:val="false"/>
          <w:i/>
          <w:caps w:val="false"/>
          <w:smallCaps w:val="false"/>
          <w:sz w:val="20"/>
        </w:rPr>
        <w:t>Transfer</w:t>
      </w:r>
      <w:r>
        <w:rPr>
          <w:rFonts w:ascii="Times New Roman;Times;Serif" w:hAnsi="Times New Roman;Times;Serif"/>
          <w:b w:val="false"/>
          <w:i w:val="false"/>
          <w:caps w:val="false"/>
          <w:smallCaps w:val="false"/>
          <w:sz w:val="20"/>
        </w:rPr>
        <w:t xml:space="preserve">”) by any holder thereof in violation of the provisions of the Plan or an Award Agreement will be allowed, except with the prior written consent of the Administrator, which consent may be granted or withheld in the sole discretion of the Administrator (provided that such transfer shall comply with applicable law.. Any purported Transfer of an Award or any economic benefit or interest therein in violation of the Plan or an Award Agreement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Unless otherwise determined by the Administrator in accordance with the provisions of the immediately preceding sentence, an Option may be exercised, during the lifetime of the Participant, only by the Participant or, during any period during which the Participant is under a legal disability, by the Participant’s guardian or legal representative.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 Continued Employment.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the Plan shall not confer upon any Eligible Recipient any right to continued employment or service with the Company or an Affiliate thereof, as the case may be, nor shall it interfere in any way with the right of the Company or an Affiliate thereof to terminate the employment or service of any of its Eligible Recipients at any time.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17. Effective Date and Approval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will be effective as of the date on which the Plan is approved by the Board, after shareholder approval (the “</w:t>
      </w:r>
      <w:r>
        <w:rPr>
          <w:rFonts w:ascii="Times New Roman;Times;Serif" w:hAnsi="Times New Roman;Times;Serif"/>
          <w:b w:val="false"/>
          <w:i/>
          <w:caps w:val="false"/>
          <w:smallCaps w:val="false"/>
          <w:sz w:val="20"/>
        </w:rPr>
        <w:t>Effective Date</w:t>
      </w:r>
      <w:r>
        <w:rPr>
          <w:rFonts w:ascii="Times New Roman;Times;Serif" w:hAnsi="Times New Roman;Times;Serif"/>
          <w:b w:val="false"/>
          <w:i w:val="false"/>
          <w:caps w:val="false"/>
          <w:smallCaps w:val="false"/>
          <w:sz w:val="20"/>
        </w:rPr>
        <w:t xml:space="preserve">”). The Plan will be unlimited in duration and the Board, after shareholder approval, may at any time amend, alter, suspend or terminate the Plan. In the event of Plan termination, will remain in effect as long as any Shares awarded under it are outstanding and not fully vested;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Awards will be made under the Plan on or after the tenth anniversary or fifth anniversary of the Effective Date, as applicable in accordance with applicable law. Termination of the Plan will not impair the rights of any Participant, unless mutually agreed otherwise between the Participant and the Administrator, which agreement must be in writing and signed by the Participant and the Company and will not affect the Administrator’s ability to exercise the powers granted to it hereunder with respect to Awards granted under the Plan prior to the date of such termination.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18. Compensation Recovery Policy.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and all Awards issued hereunder shall be subject to any compensation recovery and/or recoupment policy adopted by the Company to comply with applicable law, including, without limitation, the United States Dodd- Frank Wall Street Reform and Consumer Protection Act, or to comport with good corporate governance practices, as such policies may be amended from time to time.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19. Governing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governed by and construed in accordance with the laws of the Cayman Islands, without giving effect to principles of conflicts of law of the Cayman Islands.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 Plan Document Controls.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and each Award Agreement constitute the entire agreement with respect to the subject matter hereof and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event of any inconsistency between the Plan and such Award Agreement, the terms and conditions of the Plan shall control.</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 No Fractional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Ordinary Shares shall be issued or delivered pursuant to the Plan. The Administrator shall determine whether cash, additional Awards or other securities or property shall be issued or paid in lieu of fractional Ordinary Shares or whether any fractional shares should be rounded, forfeited or otherwise eliminated.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22. Securities Law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Award Agreement shall provide that no Ordinary Shares shall be purchased or sold thereunder unless and until (a) any then applicable laws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Ordinary Shares upon exercise of the Awards, provided that this undertaking shall not require the Company to register the Ordinary Shares, the Plan or any Award under the United States Securities Act of 1933 (as amended) with the United States Securities and Exchange Commission or with any state securities commission or stock/share exchange or under any other applicable laws. If, after reasonable efforts, the Company is unable to obtain from any such regulatory commission or agency the authority which counsel for the Company deems necessary for the lawful issuance and sale of Ordinary Shares under the Plan, the Company shall be relieved from any liability for failure to issue and sell Ordinary Shares upon exercise of such Awards unless and until such authority is obtained.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23. Severability.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DEED OF UNDERTAKING, DATED 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DEED OF UNDERTAKING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14 August 2026</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MILES CHRISTIAN PELHAM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Founder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RHINO VENTURES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RADHIKA SUNDARAM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RAMBACTHAVACHALAM DHAKSHINA MOORTHY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w:t>
      </w:r>
    </w:p>
    <w:p>
      <w:pPr>
        <w:pStyle w:val="TextBody"/>
        <w:bidi w:val="0"/>
        <w:spacing w:before="0" w:after="0"/>
        <w:ind w:left="0" w:right="0" w:hanging="0"/>
        <w:jc w:val="center"/>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3390"/>
      </w:tblGrid>
      <w:tr>
        <w:trPr/>
        <w:tc>
          <w:tcPr>
            <w:tcW w:w="339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133600" cy="876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33600" cy="876300"/>
                          </a:xfrm>
                          <a:prstGeom prst="rect">
                            <a:avLst/>
                          </a:prstGeom>
                        </pic:spPr>
                      </pic:pic>
                    </a:graphicData>
                  </a:graphic>
                </wp:inline>
              </w:drawing>
            </w:r>
          </w:p>
        </w:tc>
      </w:tr>
      <w:tr>
        <w:trPr/>
        <w:tc>
          <w:tcPr>
            <w:tcW w:w="339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Baker &amp; McKenzie.Wong &amp; Leow</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 No. 200010145R)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 Beach Road</w:t>
              <w:br/>
              <w:t>#23-11 South Beach Tower</w:t>
              <w:br/>
              <w:t>Singapore 018767</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www.bakermckenzie.com</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Deed of Undertaking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_____14 </w:t>
      </w:r>
      <w:r>
        <w:rPr>
          <w:rFonts w:ascii="Times New Roman;Times;Serif" w:hAnsi="Times New Roman;Times;Serif"/>
          <w:b w:val="false"/>
          <w:i w:val="false"/>
          <w:caps/>
          <w:sz w:val="20"/>
        </w:rPr>
        <w:t>A</w:t>
      </w:r>
      <w:r>
        <w:rPr>
          <w:rFonts w:ascii="Times New Roman;Times;Serif" w:hAnsi="Times New Roman;Times;Serif"/>
          <w:b w:val="false"/>
          <w:i w:val="false"/>
          <w:caps w:val="false"/>
          <w:smallCaps w:val="false"/>
          <w:sz w:val="20"/>
        </w:rPr>
        <w:t>ugust 2026_________________________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MILES CHRISTIAN PELHAM</w:t>
            </w:r>
            <w:r>
              <w:rPr>
                <w:rFonts w:ascii="Times New Roman;Times;Serif" w:hAnsi="Times New Roman;Times;Serif"/>
                <w:b w:val="false"/>
                <w:i w:val="false"/>
                <w:caps w:val="false"/>
                <w:smallCaps w:val="false"/>
                <w:sz w:val="20"/>
              </w:rPr>
              <w:t xml:space="preserve">, an individual with passport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Flat 2, Block F, 18/F Lung Bik House, 8 Lung Poon Street, Diamond Hill, Hong Kong (the “</w:t>
            </w:r>
            <w:r>
              <w:rPr>
                <w:rFonts w:ascii="Times New Roman;Times;Serif" w:hAnsi="Times New Roman;Times;Serif"/>
                <w:b/>
                <w:i w:val="false"/>
                <w:caps w:val="false"/>
                <w:smallCaps w:val="false"/>
                <w:sz w:val="20"/>
              </w:rPr>
              <w:t>Diginex Founder</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RHINO VENTURES LIMITED</w:t>
            </w:r>
            <w:r>
              <w:rPr>
                <w:rFonts w:ascii="Times New Roman;Times;Serif" w:hAnsi="Times New Roman;Times;Serif"/>
                <w:b w:val="false"/>
                <w:i w:val="false"/>
                <w:caps w:val="false"/>
                <w:smallCaps w:val="false"/>
                <w:sz w:val="20"/>
              </w:rPr>
              <w:t>, a company incorporated under the laws of the Cayman Islands with company registration number 414618 and having its registered office at Suite 303, 90 Fort Street, George Town, Grand Cayman, Cayman Islands (“</w:t>
            </w:r>
            <w:r>
              <w:rPr>
                <w:rFonts w:ascii="Times New Roman;Times;Serif" w:hAnsi="Times New Roman;Times;Serif"/>
                <w:b/>
                <w:i w:val="false"/>
                <w:caps w:val="false"/>
                <w:smallCaps w:val="false"/>
                <w:sz w:val="20"/>
              </w:rPr>
              <w:t>RVL</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RADHIKA SUNDARAM</w:t>
            </w:r>
            <w:r>
              <w:rPr>
                <w:rFonts w:ascii="Times New Roman;Times;Serif" w:hAnsi="Times New Roman;Times;Serif"/>
                <w:b w:val="false"/>
                <w:i w:val="false"/>
                <w:caps w:val="false"/>
                <w:smallCaps w:val="false"/>
                <w:sz w:val="20"/>
              </w:rPr>
              <w:t xml:space="preserve">, an individual with NRIC number </w:t>
            </w:r>
            <w:r>
              <w:rPr>
                <w:rFonts w:ascii="Times New Roman;Times;Serif" w:hAnsi="Times New Roman;Times;Serif"/>
                <w:b w:val="false"/>
                <w:i w:val="false"/>
                <w:caps w:val="false"/>
                <w:smallCaps w:val="false"/>
                <w:sz w:val="20"/>
                <w:shd w:fill="000000" w:val="clear"/>
              </w:rPr>
              <w:t xml:space="preserve">                       </w:t>
            </w:r>
            <w:r>
              <w:rPr>
                <w:rFonts w:ascii="Times New Roman;Times;Serif" w:hAnsi="Times New Roman;Times;Serif"/>
                <w:b w:val="false"/>
                <w:i w:val="false"/>
                <w:caps w:val="false"/>
                <w:smallCaps w:val="false"/>
                <w:sz w:val="20"/>
              </w:rPr>
              <w:t> of 47 Kew Heights, #01-47, Singapore 465927 (“</w:t>
            </w:r>
            <w:r>
              <w:rPr>
                <w:rFonts w:ascii="Times New Roman;Times;Serif" w:hAnsi="Times New Roman;Times;Serif"/>
                <w:b/>
                <w:i w:val="false"/>
                <w:caps w:val="false"/>
                <w:smallCaps w:val="false"/>
                <w:sz w:val="20"/>
              </w:rPr>
              <w:t>RS</w:t>
            </w:r>
            <w:r>
              <w:rPr>
                <w:rFonts w:ascii="Times New Roman;Times;Serif" w:hAnsi="Times New Roman;Times;Serif"/>
                <w:b w:val="false"/>
                <w:i w:val="false"/>
                <w:caps w:val="false"/>
                <w:smallCaps w:val="false"/>
                <w:sz w:val="20"/>
              </w:rPr>
              <w:t>”);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RAMBACTHAVACHALAM DHAKSHINA MOORTHY</w:t>
            </w:r>
            <w:r>
              <w:rPr>
                <w:rFonts w:ascii="Times New Roman;Times;Serif" w:hAnsi="Times New Roman;Times;Serif"/>
                <w:b w:val="false"/>
                <w:i w:val="false"/>
                <w:caps w:val="false"/>
                <w:smallCaps w:val="false"/>
                <w:sz w:val="20"/>
              </w:rPr>
              <w:t xml:space="preserve">, an individual with NRIC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2 Ang Mo Kio Central 3, #02-02, Grandeur 8, Singapore 567741 (“</w:t>
            </w:r>
            <w:r>
              <w:rPr>
                <w:rFonts w:ascii="Times New Roman;Times;Serif" w:hAnsi="Times New Roman;Times;Serif"/>
                <w:b/>
                <w:i w:val="false"/>
                <w:caps w:val="false"/>
                <w:smallCaps w:val="false"/>
                <w:sz w:val="20"/>
              </w:rPr>
              <w:t>DR</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Resulticks Founders are the founders of Resulticks Global Companies Pte. Limited, a company incorporated under the laws of Singapore with company registration number 202127753C and having its registered office at 3 Temasek Avenue, #21-27, Centennial Tower, Singapore 039190 (“</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is the founder and major shareholder of Diginex Limited, an exempted company incorporated with limited liability under the laws of the Cayman Islands with company registration number 406606 and having its registered office at 89 Nexus Way, Camana Bay, Grand Cayman, KY1-9009, Cayman Islands (“</w:t>
            </w:r>
            <w:r>
              <w:rPr>
                <w:rFonts w:ascii="Times New Roman;Times;Serif" w:hAnsi="Times New Roman;Times;Serif"/>
                <w:b/>
                <w:i w:val="false"/>
                <w:caps w:val="false"/>
                <w:smallCaps w:val="false"/>
                <w:sz w:val="20"/>
              </w:rPr>
              <w:t>Diginex</w:t>
            </w:r>
            <w:r>
              <w:rPr>
                <w:rFonts w:ascii="Times New Roman;Times;Serif" w:hAnsi="Times New Roman;Times;Serif"/>
                <w:b w:val="false"/>
                <w:i w:val="false"/>
                <w:caps w:val="false"/>
                <w:smallCaps w:val="false"/>
                <w:sz w:val="20"/>
              </w:rPr>
              <w:t>” and collectively with its subsidiaries from time to time,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w:t>
            </w:r>
          </w:p>
        </w:tc>
      </w:tr>
    </w:tbl>
    <w:p>
      <w:pPr>
        <w:pStyle w:val="TextBody"/>
        <w:bidi w:val="0"/>
        <w:spacing w:before="0" w:after="0"/>
        <w:ind w:left="720"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Amendment and Restatement Date, the Diginex Founder and RVL hold directly or indirectly, in aggregate, 8,238,027 Diginex Shares.</w:t>
            </w:r>
          </w:p>
        </w:tc>
      </w:tr>
    </w:tbl>
    <w:p>
      <w:pPr>
        <w:pStyle w:val="TextBody"/>
        <w:bidi w:val="0"/>
        <w:spacing w:before="0" w:after="0"/>
        <w:ind w:left="720" w:right="0" w:hanging="706"/>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15"/>
        <w:gridCol w:w="551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is the sole legal and beneficial owner of RVL.</w:t>
            </w:r>
          </w:p>
        </w:tc>
      </w:tr>
    </w:tbl>
    <w:p>
      <w:pPr>
        <w:pStyle w:val="TextBody"/>
        <w:bidi w:val="0"/>
        <w:spacing w:before="0" w:after="0"/>
        <w:ind w:left="720"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Resulticks Founders, together with the other shareholders of Resulticks, have agreed to sell, and Diginex has agreed to purchase, the ordinary and preference shares of Resulticks collectively representing the entire issued and paid-up share capital of Resulticks (the “</w:t>
            </w:r>
            <w:r>
              <w:rPr>
                <w:rFonts w:ascii="Times New Roman;Times;Serif" w:hAnsi="Times New Roman;Times;Serif"/>
                <w:b/>
                <w:i w:val="false"/>
                <w:caps w:val="false"/>
                <w:smallCaps w:val="false"/>
                <w:sz w:val="20"/>
              </w:rPr>
              <w:t>Sale Shares</w:t>
            </w:r>
            <w:r>
              <w:rPr>
                <w:rFonts w:ascii="Times New Roman;Times;Serif" w:hAnsi="Times New Roman;Times;Serif"/>
                <w:b w:val="false"/>
                <w:i w:val="false"/>
                <w:caps w:val="false"/>
                <w:smallCaps w:val="false"/>
                <w:sz w:val="20"/>
              </w:rPr>
              <w:t>”), on the terms and conditions of a sale and purchase agreement entered into between the Resulticks Founders, the other shareholders of Resulticks and Diginex, dated on the same date as this Deed (the “</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16 April 2026, the Resulticks Founders, the Diginex Founder and RVL entered into a deed of undertaking pursuant to which the Diginex Founder and RVL have agreed to provide certain undertakings in relation to the Transaction to the Resulticks Founders (the “</w:t>
            </w:r>
            <w:r>
              <w:rPr>
                <w:rFonts w:ascii="Times New Roman;Times;Serif" w:hAnsi="Times New Roman;Times;Serif"/>
                <w:b/>
                <w:i w:val="false"/>
                <w:caps w:val="false"/>
                <w:smallCaps w:val="false"/>
                <w:sz w:val="20"/>
              </w:rPr>
              <w:t>Original Deed of Undertaking</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agreed to amend and restate the terms of the Original Deed of Undertaking in accordance with the terms and conditions of this Deed.</w:t>
            </w:r>
          </w:p>
        </w:tc>
      </w:tr>
    </w:tbl>
    <w:p>
      <w:pPr>
        <w:pStyle w:val="TextBody"/>
        <w:bidi w:val="0"/>
        <w:spacing w:before="0" w:after="0"/>
        <w:ind w:left="720" w:right="0" w:hanging="70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IS AGREED</w:t>
      </w:r>
      <w:r>
        <w:rPr>
          <w:rFonts w:ascii="Times New Roman;Times;Serif" w:hAnsi="Times New Roman;Times;Serif"/>
          <w:b w:val="false"/>
          <w:i w:val="false"/>
          <w:caps w:val="false"/>
          <w:smallCaps w:val="false"/>
          <w:sz w:val="20"/>
        </w:rPr>
        <w:t xml:space="preserve"> as follows:</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5"/>
        <w:gridCol w:w="35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5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bl>
    <w:p>
      <w:pPr>
        <w:pStyle w:val="TextBody"/>
        <w:bidi w:val="0"/>
        <w:spacing w:before="0" w:after="0"/>
        <w:ind w:left="720" w:right="0" w:hanging="72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90"/>
        <w:gridCol w:w="10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Deed: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10-Day VWAP</w:t>
      </w:r>
      <w:r>
        <w:rPr>
          <w:rFonts w:ascii="Times New Roman;Times;Serif" w:hAnsi="Times New Roman;Times;Serif"/>
          <w:b w:val="false"/>
          <w:i w:val="false"/>
          <w:caps w:val="false"/>
          <w:smallCaps w:val="false"/>
          <w:sz w:val="20"/>
        </w:rPr>
        <w:t>” means, on any relevant measurement date, the VWAP for 10 consecutive Trading Days ending on such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in relation to a person: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which, directly or indirectly Controls, is Controlled by, or is under common Control with the first mentioned person;</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fund managed and/or advised by any adviser or manager of such person defined in limb (a) above or of any (direct or indirect) holding company of such person defined in limb (a) above or any investor in or director, employee or partner of any of them;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general partner, limited partner, trustee, nominee, operator, arranger of, manager of, or investment adviser to, such person described in limb (a) above or of any (direct or indirect) parent of such person defined in limb (a) above, or of or to any fund managed and/or advised by any investment adviser or manager of such person or of any (direct or indirect) parent as defined in limb (b) above,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in relation to a person who is a natural person,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also include (i) such person’s “</w:t>
      </w:r>
      <w:r>
        <w:rPr>
          <w:rFonts w:ascii="Times New Roman;Times;Serif" w:hAnsi="Times New Roman;Times;Serif"/>
          <w:b/>
          <w:i w:val="false"/>
          <w:caps w:val="false"/>
          <w:smallCaps w:val="false"/>
          <w:sz w:val="20"/>
        </w:rPr>
        <w:t>immediate family members</w:t>
      </w:r>
      <w:r>
        <w:rPr>
          <w:rFonts w:ascii="Times New Roman;Times;Serif" w:hAnsi="Times New Roman;Times;Serif"/>
          <w:b w:val="false"/>
          <w:i w:val="false"/>
          <w:caps w:val="false"/>
          <w:smallCaps w:val="false"/>
          <w:sz w:val="20"/>
        </w:rPr>
        <w:t>,” which shall mean the spouse, parents, grandparents, children, siblings of such person, and (ii) any entity that is Controlled by such person and/or any of such person’s immediate family members.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and Restatement Date</w:t>
      </w:r>
      <w:r>
        <w:rPr>
          <w:rFonts w:ascii="Times New Roman;Times;Serif" w:hAnsi="Times New Roman;Times;Serif"/>
          <w:b w:val="false"/>
          <w:i w:val="false"/>
          <w:caps w:val="false"/>
          <w:smallCaps w:val="false"/>
          <w:sz w:val="20"/>
        </w:rPr>
        <w:t>” means 14 August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any applicable federal, state, territorial, foreign or local law, common law, statute, ordinance, rule, regulation, code, measure, notice, circular, opinion or order of any governmental authority, including any rules promulgated by any applicable stock exchange or regulatory body, whether or not having the force of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a Saturday or Sunday or a public holiday) when commercial banks are open for ordinary banking business in Singapore, the United States, and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Competing Business</w:t>
      </w:r>
      <w:r>
        <w:rPr>
          <w:rFonts w:ascii="Times New Roman;Times;Serif" w:hAnsi="Times New Roman;Times;Serif"/>
          <w:b w:val="false"/>
          <w:i w:val="false"/>
          <w:caps w:val="false"/>
          <w:smallCaps w:val="false"/>
          <w:sz w:val="20"/>
        </w:rPr>
        <w:t>” means any business or undertaking that competes with the business conducted by the Group during the Restricted Period;</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Competitor</w:t>
      </w:r>
      <w:r>
        <w:rPr>
          <w:rFonts w:ascii="Times New Roman;Times;Serif" w:hAnsi="Times New Roman;Times;Serif"/>
          <w:b w:val="false"/>
          <w:i w:val="false"/>
          <w:caps w:val="false"/>
          <w:smallCaps w:val="false"/>
          <w:sz w:val="20"/>
        </w:rPr>
        <w:t>” means any entity that directly or indirectly undertakes a Competing Business;</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w:t>
      </w:r>
      <w:r>
        <w:rPr>
          <w:rFonts w:ascii="Times New Roman;Times;Serif" w:hAnsi="Times New Roman;Times;Serif"/>
          <w:b w:val="false"/>
          <w:i w:val="false"/>
          <w:caps w:val="false"/>
          <w:smallCaps w:val="false"/>
          <w:sz w:val="20"/>
        </w:rPr>
        <w:t>” means completion of the Transaction in accordance with the SPA;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the ownership of or the ability to direct:</w:t>
      </w:r>
    </w:p>
    <w:p>
      <w:pPr>
        <w:pStyle w:val="TextBody"/>
        <w:bidi w:val="0"/>
        <w:spacing w:before="0" w:after="0"/>
        <w:ind w:left="72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body corporate:</w:t>
            </w:r>
          </w:p>
        </w:tc>
      </w:tr>
    </w:tbl>
    <w:p>
      <w:pPr>
        <w:pStyle w:val="TextBody"/>
        <w:bidi w:val="0"/>
        <w:spacing w:before="0" w:after="0"/>
        <w:ind w:left="1440" w:right="0" w:hanging="720"/>
        <w:jc w:val="both"/>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20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issued shares entitled to vote for the election of directors (or analogous persons) of that body corporate;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or removal of directors having a majority of the voting rights exercisable at meetings of the board of directors (or analogous body or bodies, including management boards and supervisory boards) of that body corporate on all, or substantially all, matters;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voting rights exercisable at general meetings of the members of that body corporate on all, or substantially all, matters; or</w:t>
            </w:r>
          </w:p>
        </w:tc>
      </w:tr>
    </w:tbl>
    <w:p>
      <w:pPr>
        <w:pStyle w:val="TextBody"/>
        <w:bidi w:val="0"/>
        <w:spacing w:before="0" w:after="0"/>
        <w:ind w:left="2160" w:right="0" w:hanging="72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245"/>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other person, the ownership of or the ability to direct a majority of the voting rights in that person,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w:t>
      </w:r>
      <w:r>
        <w:rPr>
          <w:rFonts w:ascii="Times New Roman;Times;Serif" w:hAnsi="Times New Roman;Times;Serif"/>
          <w:b w:val="false"/>
          <w:i w:val="false"/>
          <w:caps w:val="false"/>
          <w:smallCaps w:val="false"/>
          <w:sz w:val="20"/>
        </w:rPr>
        <w:t>” has the meaning given to it in Recital 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Diginex Additional Investment</w:t>
      </w:r>
      <w:r>
        <w:rPr>
          <w:rFonts w:ascii="Times New Roman;Times;Serif" w:hAnsi="Times New Roman;Times;Serif"/>
          <w:b w:val="false"/>
          <w:i w:val="false"/>
          <w:caps w:val="false"/>
          <w:smallCaps w:val="false"/>
          <w:sz w:val="20"/>
        </w:rPr>
        <w:t>” has the meaning given to it in the SPA;</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Founder Warrant Agreement</w:t>
      </w:r>
      <w:r>
        <w:rPr>
          <w:rFonts w:ascii="Times New Roman;Times;Serif" w:hAnsi="Times New Roman;Times;Serif"/>
          <w:b w:val="false"/>
          <w:i w:val="false"/>
          <w:caps w:val="false"/>
          <w:smallCaps w:val="false"/>
          <w:sz w:val="20"/>
        </w:rPr>
        <w:t>” means the warrant issuance and cancellation deed dated 15 July 2024, as amended on 30 January 2026, entered into between Diginex, Diginex Solutions (HK) Limited and Rhino Ventures Limited;</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Founder Warrants</w:t>
      </w:r>
      <w:r>
        <w:rPr>
          <w:rFonts w:ascii="Times New Roman;Times;Serif" w:hAnsi="Times New Roman;Times;Serif"/>
          <w:b w:val="false"/>
          <w:i w:val="false"/>
          <w:caps w:val="false"/>
          <w:smallCaps w:val="false"/>
          <w:sz w:val="20"/>
        </w:rPr>
        <w:t>” means the 4,170,520 warrants to purchase Diginex Shares at a subscription price of USD 6.13 per Diginex warrant (as may be adjusted in accordance with the terms of the Diginex Founder Warrant Agreement), granted by Diginex to Rhino Ventures Limited (as warrant holder) to purchase Diginex Shares pursuant to and on the terms of the Diginex Founder Warrant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Diginex Incentive Plan</w:t>
      </w:r>
      <w:r>
        <w:rPr>
          <w:rFonts w:ascii="Times New Roman;Times;Serif" w:hAnsi="Times New Roman;Times;Serif"/>
          <w:b w:val="false"/>
          <w:i w:val="false"/>
          <w:caps w:val="false"/>
          <w:smallCaps w:val="false"/>
          <w:sz w:val="20"/>
        </w:rPr>
        <w:t>” has the meaning given to it in the SPA;</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Diginex Investment Proceeds</w:t>
      </w:r>
      <w:r>
        <w:rPr>
          <w:rFonts w:ascii="Times New Roman;Times;Serif" w:hAnsi="Times New Roman;Times;Serif"/>
          <w:b w:val="false"/>
          <w:i w:val="false"/>
          <w:caps w:val="false"/>
          <w:smallCaps w:val="false"/>
          <w:sz w:val="20"/>
        </w:rPr>
        <w:t>” has the meaning given to it in Clause 2.7(a)(i);</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Shares</w:t>
      </w:r>
      <w:r>
        <w:rPr>
          <w:rFonts w:ascii="Times New Roman;Times;Serif" w:hAnsi="Times New Roman;Times;Serif"/>
          <w:b w:val="false"/>
          <w:i w:val="false"/>
          <w:caps w:val="false"/>
          <w:smallCaps w:val="false"/>
          <w:sz w:val="20"/>
        </w:rPr>
        <w:t>” means the issued ordinary shares of Diginex;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Dispose</w:t>
      </w:r>
      <w:r>
        <w:rPr>
          <w:rFonts w:ascii="Times New Roman;Times;Serif" w:hAnsi="Times New Roman;Times;Serif"/>
          <w:b w:val="false"/>
          <w:i w:val="false"/>
          <w:caps w:val="false"/>
          <w:smallCaps w:val="false"/>
          <w:sz w:val="20"/>
        </w:rPr>
        <w:t>” means, in relation to any Diginex Share: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sell, transfer, assign, swap, surrender, gift, declare a trust over, or otherwise dispose of, deal with or Encumber, any direct or indirect, legal or equitable interest in the Diginex Share;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do anything which has the effect of placing a person in substantially the same position as that person would have been in had any of the things mentioned in paragraph (a) above been done; or;</w:t>
            </w:r>
          </w:p>
        </w:tc>
      </w:tr>
    </w:tbl>
    <w:p>
      <w:pPr>
        <w:pStyle w:val="TextBody"/>
        <w:bidi w:val="0"/>
        <w:spacing w:before="0" w:after="0"/>
        <w:ind w:left="1440" w:right="0" w:hanging="72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3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authorise, agree to or attempt to do any of the things mentioned in paragraph (a) or (b) above,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term </w:t>
      </w:r>
      <w:r>
        <w:rPr>
          <w:rFonts w:ascii="Times New Roman;Times;Serif" w:hAnsi="Times New Roman;Times;Serif"/>
          <w:b/>
          <w:i w:val="false"/>
          <w:caps w:val="false"/>
          <w:smallCaps w:val="false"/>
          <w:sz w:val="20"/>
        </w:rPr>
        <w:t>Disposal</w:t>
      </w:r>
      <w:r>
        <w:rPr>
          <w:rFonts w:ascii="Times New Roman;Times;Serif" w:hAnsi="Times New Roman;Times;Serif"/>
          <w:b w:val="false"/>
          <w:i w:val="false"/>
          <w:caps w:val="false"/>
          <w:smallCaps w:val="false"/>
          <w:sz w:val="20"/>
        </w:rPr>
        <w:t xml:space="preserve"> has a corresponding meaning;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any pledge, charge, lien (other than a lien arising by operation of law in the ordinary course of trading), mortgage, debenture, hypothecation, security interest, pre-emption right or option, and “</w:t>
      </w:r>
      <w:r>
        <w:rPr>
          <w:rFonts w:ascii="Times New Roman;Times;Serif" w:hAnsi="Times New Roman;Times;Serif"/>
          <w:b/>
          <w:i w:val="false"/>
          <w:caps w:val="false"/>
          <w:smallCaps w:val="false"/>
          <w:sz w:val="20"/>
        </w:rPr>
        <w:t>Encumber</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Excess Liabilities</w:t>
      </w:r>
      <w:r>
        <w:rPr>
          <w:rFonts w:ascii="Times New Roman;Times;Serif" w:hAnsi="Times New Roman;Times;Serif"/>
          <w:b w:val="false"/>
          <w:i w:val="false"/>
          <w:caps w:val="false"/>
          <w:smallCaps w:val="false"/>
          <w:sz w:val="20"/>
        </w:rPr>
        <w:t>” means all of the past, current, outstanding and contingent liabilities of Diginex and its subsidiaries in respect of the period prior to Completion, which are in excess of USD 20,000,000, and excluding any such liabilities recovered under any insurance policy of Diginex and/or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Release Date</w:t>
      </w:r>
      <w:r>
        <w:rPr>
          <w:rFonts w:ascii="Times New Roman;Times;Serif" w:hAnsi="Times New Roman;Times;Serif"/>
          <w:b w:val="false"/>
          <w:i w:val="false"/>
          <w:caps w:val="false"/>
          <w:smallCaps w:val="false"/>
          <w:sz w:val="20"/>
        </w:rPr>
        <w:t>” has the meaning given to it in the SPA;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Fully Diluted Basis</w:t>
      </w:r>
      <w:r>
        <w:rPr>
          <w:rFonts w:ascii="Times New Roman;Times;Serif" w:hAnsi="Times New Roman;Times;Serif"/>
          <w:b w:val="false"/>
          <w:i w:val="false"/>
          <w:caps w:val="false"/>
          <w:smallCaps w:val="false"/>
          <w:sz w:val="20"/>
        </w:rPr>
        <w:t>” means a calculation assuming that all and any Diginex Shares, securities, rights, options, warrants or instruments (including debt instruments) that are convertible into or entitle the holder to acquire or receive any Diginex Shares or any options to purchase rights to subscribe for securities by their terms convertible into or exchangeable for Diginex Shares, or any other Diginex Shares with voting rights or economic rights, including any options issued (whether vested or unvested) or reserved for issuance under any share option plan or scheme by whatever name called of Diginex, existing at the time of determination have been exercised or converted into equity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has the meaning given to it in Recital 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Incentive Plan Shares</w:t>
      </w:r>
      <w:r>
        <w:rPr>
          <w:rFonts w:ascii="Times New Roman;Times;Serif" w:hAnsi="Times New Roman;Times;Serif"/>
          <w:b w:val="false"/>
          <w:i w:val="false"/>
          <w:caps w:val="false"/>
          <w:smallCaps w:val="false"/>
          <w:sz w:val="20"/>
        </w:rPr>
        <w:t>” means the 303,375 Diginex Shares issued by Diginex to the Diginex Founder in connection with the Diginex Incentive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has the meaning given to it in Clause 12;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 IPO Warrants</w:t>
      </w:r>
      <w:r>
        <w:rPr>
          <w:rFonts w:ascii="Times New Roman;Times;Serif" w:hAnsi="Times New Roman;Times;Serif"/>
          <w:b w:val="false"/>
          <w:i w:val="false"/>
          <w:caps w:val="false"/>
          <w:smallCaps w:val="false"/>
          <w:sz w:val="20"/>
        </w:rPr>
        <w:t>” means, collectively, all of the outstanding warrants to purchase Diginex Shares issued by the Purchaser in connection with the initial public offering of the Purchaser, including:</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8.24 per Diginex Share, which expire on 23 April 2028, pursuant to a warrant instrument dated 23 January 2025 issued by Diginex;</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10.24 per Diginex Share, which expire on 23 July 2028, pursuant to a warrant instrument dated 23 January 2025 issued by Diginex;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12.32 per Diginex Share, which expire on 23 January 2029, pursuant to a warrant instrument dated 23 January 2025 issued by Diginex,</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Outstanding IPO Warrant Agreements</w:t>
      </w:r>
      <w:r>
        <w:rPr>
          <w:rFonts w:ascii="Times New Roman;Times;Serif" w:hAnsi="Times New Roman;Times;Serif"/>
          <w:b w:val="false"/>
          <w:i w:val="false"/>
          <w:caps w:val="false"/>
          <w:smallCaps w:val="false"/>
          <w:sz w:val="20"/>
        </w:rPr>
        <w:t>” shall mean the warrant instruments referred to in (a) to (c) above;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Released Relevant Treasury Shares</w:t>
      </w:r>
      <w:r>
        <w:rPr>
          <w:rFonts w:ascii="Times New Roman;Times;Serif" w:hAnsi="Times New Roman;Times;Serif"/>
          <w:b w:val="false"/>
          <w:i w:val="false"/>
          <w:caps w:val="false"/>
          <w:smallCaps w:val="false"/>
          <w:sz w:val="20"/>
        </w:rPr>
        <w:t>” means, in respect of any Tranche Date: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number of the Relevant Treasury Shares equivalent to the relevant Diginex Investment Proceeds divided by the 10-Day VWAP on such Tranche Date;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Diginex holds fewer Relevant Treasury Shares than such number referred to in (a) above, then all remaining Relevant Treasury Shares held by Diginex, if any;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Capacity</w:t>
      </w:r>
      <w:r>
        <w:rPr>
          <w:rFonts w:ascii="Times New Roman;Times;Serif" w:hAnsi="Times New Roman;Times;Serif"/>
          <w:b w:val="false"/>
          <w:i w:val="false"/>
          <w:caps w:val="false"/>
          <w:smallCaps w:val="false"/>
          <w:sz w:val="20"/>
        </w:rPr>
        <w:t>” means for its own account or for that of any person (other than Diginex or any member of the Group) and whether through the medium of any company Controlled by it (for which purpose there shall be aggregated with its shareholding or ability to exercise Control the shares held or Control exercised by any person connected with the Diginex Founder or RVL) or as principal, partner, director, employee, consultant or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Treasury Shares</w:t>
      </w:r>
      <w:r>
        <w:rPr>
          <w:rFonts w:ascii="Times New Roman;Times;Serif" w:hAnsi="Times New Roman;Times;Serif"/>
          <w:b w:val="false"/>
          <w:i w:val="false"/>
          <w:caps w:val="false"/>
          <w:smallCaps w:val="false"/>
          <w:sz w:val="20"/>
        </w:rPr>
        <w:t>” has the meaning given to it in the SPA;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Client</w:t>
      </w:r>
      <w:r>
        <w:rPr>
          <w:rFonts w:ascii="Times New Roman;Times;Serif" w:hAnsi="Times New Roman;Times;Serif"/>
          <w:b w:val="false"/>
          <w:i w:val="false"/>
          <w:caps w:val="false"/>
          <w:smallCaps w:val="false"/>
          <w:sz w:val="20"/>
        </w:rPr>
        <w:t>” means any person, firm or company who is or has been a customer of the Group at any time during the period of 24 months prior to the expiry of the Restricted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Employees</w:t>
      </w:r>
      <w:r>
        <w:rPr>
          <w:rFonts w:ascii="Times New Roman;Times;Serif" w:hAnsi="Times New Roman;Times;Serif"/>
          <w:b w:val="false"/>
          <w:i w:val="false"/>
          <w:caps w:val="false"/>
          <w:smallCaps w:val="false"/>
          <w:sz w:val="20"/>
        </w:rPr>
        <w:t>” means the chief executive officer, chief innovation and product officer, chief technology officer, chief strategy and business officer, chief of staff, chief financial officer / head of finance and other “C-suite” officers (or equivalent) of the Group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means the period of 24 months immediately following the closing of the Transaction;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Territory</w:t>
      </w:r>
      <w:r>
        <w:rPr>
          <w:rFonts w:ascii="Times New Roman;Times;Serif" w:hAnsi="Times New Roman;Times;Serif"/>
          <w:b w:val="false"/>
          <w:i w:val="false"/>
          <w:caps w:val="false"/>
          <w:smallCaps w:val="false"/>
          <w:sz w:val="20"/>
        </w:rPr>
        <w:t>” means any territory in which the Group conducts business at the relevant time, being Singapore, India and the United States of America as at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 has the meaning given to it in Recital 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Resulticks Founders</w:t>
      </w:r>
      <w:r>
        <w:rPr>
          <w:rFonts w:ascii="Times New Roman;Times;Serif" w:hAnsi="Times New Roman;Times;Serif"/>
          <w:b w:val="false"/>
          <w:i w:val="false"/>
          <w:caps w:val="false"/>
          <w:smallCaps w:val="false"/>
          <w:sz w:val="20"/>
        </w:rPr>
        <w:t>” means each of RS and DR, and “</w:t>
      </w:r>
      <w:r>
        <w:rPr>
          <w:rFonts w:ascii="Times New Roman;Times;Serif" w:hAnsi="Times New Roman;Times;Serif"/>
          <w:b/>
          <w:i w:val="false"/>
          <w:caps w:val="false"/>
          <w:smallCaps w:val="false"/>
          <w:sz w:val="20"/>
        </w:rPr>
        <w:t>Resulticks Founder</w:t>
      </w:r>
      <w:r>
        <w:rPr>
          <w:rFonts w:ascii="Times New Roman;Times;Serif" w:hAnsi="Times New Roman;Times;Serif"/>
          <w:b w:val="false"/>
          <w:i w:val="false"/>
          <w:caps w:val="false"/>
          <w:smallCaps w:val="false"/>
          <w:sz w:val="20"/>
        </w:rPr>
        <w:t>” means any one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Shares</w:t>
      </w:r>
      <w:r>
        <w:rPr>
          <w:rFonts w:ascii="Times New Roman;Times;Serif" w:hAnsi="Times New Roman;Times;Serif"/>
          <w:b w:val="false"/>
          <w:i w:val="false"/>
          <w:caps w:val="false"/>
          <w:smallCaps w:val="false"/>
          <w:sz w:val="20"/>
        </w:rPr>
        <w:t>” has the meaning given to it in Recital 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 has the meaning given to it in Recital 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the Nasdaq or such other principal United States securities exchange on which the Diginex Shares is listed, quoted or admitted to trading and is open for the transaction of business (unless such trading shall have been suspended for the entire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Date</w:t>
      </w:r>
      <w:r>
        <w:rPr>
          <w:rFonts w:ascii="Times New Roman;Times;Serif" w:hAnsi="Times New Roman;Times;Serif"/>
          <w:b w:val="false"/>
          <w:i w:val="false"/>
          <w:caps w:val="false"/>
          <w:smallCaps w:val="false"/>
          <w:sz w:val="20"/>
        </w:rPr>
        <w:t>” has the meaning given to it in Clause 2.7(a);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means the sale and purchase of the Sale Shares pursuant to, and in accordance with, the SPA;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the daily per share volume-weighted average price of the Diginex Shares on the Nasdaq or such other principal United States securities exchange on which the Diginex Shares are listed, quoted or admitted to trading, as displayed under the heading Bloomberg VWAP on the Bloomberg page designated for the Diginex Shares (or the equivalent successor if such page is not available) in respect of the period from the open of trading on such Trading Day until the close of trading on such Trading Day (or if such volume-weighted average price is unavailable, (a) the per share volume-weighted average price of a share of a Diginex Share on such Trading Day (determined without regard to afterhours trading or any other trading outside the regular trading session or trading hours), or (b) if such determination is not feasible, the market price per share of a Diginex Share, in either case as determined by a nationally recognized independent investment banking firm retained in good faith for this purpose by the Resulticks Founders).</w:t>
      </w:r>
    </w:p>
    <w:p>
      <w:pPr>
        <w:pStyle w:val="TextBody"/>
        <w:bidi w:val="0"/>
        <w:spacing w:before="0" w:after="0"/>
        <w:ind w:left="72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provisions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statute or statutory provision include a reference to that statute or statutory provision as amended, supplemented, consolidated or replaced from time to time (whether before or after the date of this Deed) and include any subsidiary legislation made under the relevant statute or statutory provision except to the extent that any amendment, supplement, consolidation or replacement would increase or extend the liability of any of the Resulticks Founders under this Deed.</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Meaning of references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words in the singular include the plural and vice versa and a reference to any gender includes all other genders.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writing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means any method of reproducing words in a legible and non-transitory form (including fax and email).</w:t>
            </w:r>
          </w:p>
        </w:tc>
      </w:tr>
    </w:tbl>
    <w:p>
      <w:pPr>
        <w:pStyle w:val="TextBody"/>
        <w:bidi w:val="0"/>
        <w:spacing w:before="0" w:after="0"/>
        <w:ind w:left="1440" w:right="0" w:hanging="72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23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are to be construed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include any company, corporation or other body corporate wherever and however incorporated or established.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include any individual, company, partnership, joint venture, firm, association, trust, governmental authority or other body or entity (whether or not having separate legal personality).</w:t>
            </w:r>
          </w:p>
        </w:tc>
      </w:tr>
    </w:tbl>
    <w:p>
      <w:pPr>
        <w:pStyle w:val="TextBody"/>
        <w:bidi w:val="0"/>
        <w:spacing w:before="0" w:after="0"/>
        <w:ind w:left="1440" w:right="0" w:hanging="72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0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means the lawful currency of the United States of America, as at the date of this Deed.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books, records or other information means books, records or other information in any form including paper, electronically stored data, magnetic media, film and microfilm.</w:t>
            </w:r>
          </w:p>
        </w:tc>
      </w:tr>
    </w:tbl>
    <w:p>
      <w:pPr>
        <w:pStyle w:val="TextBody"/>
        <w:bidi w:val="0"/>
        <w:spacing w:before="0" w:after="0"/>
        <w:ind w:left="1440" w:right="0" w:hanging="72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245"/>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Clauses are to clauses of this Deed.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document in the “</w:t>
            </w:r>
            <w:r>
              <w:rPr>
                <w:rFonts w:ascii="Times New Roman;Times;Serif" w:hAnsi="Times New Roman;Times;Serif"/>
                <w:b/>
                <w:i w:val="false"/>
                <w:caps w:val="false"/>
                <w:smallCaps w:val="false"/>
                <w:sz w:val="20"/>
              </w:rPr>
              <w:t>agreed form</w:t>
            </w:r>
            <w:r>
              <w:rPr>
                <w:rFonts w:ascii="Times New Roman;Times;Serif" w:hAnsi="Times New Roman;Times;Serif"/>
                <w:b w:val="false"/>
                <w:i w:val="false"/>
                <w:caps w:val="false"/>
                <w:smallCaps w:val="false"/>
                <w:sz w:val="20"/>
              </w:rPr>
              <w:t>” is to the form of the relevant document in the form and on terms to be agreed in writing between the Parties (in each case with such amendments as may be agreed in writing by or on behalf of each of them).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Deed, subject to any express provision in this Deed to the contrary, a warranty, covenant or obligation given or entered into by more than one (1) person binds them jointly and severally.</w:t>
            </w:r>
          </w:p>
        </w:tc>
      </w:tr>
    </w:tbl>
    <w:p>
      <w:pPr>
        <w:pStyle w:val="TextBody"/>
        <w:bidi w:val="0"/>
        <w:spacing w:before="0" w:after="0"/>
        <w:ind w:left="720" w:right="0" w:hanging="72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90"/>
        <w:gridCol w:w="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headings are inserted for convenience only and do not affect the construction of this Deed.</w:t>
      </w:r>
    </w:p>
    <w:p>
      <w:pPr>
        <w:pStyle w:val="TextBody"/>
        <w:bidi w:val="0"/>
        <w:spacing w:before="0" w:after="0"/>
        <w:ind w:left="72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restatement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on and from the Amendment and Restatement Date, the Original Deed of Undertaking shall be amended and restated so that it shall be replaced in its entirety by this Deed and it shall, on and from the Amendment and Restatement Date, be read, construed and take effect in accordance with the terms of this Deed, provided that all references to “the date of this Deed” in this Deed shall continue to refer to 16 April 2026. Any references to the Original Deed of Undertaking in the Transaction Documents or any documents in relation thereto shall be construed as references to this Deed, as may be amended, consolidated, supplemented, novated or replaced from time to time.</w:t>
      </w:r>
    </w:p>
    <w:p>
      <w:pPr>
        <w:pStyle w:val="TextBody"/>
        <w:bidi w:val="0"/>
        <w:spacing w:before="0" w:after="0"/>
        <w:ind w:left="72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85"/>
        <w:gridCol w:w="15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UNDERTAKINGS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Diginex Founder and RVL hereunder shall be subject to Diginex Founder’s fiduciary duty under Applicable Law to act in the best interests of Diginex and its shareholders. Nothing herein shall be construed to obligate Diginex Founder to act in breach of such fiduciary duty or otherwise not in accordance with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90"/>
        <w:gridCol w:w="21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Diginex’s SPA obligations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shall procure, to the extent of exercising its voting rights and any other powers vested in it as a shareholder of Diginex (and/or, in the case of the Diginex Founder, as a chairman or director of Diginex), that Diginex complies with its obligations under the SPA.</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90"/>
        <w:gridCol w:w="27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and Other Undertakings</w:t>
            </w:r>
          </w:p>
        </w:tc>
      </w:tr>
    </w:tbl>
    <w:p>
      <w:pPr>
        <w:pStyle w:val="TextBody"/>
        <w:bidi w:val="0"/>
        <w:spacing w:before="0" w:after="0"/>
        <w:ind w:left="709" w:right="0" w:hanging="709"/>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1440" w:right="0" w:hanging="72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245"/>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Post-Completion Lock-up Restrictions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undertakes that, following Completion, subject to Clauses 2.3(b)(ii) and 2.7, neither the Diginex Founder nor RVL shall Dispose of any Diginex Shares (such undertakings, the “</w:t>
            </w:r>
            <w:r>
              <w:rPr>
                <w:rFonts w:ascii="Times New Roman;Times;Serif" w:hAnsi="Times New Roman;Times;Serif"/>
                <w:b/>
                <w:i w:val="false"/>
                <w:caps w:val="false"/>
                <w:smallCaps w:val="false"/>
                <w:sz w:val="20"/>
              </w:rPr>
              <w:t>Diginex Founder Lock-up Restriction</w:t>
            </w:r>
            <w:r>
              <w:rPr>
                <w:rFonts w:ascii="Times New Roman;Times;Serif" w:hAnsi="Times New Roman;Times;Serif"/>
                <w:b w:val="false"/>
                <w:i w:val="false"/>
                <w:caps w:val="false"/>
                <w:smallCaps w:val="false"/>
                <w:sz w:val="20"/>
              </w:rPr>
              <w:t>”), provided that such Diginex Shares held by the Diginex Founder and RVL shall be released from the Diginex Founder Lock-up Restriction, and the Diginex Founder Lock-up Restriction shall cease to apply to such Diginex Shares, in accordance with the release schedule set out below: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6449"/>
        <w:gridCol w:w="60"/>
        <w:gridCol w:w="3696"/>
      </w:tblGrid>
      <w:tr>
        <w:trPr/>
        <w:tc>
          <w:tcPr>
            <w:tcW w:w="644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 Diginex Shares held by the Diginex Founder and RVL to be released</w:t>
            </w:r>
          </w:p>
        </w:tc>
        <w:tc>
          <w:tcPr>
            <w:tcW w:w="60" w:type="dxa"/>
            <w:tcBorders/>
            <w:tcMar>
              <w:bottom w:w="0" w:type="dxa"/>
            </w:tcMar>
            <w:vAlign w:val="center"/>
          </w:tcPr>
          <w:p>
            <w:pPr>
              <w:pStyle w:val="TableContents"/>
              <w:bidi w:val="0"/>
              <w:spacing w:before="0" w:after="283"/>
              <w:jc w:val="left"/>
              <w:rPr/>
            </w:pPr>
            <w:r>
              <w:rPr/>
              <w:t> </w:t>
            </w:r>
          </w:p>
        </w:tc>
        <w:tc>
          <w:tcPr>
            <w:tcW w:w="369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Date</w:t>
            </w:r>
          </w:p>
        </w:tc>
      </w:tr>
      <w:tr>
        <w:trPr/>
        <w:tc>
          <w:tcPr>
            <w:tcW w:w="644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Release Date</w:t>
            </w:r>
          </w:p>
        </w:tc>
      </w:tr>
      <w:tr>
        <w:trPr/>
        <w:tc>
          <w:tcPr>
            <w:tcW w:w="64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9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date being 60 days after the First Release Date</w:t>
            </w:r>
          </w:p>
        </w:tc>
      </w:tr>
      <w:tr>
        <w:trPr/>
        <w:tc>
          <w:tcPr>
            <w:tcW w:w="644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date being 150 days after the First Release Date</w:t>
            </w:r>
          </w:p>
        </w:tc>
      </w:tr>
    </w:tbl>
    <w:p>
      <w:pPr>
        <w:pStyle w:val="TextBody"/>
        <w:bidi w:val="0"/>
        <w:spacing w:before="0" w:after="0"/>
        <w:ind w:left="2160" w:right="0" w:firstLine="363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26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Clause 2.3(b)(i) shall prohibit the Diginex Founder or RVL from:</w:t>
            </w:r>
          </w:p>
        </w:tc>
      </w:tr>
    </w:tbl>
    <w:p>
      <w:pPr>
        <w:pStyle w:val="TextBody"/>
        <w:bidi w:val="0"/>
        <w:spacing w:before="0" w:after="0"/>
        <w:ind w:left="2160" w:right="0" w:hanging="72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275"/>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pledging any Diginex Shares as security or collateral for the purpose of securing any debt fundraising activities; or</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Disposing of any Diginex Shares to an incoming investor of the Group in connection with any equity fundraising of the Group, the terms of which have been approved in writing by the Resulticks Founders.</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Disposal of Diginex Shares pursuant to Clause 2.3(b)(ii) by the Diginex Founder and/or RVL, the Diginex Founder and RVL shall provide to the Resulticks Founders such information and documents in relation to such Disposal as the Resulticks Founders may reasonably require in order to verify the compliance of such Disposal with Clause 2.3(b)(ii).</w:t>
            </w:r>
          </w:p>
        </w:tc>
      </w:tr>
    </w:tbl>
    <w:p>
      <w:pPr>
        <w:pStyle w:val="TextBody"/>
        <w:bidi w:val="0"/>
        <w:spacing w:before="0" w:after="0"/>
        <w:ind w:left="2160" w:right="0" w:hanging="72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290"/>
        <w:gridCol w:w="77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Outstanding IPO Warrants; Exercise and Cancellation of Diginex Founder Warrants</w:t>
            </w:r>
          </w:p>
        </w:tc>
      </w:tr>
    </w:tbl>
    <w:p>
      <w:pPr>
        <w:pStyle w:val="TextBody"/>
        <w:bidi w:val="0"/>
        <w:spacing w:before="0" w:after="0"/>
        <w:ind w:left="720" w:right="0" w:hanging="72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23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Diginex Founder Warrants and Outstanding IPO Warrants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undertakes to the Resulticks Founders to, on Completion:</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procure that all of the Diginex Founder Warrants and all of the Outstanding IPO Warrants are terminated and cancelled in full with no further liability to the Group, with effect from Completion, for nil consideration;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each of the Resulticks Founders a deed of termination in respect of the termination and cancellation of all of the Diginex Founder Warrants and the Outstanding IPO Warrants, in the agreed form, duly executed by the Purchaser and RVL.</w:t>
            </w:r>
          </w:p>
        </w:tc>
      </w:tr>
    </w:tbl>
    <w:p>
      <w:pPr>
        <w:pStyle w:val="TextBody"/>
        <w:bidi w:val="0"/>
        <w:spacing w:before="0" w:after="0"/>
        <w:ind w:left="2160" w:right="0" w:hanging="72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4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RSUs and PSUs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undertakes to the Resulticks Founders that, on or prior to Completion, each of the Diginex Founder, RVL and any other entity Controlled by the Diginex Founder shall terminate and cancel all restricted stock units, performance stock units and any other warrants, options or other convertible securities in respect of Diginex issued pursuant to the Diginex Incentive Plan or any other incentive schemes of Diginex and/or its subsidiaries (including the 14,164 RSUs and 14,163 PSUs issued pursuant to the Diginex Incentive Plan), for nil consideration.</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3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Ownership of Warrants, RSU and PSUs at Completion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undertakes to the Resulticks Founders that, upon Completion, each of the Diginex Founder, RVL and any other entity Controlled by the Diginex Founder shall have ceased to have any direct or indirect interest in, and any right to exercise or to procure the exercise of, any Diginex Founder Warrants, Outstanding IPO Warrants, restricted stock units, performance stock units and any other warrants, options or other convertible securities in respect of Diginex, and shall have ceased to participate in the Diginex Incentive Plan or any other incentive schemes of Diginex and/or its subsidiaries.</w:t>
      </w:r>
    </w:p>
    <w:p>
      <w:pPr>
        <w:pStyle w:val="TextBody"/>
        <w:bidi w:val="0"/>
        <w:spacing w:before="0" w:after="0"/>
        <w:ind w:left="1440" w:right="0" w:hanging="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4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of Diginex Founder Warrant Agreement and Outstanding IPO Warrant Agreements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termination and cancellation of the Diginex Founder Warrants and the Outstanding IPO Warrants in accordance with Clause 2.4(a), the Diginex Founder and RVL jointly undertake that there has been no, and there shall be no, amendment or variation, or any agreement to amend or vary, any of the terms of the Diginex Founder Warrant Agreement (as disclosed as Exhibit No. 10.1 of the Purchaser’s Form 6-K for the month of March 2026 as at the date of this Deed) and/or the Outstanding IPO Warrant Agreements (as disclosed as Exhibit Nos. 10.2, 10.3 and 10.4 of the Purchaser’s Form 6-K for the month of March 2026 as at the date of this Deed), in each case without the prior written consent of the Resulticks Founders.</w:t>
      </w:r>
    </w:p>
    <w:p>
      <w:pPr>
        <w:pStyle w:val="TextBody"/>
        <w:bidi w:val="0"/>
        <w:spacing w:before="0" w:after="0"/>
        <w:ind w:left="144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23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 on transfer or exercise of Diginex Founder Warrants and Outstanding IPO Warrants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termination and cancellation of the Diginex Founder Warrants and the Outstanding IPO Warrants in accordance with Clause 2.4(a), each of the Diginex Founder and RVL undertakes to the Resulticks Founder to procure that, from the date of this Deed, none of the Diginex Founder Warrants or the Outstanding IPO Warrants shall be exercised or Disposed of, without the prior written consent of the Resulticks Founders.</w:t>
      </w:r>
    </w:p>
    <w:p>
      <w:pPr>
        <w:pStyle w:val="TextBody"/>
        <w:bidi w:val="0"/>
        <w:spacing w:before="0" w:after="0"/>
        <w:ind w:left="144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90"/>
        <w:gridCol w:w="17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covenants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undertakes with each other Party that it shall not, and shall procure that none of its Affiliates shall, whether alone or jointly with another and whether directly or indirectly, in any Relevant Capacity during the Restricted Period: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on, be engaged in or be economically interested in any manner in a Competitor or a Competing Business in any Restricted Territory, other than through the Group;</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canvass or solicit in any Restricted Territory the custom of any Restricted Client with a view to providing that Restricted Client with products or services undertaken by a Competing Business;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induce or seek to induce any Restricted Employee to become employed or engaged, whether as an employee, consultant or otherwise, by the such Party or any of its Affiliates or by any other person, firm or company, whether or not such Restricted Employee would thereby commit a breach of his contract of service, save that nothing in this Clause 2.5 shall prevent the employment or engagement of any Restricted Employee: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resulting from any general solicitation for employment where the solicitation is not specifically targeted at such Restricted Employee;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recruitment agency where the such Party did not instruct the agency to contact or target such Restricted Employee;</w:t>
            </w:r>
          </w:p>
        </w:tc>
      </w:tr>
    </w:tbl>
    <w:p>
      <w:pPr>
        <w:pStyle w:val="TextBody"/>
        <w:bidi w:val="0"/>
        <w:spacing w:before="0" w:after="0"/>
        <w:ind w:left="2160" w:right="0" w:hanging="72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32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contacts such Party solely on his or her own initiative; or</w:t>
            </w:r>
          </w:p>
        </w:tc>
      </w:tr>
    </w:tbl>
    <w:p>
      <w:pPr>
        <w:pStyle w:val="TextBody"/>
        <w:bidi w:val="0"/>
        <w:spacing w:before="0" w:after="0"/>
        <w:ind w:left="2160" w:right="0" w:hanging="720"/>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305"/>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such Restricted Employee’s employment was terminated by the relevant member of the Group.</w:t>
            </w:r>
          </w:p>
        </w:tc>
      </w:tr>
    </w:tbl>
    <w:p>
      <w:pPr>
        <w:pStyle w:val="TextBody"/>
        <w:bidi w:val="0"/>
        <w:spacing w:before="0" w:after="0"/>
        <w:ind w:left="216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Exceptions to restrictive covenants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Clause 2.5:</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in Clause 2.5 shall not operate to prohibit the Diginex Founder or RVL or any of its Affiliates from holding or being interested in up to five (5)% of the outstanding issued shares, debentures and/or securities of any class of a Competitor in which none of the Diginex Founder or RVL or any of its Affiliates exercises any management function or any material influence (provided that for the purposes of this Clause 2.6, and without prejudice to the generality of the foregoing, any entitlement of the Diginex Founder or RVL to appoint a director (or equivalent functional role) to, or can exercise veto rights in respect of, a Competitor shall be deemed to exercise material influence in such Competitor);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Diginex Founder and RVL agrees that the restrictions contained in Clause 2.5 are no greater than is reasonable and necessary for the protection of the interests of the Resulticks Founders and the Group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restriction shall be read and construed independently of the other restrictions so that if one or more are found to be void or unenforceable as an unreasonable restraint of trade or for any other reason the remaining restrictions shall not be affected;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restriction shall be held to be void but would be valid and enforceable if deleted in part or reduced in application, such restriction shall apply with such deletion or modification as may be necessary to make it valid and enforceable.</w:t>
            </w:r>
          </w:p>
        </w:tc>
      </w:tr>
    </w:tbl>
    <w:p>
      <w:pPr>
        <w:pStyle w:val="TextBody"/>
        <w:bidi w:val="0"/>
        <w:spacing w:before="0" w:after="0"/>
        <w:ind w:left="2160" w:right="0" w:hanging="72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90"/>
        <w:gridCol w:w="20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Treasury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the 40,000,000 Diginex Shares referred to in clause 4.1(j)(ii) of the SPA are intended to be allotted and issued to RVL in exchange for the cancellation of the Diginex Founder Warrants, the Outstanding IPO Warrants, RSUs and PSUs, and the transfer of the Incentive Plan Shares, in each case as contemplated in Clause 2.4, and that (save where an alternative security arrangement has been agreed as contemplated under clause 4.1(j)(ii) of the SPA) the Diginex Founder and RVL have agreed that such Diginex Shares shall be held as Relevant Treasury Shares in accordance with clause 4.1(j)(ii) and paragraph 4 of Part 2, Schedule 3 of the SPA, in order to constitute security granted by the Diginex Founder and RVL to guarantee the successful completion of the Diginex Additional Investment in full and to satisfy any Excess Liabilities, and accordingly, the Parties acknowledge and agree as follows:</w:t>
      </w:r>
    </w:p>
    <w:p>
      <w:pPr>
        <w:pStyle w:val="TextBody"/>
        <w:bidi w:val="0"/>
        <w:spacing w:before="0" w:after="0"/>
        <w:ind w:left="720" w:right="0" w:hanging="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each of the dates set out in column (a) of the table below (each such date, a “</w:t>
            </w:r>
            <w:r>
              <w:rPr>
                <w:rFonts w:ascii="Times New Roman;Times;Serif" w:hAnsi="Times New Roman;Times;Serif"/>
                <w:b/>
                <w:i w:val="false"/>
                <w:caps w:val="false"/>
                <w:smallCaps w:val="false"/>
                <w:sz w:val="20"/>
              </w:rPr>
              <w:t>Tranche Date</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Diginex has received not less than the corresponding amount of the proceeds of the Diginex Additional Investment set out opposite such Tranche Date in column (b) of the table below (each such amount of proceeds, the “</w:t>
            </w:r>
            <w:r>
              <w:rPr>
                <w:rFonts w:ascii="Times New Roman;Times;Serif" w:hAnsi="Times New Roman;Times;Serif"/>
                <w:b/>
                <w:i w:val="false"/>
                <w:caps w:val="false"/>
                <w:smallCaps w:val="false"/>
                <w:sz w:val="20"/>
              </w:rPr>
              <w:t>Diginex Investment Proceeds</w:t>
            </w:r>
            <w:r>
              <w:rPr>
                <w:rFonts w:ascii="Times New Roman;Times;Serif" w:hAnsi="Times New Roman;Times;Serif"/>
                <w:b w:val="false"/>
                <w:i w:val="false"/>
                <w:caps w:val="false"/>
                <w:smallCaps w:val="false"/>
                <w:sz w:val="20"/>
              </w:rPr>
              <w:t>”), in full and in cash and in immediately available funds (and excluding any proceeds of the Diginex Additional Investment received on or before any previous Tranche Date), then each of the Resulticks Founders shall procure, to the extent of exercising the powers vested in each of them as officers of Diginex and subject to Applicable Law and their respective fiduciary duties, that Diginex shall, by such date being 10 Business Days from such Tranche Date, transfer to RVL the Released Relevant Treasury Shares in respect of such Tranche Date:</w:t>
            </w:r>
          </w:p>
        </w:tc>
      </w:tr>
    </w:tbl>
    <w:p>
      <w:pPr>
        <w:pStyle w:val="TextBody"/>
        <w:bidi w:val="0"/>
        <w:spacing w:before="0" w:after="0"/>
        <w:ind w:left="2160" w:right="0" w:hanging="72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595"/>
        <w:gridCol w:w="60"/>
        <w:gridCol w:w="2480"/>
      </w:tblGrid>
      <w:tr>
        <w:trPr/>
        <w:tc>
          <w:tcPr>
            <w:tcW w:w="159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t>
            </w:r>
          </w:p>
        </w:tc>
        <w:tc>
          <w:tcPr>
            <w:tcW w:w="60" w:type="dxa"/>
            <w:tcBorders/>
            <w:shd w:fill="FFFFFF" w:val="clear"/>
            <w:vAlign w:val="center"/>
          </w:tcPr>
          <w:p>
            <w:pPr>
              <w:pStyle w:val="TableContents"/>
              <w:bidi w:val="0"/>
              <w:spacing w:before="0" w:after="283"/>
              <w:jc w:val="left"/>
              <w:rPr/>
            </w:pPr>
            <w:r>
              <w:rPr/>
              <w:t> </w:t>
            </w:r>
          </w:p>
        </w:tc>
        <w:tc>
          <w:tcPr>
            <w:tcW w:w="248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w:t>
            </w:r>
          </w:p>
        </w:tc>
      </w:tr>
      <w:tr>
        <w:trPr/>
        <w:tc>
          <w:tcPr>
            <w:tcW w:w="15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Date</w:t>
            </w:r>
          </w:p>
        </w:tc>
        <w:tc>
          <w:tcPr>
            <w:tcW w:w="60" w:type="dxa"/>
            <w:tcBorders/>
            <w:shd w:fill="FFFFFF" w:val="clear"/>
            <w:vAlign w:val="center"/>
          </w:tcPr>
          <w:p>
            <w:pPr>
              <w:pStyle w:val="TableContents"/>
              <w:bidi w:val="0"/>
              <w:spacing w:before="0" w:after="283"/>
              <w:jc w:val="left"/>
              <w:rPr/>
            </w:pPr>
            <w:r>
              <w:rPr/>
              <w:t> </w:t>
            </w:r>
          </w:p>
        </w:tc>
        <w:tc>
          <w:tcPr>
            <w:tcW w:w="24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Diginex Investment Proceeds</w:t>
            </w:r>
          </w:p>
        </w:tc>
      </w:tr>
      <w:tr>
        <w:trPr/>
        <w:tc>
          <w:tcPr>
            <w:tcW w:w="15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Completion Date</w:t>
            </w:r>
          </w:p>
        </w:tc>
        <w:tc>
          <w:tcPr>
            <w:tcW w:w="60" w:type="dxa"/>
            <w:tcBorders/>
            <w:shd w:fill="CCEEFF" w:val="clear"/>
            <w:vAlign w:val="center"/>
          </w:tcPr>
          <w:p>
            <w:pPr>
              <w:pStyle w:val="TableContents"/>
              <w:bidi w:val="0"/>
              <w:spacing w:before="0" w:after="283"/>
              <w:jc w:val="left"/>
              <w:rPr/>
            </w:pPr>
            <w:r>
              <w:rPr/>
              <w:t> </w:t>
            </w:r>
          </w:p>
        </w:tc>
        <w:tc>
          <w:tcPr>
            <w:tcW w:w="24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 3,500,000</w:t>
            </w:r>
          </w:p>
        </w:tc>
      </w:tr>
      <w:tr>
        <w:trPr/>
        <w:tc>
          <w:tcPr>
            <w:tcW w:w="15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November 2026</w:t>
            </w:r>
          </w:p>
        </w:tc>
        <w:tc>
          <w:tcPr>
            <w:tcW w:w="60" w:type="dxa"/>
            <w:tcBorders/>
            <w:shd w:fill="FFFFFF" w:val="clear"/>
            <w:vAlign w:val="center"/>
          </w:tcPr>
          <w:p>
            <w:pPr>
              <w:pStyle w:val="TableContents"/>
              <w:bidi w:val="0"/>
              <w:spacing w:before="0" w:after="283"/>
              <w:jc w:val="left"/>
              <w:rPr/>
            </w:pPr>
            <w:r>
              <w:rPr/>
              <w:t> </w:t>
            </w:r>
          </w:p>
        </w:tc>
        <w:tc>
          <w:tcPr>
            <w:tcW w:w="24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 1,500,000</w:t>
            </w:r>
          </w:p>
        </w:tc>
      </w:tr>
      <w:tr>
        <w:trPr/>
        <w:tc>
          <w:tcPr>
            <w:tcW w:w="15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 December 2026</w:t>
            </w:r>
          </w:p>
        </w:tc>
        <w:tc>
          <w:tcPr>
            <w:tcW w:w="60" w:type="dxa"/>
            <w:tcBorders/>
            <w:shd w:fill="CCEEFF" w:val="clear"/>
            <w:vAlign w:val="center"/>
          </w:tcPr>
          <w:p>
            <w:pPr>
              <w:pStyle w:val="TableContents"/>
              <w:bidi w:val="0"/>
              <w:spacing w:before="0" w:after="283"/>
              <w:jc w:val="left"/>
              <w:rPr/>
            </w:pPr>
            <w:r>
              <w:rPr/>
              <w:t> </w:t>
            </w:r>
          </w:p>
        </w:tc>
        <w:tc>
          <w:tcPr>
            <w:tcW w:w="24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 1,500,000</w:t>
            </w:r>
          </w:p>
        </w:tc>
      </w:tr>
      <w:tr>
        <w:trPr/>
        <w:tc>
          <w:tcPr>
            <w:tcW w:w="15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 January 2027</w:t>
            </w:r>
          </w:p>
        </w:tc>
        <w:tc>
          <w:tcPr>
            <w:tcW w:w="60" w:type="dxa"/>
            <w:tcBorders/>
            <w:shd w:fill="FFFFFF" w:val="clear"/>
            <w:vAlign w:val="center"/>
          </w:tcPr>
          <w:p>
            <w:pPr>
              <w:pStyle w:val="TableContents"/>
              <w:bidi w:val="0"/>
              <w:spacing w:before="0" w:after="283"/>
              <w:jc w:val="left"/>
              <w:rPr/>
            </w:pPr>
            <w:r>
              <w:rPr/>
              <w:t> </w:t>
            </w:r>
          </w:p>
        </w:tc>
        <w:tc>
          <w:tcPr>
            <w:tcW w:w="24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 4,250,000</w:t>
            </w:r>
          </w:p>
        </w:tc>
      </w:tr>
      <w:tr>
        <w:trPr/>
        <w:tc>
          <w:tcPr>
            <w:tcW w:w="15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 February 2027</w:t>
            </w:r>
          </w:p>
        </w:tc>
        <w:tc>
          <w:tcPr>
            <w:tcW w:w="60" w:type="dxa"/>
            <w:tcBorders/>
            <w:shd w:fill="CCEEFF" w:val="clear"/>
            <w:vAlign w:val="center"/>
          </w:tcPr>
          <w:p>
            <w:pPr>
              <w:pStyle w:val="TableContents"/>
              <w:bidi w:val="0"/>
              <w:spacing w:before="0" w:after="283"/>
              <w:jc w:val="left"/>
              <w:rPr/>
            </w:pPr>
            <w:r>
              <w:rPr/>
              <w:t> </w:t>
            </w:r>
          </w:p>
        </w:tc>
        <w:tc>
          <w:tcPr>
            <w:tcW w:w="24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 4,250,000</w:t>
            </w:r>
          </w:p>
        </w:tc>
      </w:tr>
      <w:tr>
        <w:trPr/>
        <w:tc>
          <w:tcPr>
            <w:tcW w:w="15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 March 2027</w:t>
            </w:r>
          </w:p>
        </w:tc>
        <w:tc>
          <w:tcPr>
            <w:tcW w:w="60" w:type="dxa"/>
            <w:tcBorders/>
            <w:shd w:fill="FFFFFF" w:val="clear"/>
            <w:vAlign w:val="center"/>
          </w:tcPr>
          <w:p>
            <w:pPr>
              <w:pStyle w:val="TableContents"/>
              <w:bidi w:val="0"/>
              <w:spacing w:before="0" w:after="283"/>
              <w:jc w:val="left"/>
              <w:rPr/>
            </w:pPr>
            <w:r>
              <w:rPr/>
              <w:t> </w:t>
            </w:r>
          </w:p>
        </w:tc>
        <w:tc>
          <w:tcPr>
            <w:tcW w:w="24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 5,000,000</w:t>
            </w:r>
          </w:p>
        </w:tc>
      </w:tr>
    </w:tbl>
    <w:p>
      <w:pPr>
        <w:pStyle w:val="TextBody"/>
        <w:bidi w:val="0"/>
        <w:spacing w:before="0" w:after="0"/>
        <w:ind w:left="216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Diginex has not received the relevant Diginex Investment Proceeds in full and in cash and in immediately available funds (and excluding any Diginex Investment Proceeds received on or before any previous Tranche Date), then: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shall forfeit all rights he/it may have in relation to such portion of the relevant Released Relevant Treasury Shares in respect of such Tranche Date which Diginex may require for the purpose of making good the shortfall in respect of the relevant Diginex Investment Proceeds not so received, and Diginex shall be entitled to utilise such forfeited portion of the relevant Released Relevant Treasury Shares at its discretion; and</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Resulticks Founders shall procure, to the extent of exercising the powers vested in each of them as officers of Diginex and subject to Applicable Law and their respective fiduciary duties, that Diginex shall, by such date being 10 Business Days from such Tranche Date, transfer to RVL the remaining balance (if any) of the relevant Released Relevant Treasury Shares not forfeited under Clause 2.7(a)(ii)(A) above.</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such date being 10 Business Days from 31 March 2027, each of the Resulticks Founders shall procure, to the extent of exercising the powers vested in each of them as officers of Diginex and subject to Applicable Law and their respective fiduciary duties, that Diginex shall transfer to RVL all of the remaining Relevant Treasury Shares held by Diginex (if any), less (i) such Relevant Treasury Shares transferred or forfeited in accordance with Clause 2.7(a), and (ii) such number of Relevant Treasury Shares which Diginex may require for the purpose of satisfying or discharging any Excess Liabilities.</w:t>
            </w:r>
          </w:p>
        </w:tc>
      </w:tr>
    </w:tbl>
    <w:p>
      <w:pPr>
        <w:pStyle w:val="TextBody"/>
        <w:bidi w:val="0"/>
        <w:spacing w:before="0" w:after="0"/>
        <w:ind w:left="1440" w:right="0" w:hanging="72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Diginex Founder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shall resign as chairman and director of Diginex on, and with effect from, Completion.</w:t>
      </w:r>
    </w:p>
    <w:p>
      <w:pPr>
        <w:pStyle w:val="TextBody"/>
        <w:bidi w:val="0"/>
        <w:spacing w:before="0" w:after="0"/>
        <w:ind w:left="720" w:right="0" w:hanging="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90"/>
        <w:gridCol w:w="19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Run-off D&amp;O Insurance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each of the Resulticks Founders shall procure, to the extent of exercising their respective voting rights and other powers vested in each of them as a shareholder of Diginex, that such run-off directors and officers insurance cover of Diginex procured prior to Completion in accordance with clause 6.5 of the SPA, is maintained for a period of no more than 5 years from Completion.</w:t>
      </w:r>
    </w:p>
    <w:p>
      <w:pPr>
        <w:pStyle w:val="TextBody"/>
        <w:bidi w:val="0"/>
        <w:spacing w:before="0" w:after="0"/>
        <w:ind w:left="72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85"/>
        <w:gridCol w:w="13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w:t>
            </w:r>
          </w:p>
        </w:tc>
      </w:tr>
    </w:tbl>
    <w:p>
      <w:pPr>
        <w:pStyle w:val="TextBody"/>
        <w:bidi w:val="0"/>
        <w:spacing w:before="0" w:after="0"/>
        <w:ind w:left="720" w:right="0" w:hanging="72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290"/>
        <w:gridCol w:w="80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who is not a natural person severally warrants in respect of itself to the other Parties that: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been duly incorporated and is validly existing under the laws of its jurisdiction of incorporation. It has full corporate power and authority to carry on its business as it is now being conducted and to own the assets it now owns.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the necessary power and authority to enter into and perform this Deed. This Deed will, when executed, constitute legal, valid and binding obligations on it, enforceable against it in accordance with their respective terms.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obtained all applicable governmental, statutory, regulatory or other consents, licenses, waivers or exemptions required to empower it to enter into and to perform its obligations under this Deed.</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9</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245"/>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entry into this Deed nor the implementation of the transactions contemplated by this Deed by it will:</w:t>
            </w:r>
          </w:p>
        </w:tc>
      </w:tr>
    </w:tbl>
    <w:p>
      <w:pPr>
        <w:pStyle w:val="TextBody"/>
        <w:bidi w:val="0"/>
        <w:spacing w:before="0" w:after="0"/>
        <w:ind w:left="1440" w:right="0" w:hanging="72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20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violate or conflict with the provisions of its constitutional documents;</w:t>
            </w:r>
          </w:p>
        </w:tc>
      </w:tr>
    </w:tbl>
    <w:p>
      <w:pPr>
        <w:pStyle w:val="TextBody"/>
        <w:bidi w:val="0"/>
        <w:spacing w:before="0" w:after="0"/>
        <w:ind w:left="2126" w:right="0" w:hanging="708"/>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26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breach of any Applicable Law;</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default with respect to any relevant order, decree or judgment of any court or any governmental authority in any jurisdiction to which it is a party or by which it is bound which violation or default is material in the context of the transactions contemplated by this Deed;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any instrument to which it is a party or by which it is bound, which breach or default is material in the context of the transactions contemplated by this Deed.</w:t>
            </w:r>
          </w:p>
        </w:tc>
      </w:tr>
    </w:tbl>
    <w:p>
      <w:pPr>
        <w:pStyle w:val="TextBody"/>
        <w:bidi w:val="0"/>
        <w:spacing w:before="0" w:after="0"/>
        <w:ind w:left="2126" w:right="0" w:hanging="708"/>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3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it of this Deed will not: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material breach of (A) its constitution or equivalent constitutional documents; and/or (B) any Applicable Law by which it is bound;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any instrument to which it is a party or by which it is bound and which is material in the context of the Transaction;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any order, judgment or decree of any court or governmental agency to which it is a party or by which it is bound or submits and which is material in the context of the Transaction.</w:t>
            </w:r>
          </w:p>
        </w:tc>
      </w:tr>
    </w:tbl>
    <w:p>
      <w:pPr>
        <w:pStyle w:val="TextBody"/>
        <w:bidi w:val="0"/>
        <w:spacing w:before="0" w:after="0"/>
        <w:ind w:left="2126" w:right="0" w:hanging="708"/>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0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insolvent and is able to pay its debts, and has not stopped paying its debts as they fall due.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order has been made, petition presented or meeting convened for the purpose of considering a resolution for its winding up or for the appointment of any provisional liquidator. No petition has been presented for an administration order to be made in relation to it, and no judicial manager, administrator or receiver (including any administrative receiver) has been appointed in respect of its property, assets and/or undertaking.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 in satisfaction of its debts or scheme of arrangement or compromise between it and its creditors and/or members by reason of insolvency has been proposed, sanctioned or approved.</w:t>
            </w:r>
          </w:p>
        </w:tc>
      </w:tr>
    </w:tbl>
    <w:p>
      <w:pPr>
        <w:pStyle w:val="TextBody"/>
        <w:bidi w:val="0"/>
        <w:spacing w:before="0" w:after="0"/>
        <w:ind w:left="1440" w:right="0" w:hanging="72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290"/>
        <w:gridCol w:w="79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7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who is a natural person severally warrants in respect of himself to the other Parties that: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the necessary capacity, power and authority to enter into and perform this Deed. This Deed will, when executed, constitute legal, valid and binding obligations on him, enforceable against him in accordance with their respective terms.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received independent legal advice relating to the matters provided for in this Deed and has acted independently and free from any undue influence by any person.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obtained all applicable governmental, statutory, regulatory or other consents, licenses, waivers or exemptions required to empower him to enter into and to perform his obligations under this Deed.</w:t>
            </w:r>
          </w:p>
        </w:tc>
      </w:tr>
    </w:tbl>
    <w:p>
      <w:pPr>
        <w:pStyle w:val="TextBody"/>
        <w:bidi w:val="0"/>
        <w:spacing w:before="0" w:after="0"/>
        <w:ind w:left="1440" w:right="0" w:hanging="72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45"/>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entry into this Deed nor the implementation of the transactions contemplated by this Deed by him will:</w:t>
            </w:r>
          </w:p>
        </w:tc>
      </w:tr>
    </w:tbl>
    <w:p>
      <w:pPr>
        <w:pStyle w:val="TextBody"/>
        <w:bidi w:val="0"/>
        <w:spacing w:before="0" w:after="0"/>
        <w:ind w:left="1440" w:right="0" w:hanging="72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0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breach of any Applicable Law;</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default with respect to any relevant order, decree or judgment of any court or any governmental authority in any jurisdiction to which he is a party or by which he is bound which violation or default is material in the context of the transactions contemplated by this Deed;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any instrument to which he is a party or by which he is bound, which breach or default is material in the context of the transactions contemplated by this Deed.</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3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him of this Deed will not:</w:t>
            </w:r>
          </w:p>
        </w:tc>
      </w:tr>
    </w:tbl>
    <w:p>
      <w:pPr>
        <w:pStyle w:val="TextBody"/>
        <w:bidi w:val="0"/>
        <w:spacing w:before="0" w:after="0"/>
        <w:ind w:left="1440" w:right="0" w:hanging="72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0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material breach of any Applicable Law by which he is bound;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any instrument to which he is a party or by which he is bound and which is material in the context of the Transaction;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any order, judgment or decree of any court or governmental authority to which it is a party or by which it is bound or submits and which is material in the context of the Transaction.</w:t>
            </w:r>
          </w:p>
        </w:tc>
      </w:tr>
    </w:tbl>
    <w:p>
      <w:pPr>
        <w:pStyle w:val="TextBody"/>
        <w:bidi w:val="0"/>
        <w:spacing w:before="0" w:after="0"/>
        <w:ind w:left="2160" w:right="0" w:hanging="72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20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not bankrupt and is able to pay his debts and has not stopped paying his debts as they fall due.</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order has been made, petition presented or meeting convened for the purpose of considering his bankruptcy.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 in satisfaction of his debts or scheme of arrangement or compromise between him and his creditors and/or members by reason of bankruptcy has been proposed, sanctioned or approved.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and RVL jointly warrant to each of the Resulticks Founders that, as at the date of this Deed and as at the Amendment and Restatement Date:</w:t>
            </w:r>
          </w:p>
        </w:tc>
      </w:tr>
    </w:tbl>
    <w:p>
      <w:pPr>
        <w:pStyle w:val="TextBody"/>
        <w:bidi w:val="0"/>
        <w:spacing w:before="0" w:after="0"/>
        <w:ind w:left="720" w:right="0" w:hanging="72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3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is the sole legal and beneficial owner of RVL.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Amendment and Restatement Date, RVL is the sole legal and beneficial owner of 8,238,027 Diginex Shares. Neither the Diginex Founder nor RVL has any direct or indirect interest in any Diginex Shares other than such 7,934,627 Diginex Shares and the 303,400 Incentive Plan Shares.</w:t>
            </w:r>
          </w:p>
        </w:tc>
      </w:tr>
    </w:tbl>
    <w:p>
      <w:pPr>
        <w:pStyle w:val="TextBody"/>
        <w:bidi w:val="0"/>
        <w:spacing w:before="0" w:after="0"/>
        <w:ind w:left="1440" w:right="0" w:hanging="72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23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is the sole legal owner of the Incentive Plan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RVL is the sole legal and beneficial owner of all of the Diginex Founder Warrants, the Outstanding IPO Warrants and 28,327 of RSUs and PSUs. Neither the Diginex Founder nor RVL has any direct or indirect interest in any warrants, options or other convertible securities in respect of Diginex, other than the Diginex Founder Warrants, the Outstanding IPO Warrants and 28,327 of RSUs and PSUs issued pursuant to the Diginex Incentive Plan.</w:t>
            </w:r>
          </w:p>
        </w:tc>
      </w:tr>
    </w:tbl>
    <w:p>
      <w:pPr>
        <w:pStyle w:val="TextBody"/>
        <w:bidi w:val="0"/>
        <w:spacing w:before="0" w:after="0"/>
        <w:ind w:left="1440" w:right="0" w:hanging="72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RVL has not Disposed of any of the Diginex Founder Warrants or Outstanding IPO Warrants.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complete and accurate copies of the Outstanding IPO Warrant Agreements and the Diginex Founder Warrant Agreement are disclosed as Exhibit Nos. 10.1, 10.2, 10.3 and 10.4 of the Purchaser’s Form 6-K for the month of March 2026 as at the date of this Deed, and no amendments or variations, or any agreements to amend or vary, any of the terms of the Outstanding IPO Warrant Agreements and the Diginex Founder Warrant Agreement (as set out in such copies) have been made, other than in accordance with Clause 2.4(c).</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and RVL jointly warrant to each of the Resulticks Founders that, as at the date of this Deed and as at Completion, the issued share capital of Diginex immediately upon Completion on a Fully Diluted Basis is set out in the Schedule, save only for (a) any agreed transfers of Diginex Shares in connection with any equity fundraising of the Group, Resulticks and/or the subsidiaries of Resulticks, in each case agreed in writing by the Parties, (b) the stock consolidation of Diginex Shares on an eight-to-one basis, as approved in the extraordinary general meeting of Diginex held on 13 April 2026, and (c) 14,164 RSUs and 14,163 PSUs issued pursuant to the Diginex Incentive Plan.</w:t>
            </w:r>
          </w:p>
        </w:tc>
      </w:tr>
    </w:tbl>
    <w:p>
      <w:pPr>
        <w:pStyle w:val="TextBody"/>
        <w:bidi w:val="0"/>
        <w:spacing w:before="0" w:after="0"/>
        <w:ind w:left="720" w:right="0" w:hanging="72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EQUITABLE REMEDIES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damages would not be an adequate remedy for the Resulticks Founders if any provision of this Deed is breached by the Diginex Founder and/or RVL, and that each of the Resulticks Founders shall be entitled to an injunction to prevent any breach of this Deed by the Diginex Founder and/or RVL, or to enforce specifically the terms of this Deed against the Diginex Founder and/or RVL, in addition to any other remedy to which the Resulticks Founders are entitled at law or in equity. Each of the Diginex Founder and RVL hereby fully and irrevocably waives and agrees not to rely on the defence of adequacy of a remedy at law, in any action brought by any of the Resulticks Founders for specific performance to enforce any term of this Deed.</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terms implied by law, this Deed constitute the whole and only agreement between the Parties in relation to the subject matter of this Deed, and supersedes any previous arrangements or agreements (whether written or oral) between them in relation to the subject matter of any such document.</w:t>
      </w:r>
    </w:p>
    <w:p>
      <w:pPr>
        <w:pStyle w:val="TextBody"/>
        <w:bidi w:val="0"/>
        <w:spacing w:before="0" w:after="0"/>
        <w:ind w:left="72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85"/>
        <w:gridCol w:w="12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Deed is or becomes illegal, invalid or unenforceable in any respect under Applicable Law, it shall be deemed to be severed from this Deed. The remaining provisions will remain in full force in that jurisdiction and all provisions will continue in full force in any other jurisdiction.</w:t>
      </w:r>
    </w:p>
    <w:p>
      <w:pPr>
        <w:pStyle w:val="TextBody"/>
        <w:bidi w:val="0"/>
        <w:spacing w:before="0" w:after="0"/>
        <w:ind w:left="72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85"/>
        <w:gridCol w:w="13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shall not, without the prior written consent of the Resulticks Founders, assign, transfer, charge, declare a trust of or otherwise dispose of all or any part of his/its rights and benefits under this Deed (including any cause of action arising in connection with any of them) or of any right or interest in any of them.</w:t>
      </w:r>
    </w:p>
    <w:p>
      <w:pPr>
        <w:pStyle w:val="TextBody"/>
        <w:bidi w:val="0"/>
        <w:spacing w:before="0" w:after="0"/>
        <w:ind w:left="72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85"/>
        <w:gridCol w:w="12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2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variation of this Deed shall be effective unless in writing and signed by or on behalf of the Diginex Founder, RVL and the Resulticks Founders.</w:t>
      </w:r>
    </w:p>
    <w:p>
      <w:pPr>
        <w:pStyle w:val="TextBody"/>
        <w:bidi w:val="0"/>
        <w:spacing w:before="0" w:after="0"/>
        <w:ind w:left="72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85"/>
        <w:gridCol w:w="24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4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AND WAIVERS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of any right under this Deed shall be effective unless in writing and signed by or on behalf of the Party waving compliance. Unless expressly stated otherwise, a waiver shall be effective only in the circumstances for which it is given.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delay or omission by any Party in exercising any right or remedy provided by law or under or pursuant to this Deed shall impair such right or remedy or operate or be construed as a waiver or variation of such right or remedy or preclude its exercise at any subsequent time.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single or partial exercise of a right or remedy by any Party under this Deed shall not preclude any other nor restrict any further exercise of any such right or remedy.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provided in this Deed are cumulative, may be exercised as often as a Party considers appropriate and are in addition to its rights or remedies provided by law, except as otherwise expressly provided.</w:t>
            </w:r>
          </w:p>
        </w:tc>
      </w:tr>
    </w:tbl>
    <w:p>
      <w:pPr>
        <w:pStyle w:val="TextBody"/>
        <w:bidi w:val="0"/>
        <w:spacing w:before="0" w:after="0"/>
        <w:ind w:left="720" w:right="0" w:hanging="72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to perform (or procure the performance of) all further acts and things, and execute and deliver (or procure the execution and delivery of) such further documents, as may be required by Applicable Law or as another Party may reasonably require to implement and/or give effect to this Deed.</w:t>
      </w:r>
    </w:p>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PARTY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is not a Party has no right under the Contracts (Rights of Third Parties) Act 2001 of Singapore to enforce any term of this Deed.</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demand or other communication to be given by a Party under or in connection with this Deed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shall be in the English language in writing and signed by or on behalf of the Party giving it. A Notice shall be served by delivering it personally, sending it by email to the email address set out in Clause 12.2 or delivering it by courier to the address set out in Clause 12.2, in each case marked for the attention of the person specified in that Clause. A Notice so served by email, courier or hand shall be deemed to have been received:</w:t>
            </w:r>
          </w:p>
        </w:tc>
      </w:tr>
    </w:tbl>
    <w:p>
      <w:pPr>
        <w:pStyle w:val="TextBody"/>
        <w:bidi w:val="0"/>
        <w:spacing w:before="0" w:after="0"/>
        <w:ind w:left="720" w:right="0" w:hanging="72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3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delivery, if delivered personally;</w:t>
            </w:r>
          </w:p>
        </w:tc>
      </w:tr>
    </w:tbl>
    <w:p>
      <w:pPr>
        <w:pStyle w:val="TextBody"/>
        <w:bidi w:val="0"/>
        <w:spacing w:before="0" w:after="0"/>
        <w:ind w:left="1440" w:right="0" w:hanging="72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24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transmission, if sent by email; or</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(3) Business Days after the time and date of posting, if sent by courier,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if deemed receipt of any Notice occurs after 6 p.m. or is not on a Business Day, deemed receipt of the Notice shall be 9 a.m. on the next Business Day. References to time in this Clause 12 are to local time in the country of the addressee.</w:t>
      </w:r>
    </w:p>
    <w:p>
      <w:pPr>
        <w:pStyle w:val="TextBody"/>
        <w:bidi w:val="0"/>
        <w:spacing w:before="0" w:after="0"/>
        <w:ind w:left="72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395"/>
        <w:gridCol w:w="49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and email addresses for service of Notices 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Founder &amp; RVL:</w:t>
      </w:r>
    </w:p>
    <w:p>
      <w:pPr>
        <w:pStyle w:val="TextBody"/>
        <w:bidi w:val="0"/>
        <w:spacing w:before="0" w:after="0"/>
        <w:ind w:left="709"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60"/>
        <w:gridCol w:w="1685"/>
        <w:gridCol w:w="351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Christian Pelham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Address: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Lung Poon St, Diamond Hill, Hong Kong</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For the attention of: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Christian Pelham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mp@rhino-ventures.com</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w:t>
      </w:r>
    </w:p>
    <w:p>
      <w:pPr>
        <w:pStyle w:val="TextBody"/>
        <w:bidi w:val="0"/>
        <w:spacing w:before="0" w:after="0"/>
        <w:ind w:left="709"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685"/>
        <w:gridCol w:w="35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Address: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Kew Heights, #01-47, Singapore 465927</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For the attention of: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redickaa@interaktco.com</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w:t>
      </w:r>
    </w:p>
    <w:p>
      <w:pPr>
        <w:pStyle w:val="TextBody"/>
        <w:bidi w:val="0"/>
        <w:spacing w:before="0" w:after="0"/>
        <w:ind w:left="709"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685"/>
        <w:gridCol w:w="549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Address: </w:t>
            </w:r>
          </w:p>
        </w:tc>
        <w:tc>
          <w:tcPr>
            <w:tcW w:w="5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D-2, Plot no 13-18, Ramchitra Apartments, 2nd Cross Street,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Colony, Medavakkam, Kancheepuram, Tamilnadu - 600100</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For the attention of: </w:t>
            </w:r>
          </w:p>
        </w:tc>
        <w:tc>
          <w:tcPr>
            <w:tcW w:w="5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5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dakshen@interaktco.com</w:t>
            </w:r>
          </w:p>
        </w:tc>
      </w:tr>
    </w:tbl>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shall notify the other Parties of any change to its details in Clause 12.2 for the purposes of this Clause 12, provided that such notification shall only be effective on the later of the date specified in the notification and five (5) Business Days after deemed receipt.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proving service it shall be sufficient to prove that delivery by hand was made, the envelope containing such Notice was properly addressed and delivered either to the address shown thereon or into the custody of the postal authorities as a pre-paid recorded post or international courier, or that the electronic mail was properly addressed and transmitted to the relevant electronic mail address, as the case may be.</w:t>
            </w:r>
          </w:p>
        </w:tc>
      </w:tr>
    </w:tbl>
    <w:p>
      <w:pPr>
        <w:pStyle w:val="TextBody"/>
        <w:bidi w:val="0"/>
        <w:spacing w:before="0" w:after="0"/>
        <w:ind w:left="720" w:right="0" w:hanging="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90"/>
        <w:gridCol w:w="16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Deed may be executed in any number of counterparts and by each Party on separate counterparts and each such counterpart shall constitute an original of this Deed but all of which together constitute one and the same instrument as if each Party had signed the same document. Delivery of a counterpart of this Deed in Adobe Acrobat Portable Document Format (PDF) sent by e-mail shall be an effective mode of delivery. This Deed shall not be effective until each Party has executed at least one (1) counterpart.</w:t>
      </w:r>
    </w:p>
    <w:p>
      <w:pPr>
        <w:pStyle w:val="TextBody"/>
        <w:bidi w:val="0"/>
        <w:spacing w:before="0" w:after="0"/>
        <w:ind w:left="72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90"/>
        <w:gridCol w:w="4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DISPUTE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construction, validity and performance of this Deed and all non-contractual obligations arising from or connected with this Deed shall be governed by the laws of Singapore.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arising out of or in connection with this Deed, including any question regarding its existence, validity or termination, shall be determined by arbitration in Singapore in accordance with the Rules of the Singapore International Arbitration Centre in force at the commencement of the arbitration. The arbitration tribunal shall consist of one (1) arbitrator. The language of arbitration shall be English. This agreement to arbitrate is governed by Singapore law.</w:t>
            </w:r>
          </w:p>
        </w:tc>
      </w:tr>
    </w:tbl>
    <w:p>
      <w:pPr>
        <w:pStyle w:val="TextBody"/>
        <w:bidi w:val="0"/>
        <w:spacing w:before="0" w:after="0"/>
        <w:ind w:left="720" w:right="0" w:hanging="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this Deed and its terms, as well as the existence and status of the Transaction, are strictly confidential and shall not be disclosed to any third party prior to Completion, except as expressly permitted herein. No Party shall, without the prior written consent of the other Parties, directly or indirectly disclose the existence or any terms of this Deed to any person prior to Completion; provided, however, that disclosure may be made by a Party: (a) to such Party’s affiliates, directors, officers, employees, agents, and representatives (including legal counsel, accountants, financial advisors, and other professional advisors) who have a need to know such information for purposes of evaluating, negotiating, or consummating the Transaction and who are bound by obligations of confidentiality no less restrictive than those contained herein; (b) as may be required to comply with Applicable Law, or the rules of any stock exchange, including any disclosure obligations under applicable securities laws, in which case the disclosing Party shall, to the extent legally permissible, provide prior notice to the other Parties and reasonably cooperate to limit the scope of such disclosure; or (c) as may be required by a valid court order or governmental authority having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disclosure of this Deed may be made solely to the extent necessary to comply with applicable securities law disclosure requirements, and in each case, subject to consultation between the Parties regarding the form and content of such disclosure.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of Diginex on a Fully Diluted Basis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2095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34050" cy="2095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this Deed has been executed by the Parties as a deed and is intended to be and is hereby delivered on the date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DIGINEX FOUNDER</w:t>
      </w:r>
    </w:p>
    <w:p>
      <w:pPr>
        <w:pStyle w:val="TextBody"/>
        <w:bidi w:val="0"/>
        <w:spacing w:before="0" w:after="0"/>
        <w:ind w:left="0" w:right="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605"/>
        <w:gridCol w:w="4325"/>
        <w:gridCol w:w="675"/>
      </w:tblGrid>
      <w:tr>
        <w:trPr/>
        <w:tc>
          <w:tcPr>
            <w:tcW w:w="360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w:t>
            </w:r>
          </w:p>
        </w:tc>
        <w:tc>
          <w:tcPr>
            <w:tcW w:w="43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Miles Christian Pelham</w:t>
            </w:r>
          </w:p>
        </w:tc>
        <w:tc>
          <w:tcPr>
            <w:tcW w:w="675" w:type="dxa"/>
            <w:tcBorders/>
            <w:vAlign w:val="center"/>
          </w:tcPr>
          <w:p>
            <w:pPr>
              <w:pStyle w:val="TableContents"/>
              <w:bidi w:val="0"/>
              <w:spacing w:before="0" w:after="283"/>
              <w:jc w:val="left"/>
              <w:rPr/>
            </w:pPr>
            <w:r>
              <w:rPr/>
              <w:drawing>
                <wp:inline distT="0" distB="0" distL="0" distR="0">
                  <wp:extent cx="41910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19100" cy="419100"/>
                          </a:xfrm>
                          <a:prstGeom prst="rect">
                            <a:avLst/>
                          </a:prstGeom>
                        </pic:spPr>
                      </pic:pic>
                    </a:graphicData>
                  </a:graphic>
                </wp:inline>
              </w:drawing>
            </w:r>
          </w:p>
        </w:tc>
      </w:tr>
      <w:tr>
        <w:trPr/>
        <w:tc>
          <w:tcPr>
            <w:tcW w:w="3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 CHRISTIAN PELHAM</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w:t>
            </w:r>
          </w:p>
        </w:tc>
        <w:tc>
          <w:tcPr>
            <w:tcW w:w="6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36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Ewing</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Paul Ewing</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RVL</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4055"/>
        <w:gridCol w:w="4430"/>
        <w:gridCol w:w="675"/>
      </w:tblGrid>
      <w:tr>
        <w:trPr/>
        <w:tc>
          <w:tcPr>
            <w:tcW w:w="405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SIGNED, SEALED AND DELIVERED </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5" w:type="dxa"/>
            <w:tcBorders/>
            <w:vAlign w:val="center"/>
          </w:tcPr>
          <w:p>
            <w:pPr>
              <w:pStyle w:val="TableContents"/>
              <w:bidi w:val="0"/>
              <w:spacing w:before="0" w:after="283"/>
              <w:jc w:val="left"/>
              <w:rPr/>
            </w:pPr>
            <w:r>
              <w:rPr/>
              <w:drawing>
                <wp:inline distT="0" distB="0" distL="0" distR="0">
                  <wp:extent cx="41910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19100" cy="419100"/>
                          </a:xfrm>
                          <a:prstGeom prst="rect">
                            <a:avLst/>
                          </a:prstGeom>
                        </pic:spPr>
                      </pic:pic>
                    </a:graphicData>
                  </a:graphic>
                </wp:inline>
              </w:drawing>
            </w:r>
          </w:p>
        </w:tc>
      </w:tr>
      <w:tr>
        <w:trPr/>
        <w:tc>
          <w:tcPr>
            <w:tcW w:w="4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 MILES CHRISTIAN PELHAM</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5"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Miles Christian Pelham</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RHINO VENTURES LIMITED</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Miles Christian Pelham</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Ewing</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Paul Ewing</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RS</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4130"/>
        <w:gridCol w:w="4325"/>
        <w:gridCol w:w="675"/>
      </w:tblGrid>
      <w:tr>
        <w:trPr/>
        <w:tc>
          <w:tcPr>
            <w:tcW w:w="413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w:t>
            </w:r>
          </w:p>
        </w:tc>
        <w:tc>
          <w:tcPr>
            <w:tcW w:w="43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Radhika Sundaram</w:t>
            </w:r>
          </w:p>
        </w:tc>
        <w:tc>
          <w:tcPr>
            <w:tcW w:w="675" w:type="dxa"/>
            <w:tcBorders/>
            <w:vAlign w:val="center"/>
          </w:tcPr>
          <w:p>
            <w:pPr>
              <w:pStyle w:val="TableContents"/>
              <w:bidi w:val="0"/>
              <w:spacing w:before="0" w:after="283"/>
              <w:jc w:val="left"/>
              <w:rPr/>
            </w:pPr>
            <w:r>
              <w:rPr/>
              <w:drawing>
                <wp:inline distT="0" distB="0" distL="0" distR="0">
                  <wp:extent cx="419100" cy="41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19100" cy="419100"/>
                          </a:xfrm>
                          <a:prstGeom prst="rect">
                            <a:avLst/>
                          </a:prstGeom>
                        </pic:spPr>
                      </pic:pic>
                    </a:graphicData>
                  </a:graphic>
                </wp:inline>
              </w:drawing>
            </w:r>
          </w:p>
        </w:tc>
      </w:tr>
      <w:tr>
        <w:trPr/>
        <w:tc>
          <w:tcPr>
            <w:tcW w:w="41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RADHIKA SUNDARAM</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w:t>
            </w:r>
          </w:p>
        </w:tc>
        <w:tc>
          <w:tcPr>
            <w:tcW w:w="675"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Maria Christina Antonette Cabigas</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Maria Christina Antonette Cabigas</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DR</w:t>
      </w:r>
    </w:p>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4745"/>
        <w:gridCol w:w="4640"/>
        <w:gridCol w:w="675"/>
      </w:tblGrid>
      <w:tr>
        <w:trPr/>
        <w:tc>
          <w:tcPr>
            <w:tcW w:w="474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5" w:type="dxa"/>
            <w:tcBorders/>
            <w:vAlign w:val="center"/>
          </w:tcPr>
          <w:p>
            <w:pPr>
              <w:pStyle w:val="TableContents"/>
              <w:bidi w:val="0"/>
              <w:spacing w:before="0" w:after="283"/>
              <w:jc w:val="left"/>
              <w:rPr/>
            </w:pPr>
            <w:r>
              <w:rPr/>
              <w:drawing>
                <wp:inline distT="0" distB="0" distL="0" distR="0">
                  <wp:extent cx="419100" cy="419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19100" cy="419100"/>
                          </a:xfrm>
                          <a:prstGeom prst="rect">
                            <a:avLst/>
                          </a:prstGeom>
                        </pic:spPr>
                      </pic:pic>
                    </a:graphicData>
                  </a:graphic>
                </wp:inline>
              </w:drawing>
            </w:r>
          </w:p>
        </w:tc>
      </w:tr>
      <w:tr>
        <w:trPr/>
        <w:tc>
          <w:tcPr>
            <w:tcW w:w="4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RAMBACTHAVACHALAM DHAKSHINA MOORTHY</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Rambacthavachalam Dhakshina Moorthy</w:t>
            </w:r>
          </w:p>
        </w:tc>
        <w:tc>
          <w:tcPr>
            <w:tcW w:w="675" w:type="dxa"/>
            <w:tcBorders/>
            <w:vAlign w:val="center"/>
          </w:tcPr>
          <w:p>
            <w:pPr>
              <w:pStyle w:val="TableContents"/>
              <w:bidi w:val="0"/>
              <w:spacing w:before="0" w:after="283"/>
              <w:jc w:val="left"/>
              <w:rPr>
                <w:sz w:val="4"/>
                <w:szCs w:val="4"/>
              </w:rPr>
            </w:pPr>
            <w:r>
              <w:rPr>
                <w:sz w:val="4"/>
                <w:szCs w:val="4"/>
              </w:rPr>
            </w:r>
          </w:p>
        </w:tc>
      </w:tr>
      <w:tr>
        <w:trPr/>
        <w:tc>
          <w:tcPr>
            <w:tcW w:w="4745" w:type="dxa"/>
            <w:tcBorders/>
            <w:vAlign w:val="center"/>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w:t>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caps w:val="false"/>
                <w:smallCaps w:val="false"/>
              </w:rPr>
            </w:pPr>
            <w:r>
              <w:rPr>
                <w:caps w:val="false"/>
                <w:smallCaps w:val="false"/>
              </w:rPr>
              <w:t> </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caps w:val="false"/>
                <w:smallCaps w:val="false"/>
              </w:rPr>
            </w:pPr>
            <w:r>
              <w:rPr>
                <w:caps w:val="false"/>
                <w:smallCaps w:val="false"/>
              </w:rPr>
              <w:t> </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Ramesh Vijayan</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Ramesh Vijayan</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center"/>
        <w:rPr/>
      </w:pPr>
      <w:bookmarkStart w:id="4" w:name="ex99-2.htm"/>
      <w:bookmarkStart w:id="5" w:name="ksex992"/>
      <w:bookmarkEnd w:id="4"/>
      <w:bookmarkEnd w:id="5"/>
      <w:r>
        <w:rPr/>
        <w:t> </w:t>
      </w:r>
      <w:r>
        <w:br w:type="page"/>
      </w:r>
    </w:p>
    <w:p>
      <w:pPr>
        <w:pStyle w:val="TextBody"/>
        <w:bidi w:val="0"/>
        <w:jc w:val="right"/>
        <w:rPr>
          <w:b/>
        </w:rPr>
      </w:pPr>
      <w:r>
        <w:rPr>
          <w:b/>
        </w:rPr>
        <w:t>Exhibit 99.2</w:t>
      </w:r>
    </w:p>
    <w:p>
      <w:pPr>
        <w:pStyle w:val="TextBody"/>
        <w:bidi w:val="0"/>
        <w:jc w:val="center"/>
        <w:rPr/>
      </w:pPr>
      <w:r>
        <w:rPr/>
        <w:t> </w:t>
      </w:r>
    </w:p>
    <w:p>
      <w:pPr>
        <w:pStyle w:val="TextBody"/>
        <w:bidi w:val="0"/>
        <w:jc w:val="center"/>
        <w:rPr/>
      </w:pPr>
      <w:r>
        <w:rPr/>
        <w:drawing>
          <wp:inline distT="0" distB="0" distL="0" distR="0">
            <wp:extent cx="8229600" cy="109181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229600" cy="1091819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60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00" cy="116014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316</Pages>
  <Words>107592</Words>
  <Characters>561587</Characters>
  <CharactersWithSpaces>669937</CharactersWithSpaces>
  <Paragraphs>11013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