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U.S. Securities and Exchange Commission on September 4, 2025.</w:t>
      </w:r>
    </w:p>
    <w:p>
      <w:pPr>
        <w:spacing w:after="0" w:line="2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333-289001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193040</wp:posOffset>
            </wp:positionV>
            <wp:extent cx="714121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F-1</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DIGINEX LIMITED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6" w:lineRule="exact"/>
        <w:rPr>
          <w:sz w:val="24"/>
          <w:szCs w:val="24"/>
          <w:color w:val="auto"/>
        </w:rPr>
      </w:pPr>
    </w:p>
    <w:tbl>
      <w:tblPr>
        <w:tblLayout w:type="fixed"/>
        <w:tblInd w:w="760" w:type="dxa"/>
        <w:tblCellMar>
          <w:top w:w="0" w:type="dxa"/>
          <w:left w:w="0" w:type="dxa"/>
          <w:bottom w:w="0" w:type="dxa"/>
          <w:right w:w="0" w:type="dxa"/>
        </w:tblCellMar>
      </w:tblPr>
      <w:tr>
        <w:trPr>
          <w:trHeight w:val="206"/>
        </w:trPr>
        <w:tc>
          <w:tcPr>
            <w:tcW w:w="218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w w:val="98"/>
              </w:rPr>
              <w:t>Cayman Islands</w:t>
            </w:r>
          </w:p>
        </w:tc>
        <w:tc>
          <w:tcPr>
            <w:tcW w:w="558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9"/>
              </w:rPr>
              <w:t>7389</w:t>
            </w:r>
          </w:p>
        </w:tc>
        <w:tc>
          <w:tcPr>
            <w:tcW w:w="1560" w:type="dxa"/>
            <w:vAlign w:val="bottom"/>
          </w:tcPr>
          <w:p>
            <w:pPr>
              <w:jc w:val="center"/>
              <w:ind w:left="216"/>
              <w:spacing w:after="0"/>
              <w:rPr>
                <w:sz w:val="20"/>
                <w:szCs w:val="20"/>
                <w:color w:val="auto"/>
              </w:rPr>
            </w:pPr>
            <w:r>
              <w:rPr>
                <w:rFonts w:ascii="Times New Roman" w:cs="Times New Roman" w:eastAsia="Times New Roman" w:hAnsi="Times New Roman"/>
                <w:sz w:val="17"/>
                <w:szCs w:val="17"/>
                <w:b w:val="1"/>
                <w:bCs w:val="1"/>
                <w:color w:val="auto"/>
              </w:rPr>
              <w:t>N/A</w:t>
            </w:r>
          </w:p>
        </w:tc>
      </w:tr>
      <w:tr>
        <w:trPr>
          <w:trHeight w:val="202"/>
        </w:trPr>
        <w:tc>
          <w:tcPr>
            <w:tcW w:w="218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(State or Other Jurisdiction of</w:t>
            </w:r>
          </w:p>
        </w:tc>
        <w:tc>
          <w:tcPr>
            <w:tcW w:w="558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w w:val="98"/>
              </w:rPr>
              <w:t>(Primary Standard Industrial</w:t>
            </w:r>
          </w:p>
        </w:tc>
        <w:tc>
          <w:tcPr>
            <w:tcW w:w="1560" w:type="dxa"/>
            <w:vAlign w:val="bottom"/>
          </w:tcPr>
          <w:p>
            <w:pPr>
              <w:jc w:val="center"/>
              <w:ind w:left="216"/>
              <w:spacing w:after="0"/>
              <w:rPr>
                <w:sz w:val="20"/>
                <w:szCs w:val="20"/>
                <w:color w:val="auto"/>
              </w:rPr>
            </w:pPr>
            <w:r>
              <w:rPr>
                <w:rFonts w:ascii="Times New Roman" w:cs="Times New Roman" w:eastAsia="Times New Roman" w:hAnsi="Times New Roman"/>
                <w:sz w:val="17"/>
                <w:szCs w:val="17"/>
                <w:color w:val="auto"/>
                <w:w w:val="98"/>
              </w:rPr>
              <w:t>(I.R.S. Employer</w:t>
            </w:r>
          </w:p>
        </w:tc>
      </w:tr>
      <w:tr>
        <w:trPr>
          <w:trHeight w:val="218"/>
        </w:trPr>
        <w:tc>
          <w:tcPr>
            <w:tcW w:w="218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9"/>
              </w:rPr>
              <w:t>Incorporation or Organization)</w:t>
            </w:r>
          </w:p>
        </w:tc>
        <w:tc>
          <w:tcPr>
            <w:tcW w:w="5580" w:type="dxa"/>
            <w:vAlign w:val="bottom"/>
          </w:tcPr>
          <w:p>
            <w:pPr>
              <w:jc w:val="center"/>
              <w:ind w:right="96"/>
              <w:spacing w:after="0"/>
              <w:rPr>
                <w:sz w:val="20"/>
                <w:szCs w:val="20"/>
                <w:color w:val="auto"/>
              </w:rPr>
            </w:pPr>
            <w:r>
              <w:rPr>
                <w:rFonts w:ascii="Times New Roman" w:cs="Times New Roman" w:eastAsia="Times New Roman" w:hAnsi="Times New Roman"/>
                <w:sz w:val="17"/>
                <w:szCs w:val="17"/>
                <w:color w:val="auto"/>
                <w:w w:val="98"/>
              </w:rPr>
              <w:t>Classification Code Number)</w:t>
            </w:r>
          </w:p>
        </w:tc>
        <w:tc>
          <w:tcPr>
            <w:tcW w:w="1560" w:type="dxa"/>
            <w:vAlign w:val="bottom"/>
          </w:tcPr>
          <w:p>
            <w:pPr>
              <w:jc w:val="center"/>
              <w:ind w:left="216"/>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383"/>
        </w:trPr>
        <w:tc>
          <w:tcPr>
            <w:tcW w:w="2180" w:type="dxa"/>
            <w:vAlign w:val="bottom"/>
          </w:tcPr>
          <w:p>
            <w:pPr>
              <w:spacing w:after="0"/>
              <w:rPr>
                <w:sz w:val="24"/>
                <w:szCs w:val="24"/>
                <w:color w:val="auto"/>
              </w:rPr>
            </w:pPr>
          </w:p>
        </w:tc>
        <w:tc>
          <w:tcPr>
            <w:tcW w:w="5580" w:type="dxa"/>
            <w:vAlign w:val="bottom"/>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8"/>
              </w:rPr>
              <w:t>25 Wilton Road, Victoria</w:t>
            </w:r>
          </w:p>
        </w:tc>
        <w:tc>
          <w:tcPr>
            <w:tcW w:w="1560" w:type="dxa"/>
            <w:vAlign w:val="bottom"/>
          </w:tcPr>
          <w:p>
            <w:pPr>
              <w:spacing w:after="0"/>
              <w:rPr>
                <w:sz w:val="24"/>
                <w:szCs w:val="24"/>
                <w:color w:val="auto"/>
              </w:rPr>
            </w:pPr>
          </w:p>
        </w:tc>
      </w:tr>
      <w:tr>
        <w:trPr>
          <w:trHeight w:val="202"/>
        </w:trPr>
        <w:tc>
          <w:tcPr>
            <w:tcW w:w="2180" w:type="dxa"/>
            <w:vAlign w:val="bottom"/>
          </w:tcPr>
          <w:p>
            <w:pPr>
              <w:spacing w:after="0"/>
              <w:rPr>
                <w:sz w:val="17"/>
                <w:szCs w:val="17"/>
                <w:color w:val="auto"/>
              </w:rPr>
            </w:pPr>
          </w:p>
        </w:tc>
        <w:tc>
          <w:tcPr>
            <w:tcW w:w="5580" w:type="dxa"/>
            <w:vAlign w:val="bottom"/>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8"/>
              </w:rPr>
              <w:t>London</w:t>
            </w:r>
          </w:p>
        </w:tc>
        <w:tc>
          <w:tcPr>
            <w:tcW w:w="1560" w:type="dxa"/>
            <w:vAlign w:val="bottom"/>
          </w:tcPr>
          <w:p>
            <w:pPr>
              <w:spacing w:after="0"/>
              <w:rPr>
                <w:sz w:val="17"/>
                <w:szCs w:val="17"/>
                <w:color w:val="auto"/>
              </w:rPr>
            </w:pPr>
          </w:p>
        </w:tc>
      </w:tr>
      <w:tr>
        <w:trPr>
          <w:trHeight w:val="202"/>
        </w:trPr>
        <w:tc>
          <w:tcPr>
            <w:tcW w:w="2180" w:type="dxa"/>
            <w:vAlign w:val="bottom"/>
          </w:tcPr>
          <w:p>
            <w:pPr>
              <w:spacing w:after="0"/>
              <w:rPr>
                <w:sz w:val="17"/>
                <w:szCs w:val="17"/>
                <w:color w:val="auto"/>
              </w:rPr>
            </w:pPr>
          </w:p>
        </w:tc>
        <w:tc>
          <w:tcPr>
            <w:tcW w:w="5580" w:type="dxa"/>
            <w:vAlign w:val="bottom"/>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7"/>
              </w:rPr>
              <w:t>Greater London</w:t>
            </w:r>
          </w:p>
        </w:tc>
        <w:tc>
          <w:tcPr>
            <w:tcW w:w="1560" w:type="dxa"/>
            <w:vAlign w:val="bottom"/>
          </w:tcPr>
          <w:p>
            <w:pPr>
              <w:spacing w:after="0"/>
              <w:rPr>
                <w:sz w:val="17"/>
                <w:szCs w:val="17"/>
                <w:color w:val="auto"/>
              </w:rPr>
            </w:pPr>
          </w:p>
        </w:tc>
      </w:tr>
      <w:tr>
        <w:trPr>
          <w:trHeight w:val="202"/>
        </w:trPr>
        <w:tc>
          <w:tcPr>
            <w:tcW w:w="2180" w:type="dxa"/>
            <w:vAlign w:val="bottom"/>
          </w:tcPr>
          <w:p>
            <w:pPr>
              <w:spacing w:after="0"/>
              <w:rPr>
                <w:sz w:val="17"/>
                <w:szCs w:val="17"/>
                <w:color w:val="auto"/>
              </w:rPr>
            </w:pPr>
          </w:p>
        </w:tc>
        <w:tc>
          <w:tcPr>
            <w:tcW w:w="5580" w:type="dxa"/>
            <w:vAlign w:val="bottom"/>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5"/>
              </w:rPr>
              <w:t>SW1V 1LW</w:t>
            </w:r>
          </w:p>
        </w:tc>
        <w:tc>
          <w:tcPr>
            <w:tcW w:w="1560" w:type="dxa"/>
            <w:vAlign w:val="bottom"/>
          </w:tcPr>
          <w:p>
            <w:pPr>
              <w:spacing w:after="0"/>
              <w:rPr>
                <w:sz w:val="17"/>
                <w:szCs w:val="17"/>
                <w:color w:val="auto"/>
              </w:rPr>
            </w:pPr>
          </w:p>
        </w:tc>
      </w:tr>
      <w:tr>
        <w:trPr>
          <w:trHeight w:val="202"/>
        </w:trPr>
        <w:tc>
          <w:tcPr>
            <w:tcW w:w="2180" w:type="dxa"/>
            <w:vAlign w:val="bottom"/>
          </w:tcPr>
          <w:p>
            <w:pPr>
              <w:spacing w:after="0"/>
              <w:rPr>
                <w:sz w:val="17"/>
                <w:szCs w:val="17"/>
                <w:color w:val="auto"/>
              </w:rPr>
            </w:pPr>
          </w:p>
        </w:tc>
        <w:tc>
          <w:tcPr>
            <w:tcW w:w="5580" w:type="dxa"/>
            <w:vAlign w:val="bottom"/>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8"/>
              </w:rPr>
              <w:t>United Kingdom</w:t>
            </w:r>
          </w:p>
        </w:tc>
        <w:tc>
          <w:tcPr>
            <w:tcW w:w="1560" w:type="dxa"/>
            <w:vAlign w:val="bottom"/>
          </w:tcPr>
          <w:p>
            <w:pPr>
              <w:spacing w:after="0"/>
              <w:rPr>
                <w:sz w:val="17"/>
                <w:szCs w:val="17"/>
                <w:color w:val="auto"/>
              </w:rPr>
            </w:pPr>
          </w:p>
        </w:tc>
      </w:tr>
      <w:tr>
        <w:trPr>
          <w:trHeight w:val="206"/>
        </w:trPr>
        <w:tc>
          <w:tcPr>
            <w:tcW w:w="2180" w:type="dxa"/>
            <w:vAlign w:val="bottom"/>
          </w:tcPr>
          <w:p>
            <w:pPr>
              <w:spacing w:after="0"/>
              <w:rPr>
                <w:sz w:val="17"/>
                <w:szCs w:val="17"/>
                <w:color w:val="auto"/>
              </w:rPr>
            </w:pPr>
          </w:p>
        </w:tc>
        <w:tc>
          <w:tcPr>
            <w:tcW w:w="5580" w:type="dxa"/>
            <w:vAlign w:val="bottom"/>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9"/>
              </w:rPr>
              <w:t>+44 203 998 0008</w:t>
            </w:r>
          </w:p>
        </w:tc>
        <w:tc>
          <w:tcPr>
            <w:tcW w:w="1560" w:type="dxa"/>
            <w:vAlign w:val="bottom"/>
          </w:tcPr>
          <w:p>
            <w:pPr>
              <w:spacing w:after="0"/>
              <w:rPr>
                <w:sz w:val="17"/>
                <w:szCs w:val="17"/>
                <w:color w:val="auto"/>
              </w:rPr>
            </w:pPr>
          </w:p>
        </w:tc>
      </w:tr>
      <w:tr>
        <w:trPr>
          <w:trHeight w:val="218"/>
        </w:trPr>
        <w:tc>
          <w:tcPr>
            <w:tcW w:w="2180" w:type="dxa"/>
            <w:vAlign w:val="bottom"/>
          </w:tcPr>
          <w:p>
            <w:pPr>
              <w:spacing w:after="0"/>
              <w:rPr>
                <w:sz w:val="18"/>
                <w:szCs w:val="18"/>
                <w:color w:val="auto"/>
              </w:rPr>
            </w:pPr>
          </w:p>
        </w:tc>
        <w:tc>
          <w:tcPr>
            <w:tcW w:w="558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8"/>
              </w:rPr>
              <w:t>(Address and Telephone Number of Registrant’s Principal Executive Offices)</w:t>
            </w:r>
          </w:p>
        </w:tc>
        <w:tc>
          <w:tcPr>
            <w:tcW w:w="1560" w:type="dxa"/>
            <w:vAlign w:val="bottom"/>
          </w:tcPr>
          <w:p>
            <w:pPr>
              <w:spacing w:after="0"/>
              <w:rPr>
                <w:sz w:val="18"/>
                <w:szCs w:val="18"/>
                <w:color w:val="auto"/>
              </w:rPr>
            </w:pPr>
          </w:p>
        </w:tc>
      </w:tr>
      <w:tr>
        <w:trPr>
          <w:trHeight w:val="383"/>
        </w:trPr>
        <w:tc>
          <w:tcPr>
            <w:tcW w:w="2180" w:type="dxa"/>
            <w:vAlign w:val="bottom"/>
          </w:tcPr>
          <w:p>
            <w:pPr>
              <w:spacing w:after="0"/>
              <w:rPr>
                <w:sz w:val="24"/>
                <w:szCs w:val="24"/>
                <w:color w:val="auto"/>
              </w:rPr>
            </w:pPr>
          </w:p>
        </w:tc>
        <w:tc>
          <w:tcPr>
            <w:tcW w:w="5580" w:type="dxa"/>
            <w:vAlign w:val="bottom"/>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8"/>
              </w:rPr>
              <w:t>Puglisi &amp; Associates</w:t>
            </w:r>
          </w:p>
        </w:tc>
        <w:tc>
          <w:tcPr>
            <w:tcW w:w="1560" w:type="dxa"/>
            <w:vAlign w:val="bottom"/>
          </w:tcPr>
          <w:p>
            <w:pPr>
              <w:spacing w:after="0"/>
              <w:rPr>
                <w:sz w:val="24"/>
                <w:szCs w:val="24"/>
                <w:color w:val="auto"/>
              </w:rPr>
            </w:pPr>
          </w:p>
        </w:tc>
      </w:tr>
      <w:tr>
        <w:trPr>
          <w:trHeight w:val="202"/>
        </w:trPr>
        <w:tc>
          <w:tcPr>
            <w:tcW w:w="2180" w:type="dxa"/>
            <w:vAlign w:val="bottom"/>
          </w:tcPr>
          <w:p>
            <w:pPr>
              <w:spacing w:after="0"/>
              <w:rPr>
                <w:sz w:val="17"/>
                <w:szCs w:val="17"/>
                <w:color w:val="auto"/>
              </w:rPr>
            </w:pPr>
          </w:p>
        </w:tc>
        <w:tc>
          <w:tcPr>
            <w:tcW w:w="558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8"/>
              </w:rPr>
              <w:t>850 Library Avenue, Suite 204</w:t>
            </w:r>
          </w:p>
        </w:tc>
        <w:tc>
          <w:tcPr>
            <w:tcW w:w="1560" w:type="dxa"/>
            <w:vAlign w:val="bottom"/>
          </w:tcPr>
          <w:p>
            <w:pPr>
              <w:spacing w:after="0"/>
              <w:rPr>
                <w:sz w:val="17"/>
                <w:szCs w:val="17"/>
                <w:color w:val="auto"/>
              </w:rPr>
            </w:pPr>
          </w:p>
        </w:tc>
      </w:tr>
      <w:tr>
        <w:trPr>
          <w:trHeight w:val="202"/>
        </w:trPr>
        <w:tc>
          <w:tcPr>
            <w:tcW w:w="2180" w:type="dxa"/>
            <w:vAlign w:val="bottom"/>
          </w:tcPr>
          <w:p>
            <w:pPr>
              <w:spacing w:after="0"/>
              <w:rPr>
                <w:sz w:val="17"/>
                <w:szCs w:val="17"/>
                <w:color w:val="auto"/>
              </w:rPr>
            </w:pPr>
          </w:p>
        </w:tc>
        <w:tc>
          <w:tcPr>
            <w:tcW w:w="558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7"/>
              </w:rPr>
              <w:t>Newark, Delaware 19711</w:t>
            </w:r>
          </w:p>
        </w:tc>
        <w:tc>
          <w:tcPr>
            <w:tcW w:w="1560" w:type="dxa"/>
            <w:vAlign w:val="bottom"/>
          </w:tcPr>
          <w:p>
            <w:pPr>
              <w:spacing w:after="0"/>
              <w:rPr>
                <w:sz w:val="17"/>
                <w:szCs w:val="17"/>
                <w:color w:val="auto"/>
              </w:rPr>
            </w:pPr>
          </w:p>
        </w:tc>
      </w:tr>
      <w:tr>
        <w:trPr>
          <w:trHeight w:val="206"/>
        </w:trPr>
        <w:tc>
          <w:tcPr>
            <w:tcW w:w="2180" w:type="dxa"/>
            <w:vAlign w:val="bottom"/>
          </w:tcPr>
          <w:p>
            <w:pPr>
              <w:spacing w:after="0"/>
              <w:rPr>
                <w:sz w:val="17"/>
                <w:szCs w:val="17"/>
                <w:color w:val="auto"/>
              </w:rPr>
            </w:pPr>
          </w:p>
        </w:tc>
        <w:tc>
          <w:tcPr>
            <w:tcW w:w="5580" w:type="dxa"/>
            <w:vAlign w:val="bottom"/>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9"/>
              </w:rPr>
              <w:t>302-738-6680</w:t>
            </w:r>
          </w:p>
        </w:tc>
        <w:tc>
          <w:tcPr>
            <w:tcW w:w="1560" w:type="dxa"/>
            <w:vAlign w:val="bottom"/>
          </w:tcPr>
          <w:p>
            <w:pPr>
              <w:spacing w:after="0"/>
              <w:rPr>
                <w:sz w:val="17"/>
                <w:szCs w:val="17"/>
                <w:color w:val="auto"/>
              </w:rPr>
            </w:pPr>
          </w:p>
        </w:tc>
      </w:tr>
      <w:tr>
        <w:trPr>
          <w:trHeight w:val="218"/>
        </w:trPr>
        <w:tc>
          <w:tcPr>
            <w:tcW w:w="2180" w:type="dxa"/>
            <w:vAlign w:val="bottom"/>
          </w:tcPr>
          <w:p>
            <w:pPr>
              <w:spacing w:after="0"/>
              <w:rPr>
                <w:sz w:val="18"/>
                <w:szCs w:val="18"/>
                <w:color w:val="auto"/>
              </w:rPr>
            </w:pPr>
          </w:p>
        </w:tc>
        <w:tc>
          <w:tcPr>
            <w:tcW w:w="558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w w:val="98"/>
              </w:rPr>
              <w:t>(Name, Address, and Telephone Number of Agent for Service)</w:t>
            </w:r>
          </w:p>
        </w:tc>
        <w:tc>
          <w:tcPr>
            <w:tcW w:w="1560" w:type="dxa"/>
            <w:vAlign w:val="bottom"/>
          </w:tcPr>
          <w:p>
            <w:pPr>
              <w:spacing w:after="0"/>
              <w:rPr>
                <w:sz w:val="18"/>
                <w:szCs w:val="18"/>
                <w:color w:val="auto"/>
              </w:rPr>
            </w:pPr>
          </w:p>
        </w:tc>
      </w:tr>
    </w:tbl>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Mitchell Nussbaum, Esq.</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Andrei Sirabionian, Esq.</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James A. Prestiano, Esq.</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Loeb &amp; Loeb LLP</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345 Park Avenue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NY 10154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(212) 407-4000</w:t>
      </w:r>
    </w:p>
    <w:p>
      <w:pPr>
        <w:spacing w:after="0" w:line="192"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7"/>
          <w:szCs w:val="17"/>
          <w:color w:val="auto"/>
        </w:rPr>
        <w:t>Approximate date of commencement of proposed sale to the public: From time to time after the effective date of this registration statement.</w:t>
      </w:r>
    </w:p>
    <w:p>
      <w:pPr>
        <w:spacing w:after="0" w:line="208" w:lineRule="exact"/>
        <w:rPr>
          <w:sz w:val="24"/>
          <w:szCs w:val="24"/>
          <w:color w:val="auto"/>
        </w:rPr>
      </w:pPr>
    </w:p>
    <w:p>
      <w:pPr>
        <w:jc w:val="both"/>
        <w:ind w:firstLine="605"/>
        <w:spacing w:after="0" w:line="223"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60" w:lineRule="exact"/>
        <w:rPr>
          <w:sz w:val="24"/>
          <w:szCs w:val="24"/>
          <w:color w:val="auto"/>
        </w:rPr>
      </w:pPr>
    </w:p>
    <w:p>
      <w:pPr>
        <w:jc w:val="both"/>
        <w:ind w:firstLine="605"/>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0" w:lineRule="exact"/>
        <w:rPr>
          <w:sz w:val="24"/>
          <w:szCs w:val="24"/>
          <w:color w:val="auto"/>
        </w:rPr>
      </w:pPr>
    </w:p>
    <w:p>
      <w:pPr>
        <w:jc w:val="both"/>
        <w:ind w:firstLine="605"/>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0" w:lineRule="exact"/>
        <w:rPr>
          <w:sz w:val="24"/>
          <w:szCs w:val="24"/>
          <w:color w:val="auto"/>
        </w:rPr>
      </w:pPr>
    </w:p>
    <w:p>
      <w:pPr>
        <w:jc w:val="both"/>
        <w:ind w:firstLine="605"/>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0"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w:t>
      </w:r>
    </w:p>
    <w:p>
      <w:pPr>
        <w:spacing w:after="0" w:line="170" w:lineRule="exact"/>
        <w:rPr>
          <w:sz w:val="24"/>
          <w:szCs w:val="24"/>
          <w:color w:val="auto"/>
        </w:rPr>
      </w:pPr>
    </w:p>
    <w:p>
      <w:pPr>
        <w:ind w:left="922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4"/>
          <w:szCs w:val="24"/>
          <w:color w:val="auto"/>
        </w:rPr>
      </w:pPr>
    </w:p>
    <w:p>
      <w:pPr>
        <w:jc w:val="both"/>
        <w:ind w:firstLine="605"/>
        <w:spacing w:after="0" w:line="216" w:lineRule="exact"/>
        <w:rPr>
          <w:sz w:val="20"/>
          <w:szCs w:val="20"/>
          <w:color w:val="auto"/>
        </w:rPr>
      </w:pPr>
      <w:r>
        <w:rPr>
          <w:rFonts w:ascii="Times New Roman" w:cs="Times New Roman" w:eastAsia="Times New Roman" w:hAnsi="Times New Roman"/>
          <w:sz w:val="17"/>
          <w:szCs w:val="17"/>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62" w:lineRule="exact"/>
        <w:rPr>
          <w:sz w:val="24"/>
          <w:szCs w:val="24"/>
          <w:color w:val="auto"/>
        </w:rPr>
      </w:pPr>
    </w:p>
    <w:p>
      <w:pPr>
        <w:ind w:firstLine="606"/>
        <w:spacing w:after="0" w:line="274" w:lineRule="auto"/>
        <w:tabs>
          <w:tab w:leader="none" w:pos="7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240"/>
          </w:cols>
          <w:pgMar w:left="320" w:top="422" w:right="339" w:bottom="121" w:gutter="0" w:footer="0" w:header="0"/>
        </w:sectPr>
      </w:pPr>
    </w:p>
    <w:bookmarkStart w:id="1" w:name="page2"/>
    <w:bookmarkEnd w:id="1"/>
    <w:p>
      <w:pPr>
        <w:jc w:val="both"/>
        <w:ind w:firstLine="605"/>
        <w:spacing w:after="0" w:line="258"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(the “SEC”), acting pursuant to said Section 8(a), may determine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71412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143510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447675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jc w:val="both"/>
        <w:spacing w:after="0" w:line="263" w:lineRule="auto"/>
        <w:rPr>
          <w:sz w:val="20"/>
          <w:szCs w:val="20"/>
          <w:color w:val="auto"/>
        </w:rPr>
      </w:pPr>
      <w:r>
        <w:rPr>
          <w:rFonts w:ascii="Times New Roman" w:cs="Times New Roman" w:eastAsia="Times New Roman" w:hAnsi="Times New Roman"/>
          <w:sz w:val="17"/>
          <w:szCs w:val="17"/>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the solicitation of an offer to buy these securities in any jurisdiction where the offer or sale is not permitted</w:t>
      </w:r>
      <w:r>
        <w:rPr>
          <w:rFonts w:ascii="Times New Roman" w:cs="Times New Roman" w:eastAsia="Times New Roman" w:hAnsi="Times New Roman"/>
          <w:sz w:val="17"/>
          <w:szCs w:val="17"/>
          <w:color w:val="FF0000"/>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rPr>
        <w:t>SUBJECT TO COMPLETION—DATED SEPTEMBER 4,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rPr>
        <w:t>PRELIMINARY PROSPECTUS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4,500,000 Ordinary Shares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RESALE PROSPECTUS</w:t>
      </w:r>
    </w:p>
    <w:p>
      <w:pPr>
        <w:spacing w:after="0" w:line="21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This Resale Prospectus relates to the registration and resale of 2,250,000 Ordinary Shares and 2,250,000 Ordinary Shares underlying warrants of the Company held by the Selling Shareholder named in this prospectus. We will not receive any of the proceeds from the sale of Ordinary Shares by the Selling Shareholder named in this prospectus, however in the event the warrants are exercised then the Company will receive the exercise price of the warrants that are exercised.</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Any shares sold by the Selling Shareholder covered by this prospectus will be sold at prevailing market prices or in privately negotiated prices. The distribution of securities offered hereby may be effected in one or more transactions that may take place in ordinary brokers’ transactions, privately negotiated transactions or through sales to one or more dealers for resale of such securities as principals. The Selling Shareholder will sell its shares at prevailing market prices or in privately negotiated prices. Usual and customary or specifically negotiated brokerage fees or commissions may be paid by the Selling Shareholder.</w:t>
      </w:r>
    </w:p>
    <w:p>
      <w:pPr>
        <w:spacing w:after="0" w:line="17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Ordinary Shares registered for resale as part of this Resale Prospectus, once registered, will constitute a almost 42% of our public float.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such a decline in the public trading price, certain Selling Shareholder may still experience a positive rate of return on the Ordinary Shares due to the lower price that they purchased the Ordinary Shares compared to other public investors and may be incentivized to sell their Ordinary Shares when others are not. See “Risk Factors — The future sales of Ordinary Shares by existing shareholders, including the sales pursuant to the Resale Prospectus, may adversely affect the market price of our Ordinary Share.”</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Ordinary Shares are listed on the Nasdaq Capital Market under the symbol “DGNX.” On September 2, 2025, the last reported sale price of our Ordinary Shares on Nasdaq was $60.25 per share. In addition to the Nasdaq Capital Market, out Ordinary Shares are listed to trade on the Frankfurt Stock Exchange (Open Market) and the Tradegate Exchange under the symbol “I0Q.”</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not considered a “controlled company” under Nasdaq corporate governance rules as no more than 50% of our voting power is held by an individual, a group or another company following the consummation of the Company’s initial public offering of 2,250,000 Ordinary Shares, which occurred on January 23, 2025, as described in the Company post-effective Amendment No. 1 to its Registration Statement on Form F-1, which was declared effective on January 16, 2025.</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December 20, 2024, following the Company’s registration statement being declared effective by the SEC, Diginex Limited issued 2,347,134 Ordinary Shares in connection with the conversion of all of the outstanding Convertible Loan Notes. On December 20, 2024, following the Company’s registration statement being declared effective by the SEC, Diginex Limited issued 2,583,820 Ordinary Shares in connection with the conversion of 2,583,820 Preferred Shares. On January 21, 2025, the Company issued RVL 731,707 Ordinary Shares in connection with RVL’s conversion of $3.0 million of the Modified RVL Loan into Ordinary Shares at a price of $4.10 per share.</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January 23, 2025, the Company issued Rhino Ventures Limited the warrants identified below (“IPO Warrants”) in recognition of the continuous financial support Rhino Ventures Limited has provided to the Company over previous years that has been critical to sustaining operations and achieving the IPO. There were no goods or services exchanged with Rhino Ventures Limited for the issuance of the IPO warrants. No new direct consideration was received at the time of issuance, as the warrants were granted to acknowledge the historical value provided by Rhino Ventures Limited.</w:t>
      </w:r>
    </w:p>
    <w:p>
      <w:pPr>
        <w:spacing w:after="0" w:line="175" w:lineRule="exact"/>
        <w:rPr>
          <w:sz w:val="20"/>
          <w:szCs w:val="20"/>
          <w:color w:val="auto"/>
        </w:rPr>
      </w:pPr>
    </w:p>
    <w:p>
      <w:pPr>
        <w:ind w:left="600" w:hanging="297"/>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6 - Warrants to purchase 2,250,000 Ordinary Shares at an exercise price of $12.30 per share, which expire 24 months from January 23, 2025</w:t>
      </w:r>
    </w:p>
    <w:p>
      <w:pPr>
        <w:spacing w:after="0" w:line="19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May 6, 2025, Rhino Ventures Limited sold the following warrants (the “Nomas Warrants”) to Nomas Global Investments-L.L.C-S.P.C. for $300,000,000 pursuant to a warrant purchase agreement, dated April 4, 2025 (the “Nomas WPA”). In furtherance of the Nomas WPA on May 6, 2025, Nomas Global Investments-L.L.C-S.P.C. delivered to Rhino Ventures Limited a promissory note in the amount of $50,000,000 as the initial payment of the consideration under the Nomas WPA and Rhino Ventures Limited conveyed and transferred the Nomas Warrants to Nomas Global Investments-L.L.C-S.P.C. A copy of the Nomas WPA is attached hereto as Exhibit 10.21.</w:t>
      </w:r>
    </w:p>
    <w:p>
      <w:pPr>
        <w:spacing w:after="0" w:line="176" w:lineRule="exact"/>
        <w:rPr>
          <w:sz w:val="20"/>
          <w:szCs w:val="20"/>
          <w:color w:val="auto"/>
        </w:rPr>
      </w:pPr>
    </w:p>
    <w:p>
      <w:pPr>
        <w:ind w:left="900" w:hanging="294"/>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6 - Warrants to purchase 2,250,000 Ordinary Shares at an exercise price of $12.30 per share, which expire 24 months from January 23, 2025</w:t>
      </w:r>
    </w:p>
    <w:p>
      <w:pPr>
        <w:spacing w:after="0" w:line="19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Tranche 1 Warrants to purchase 2,250,000 Ordinary Shares at an exercise price of $5.13 per share, which expire 6 months from January 23, 2025 are held by Rhino Ventures Limited and are attached hereto as Exhibit 4.3. The Tranche 2 Warrants to purchase 2,250,000 Ordinary Shares at an exercise price of $6.15 per share, which expire 9 months from January 23, 2025 are held by Rhino Ventures Limited and are attached hereto as Exhibit 4.4. The Tranche 3 Warrants to purchase 2,250,000 Ordinary Shares at an exercise price of $7.18 per share, which expire 12 months from January 23, 2025 are held by Rhino Ventures Limited and are attached hereto as Exhibit 4.5. The Tranche 4 Warrants to purchase 2,250,000 Ordinary Shares at an exercise price of $8.20 per share, which expire 15 months from January 23, 2025 are held by Nomas Global Investments-L.L.C-S.P.C. and are attached hereto as Exhibit 4.6. The Tranche 5 Warrants to purchase 2,250,000 Ordinary Shares at an exercise price of $10.25 per share, which expire 18 months from January 23, 2025 are held by Nomas Global Investments-L.L.C-S.P.C. and are attached hereto as Exhibit 4.7. The Tranche 6 Warrants to purchase 2,250,000 Ordinary Shares at an exercise price of $12.30 per share, which expire 24 months from January 23, 2025 are held by Nomas Global Investments-L.L.C-S.P.C. and are attached hereto as Exhibit 4.8.</w:t>
      </w:r>
    </w:p>
    <w:p>
      <w:pPr>
        <w:sectPr>
          <w:pgSz w:w="11900" w:h="16838" w:orient="portrait"/>
          <w:cols w:equalWidth="0" w:num="1">
            <w:col w:w="11240"/>
          </w:cols>
          <w:pgMar w:left="320" w:top="649" w:right="339" w:bottom="38" w:gutter="0" w:footer="0" w:header="0"/>
        </w:sectPr>
      </w:pPr>
    </w:p>
    <w:bookmarkStart w:id="3" w:name="page4"/>
    <w:bookmarkEnd w:id="3"/>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August 22, 2025, the Nomas WPA was rescinded by mutual agreement of Rhino Ventures Limited and Nomas Global Investments-L.L.C-S.P.C and the Nomas Warrants were returned to Rhino Ventures Limited and the previously issued promissory note from Nomas Global Investments L.L.C-S.P.C to Rhino Ventures Limited in the amount of $50,000,000 as the initial consideration under the Nomas WPA has been cancelled. Accordingly, Rhino Ventures Limited is the owner of 100% of the outstanding IPO Warrants.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August 18, 2025 Diginex announced an eight (8) for one (1) forward stock split to be paid in the form of a bonus share issuance. Each shareholder of the Company of record at the close of business on September 5, 2025 will receive 7 bonus ordinary shares for every one ordinary share held on the record date. The Company expects the bonus shares will be distributed on September 8, 2025.</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of September 1, 2025, our officers and directors beneficially own approximately 70.8% of our total issued and outstanding Ordinary Shares, assuming none of the Ordinary Shares held by the Selling Shareholder are sold. As a result, these shareholders, if they act together, will be able to control the management and affairs of our Company.</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Investing in the Ordinary Shares involves risks. See section titled “Risk Factors” of this prospectus.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both an “emerging growth company” and a “foreign private issuer” under applicable U.S. Securities and Exchange Commission rules and will be eligible for reduced public company disclosure requirements. See section titled “Prospectus Summary — Implications of Being an ‘Emerging Growth Company’ and a ‘Foreign Private Issuer’” for additional information.</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The date of this prospectus is ___________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920" w:type="dxa"/>
            <w:vAlign w:val="bottom"/>
            <w:gridSpan w:val="2"/>
          </w:tcPr>
          <w:p>
            <w:pPr>
              <w:jc w:val="center"/>
              <w:ind w:right="412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4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PROSPECTUS SUMMARY</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RISK FACTORS</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CORPORATE HISTORY</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INDUSTRY OVERVIEW</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DILUTION</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USE OF PROCEEDS</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DIVIDEND POLICY</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0000EE"/>
            </w:tcBorders>
            <w:vMerge w:val="continue"/>
          </w:tcPr>
          <w:p>
            <w:pPr>
              <w:spacing w:after="0"/>
              <w:rPr>
                <w:sz w:val="14"/>
                <w:szCs w:val="14"/>
                <w:color w:val="auto"/>
              </w:rPr>
            </w:pPr>
          </w:p>
        </w:tc>
        <w:tc>
          <w:tcPr>
            <w:tcW w:w="10620" w:type="dxa"/>
            <w:vAlign w:val="bottom"/>
            <w:tcBorders>
              <w:bottom w:val="single" w:sz="8" w:color="0000EE"/>
            </w:tcBorders>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 FOR THE YEAR ENDED</w:t>
            </w:r>
          </w:p>
        </w:tc>
        <w:tc>
          <w:tcPr>
            <w:tcW w:w="60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620" w:type="dxa"/>
            <w:vAlign w:val="bottom"/>
            <w:gridSpan w:val="21"/>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MARCH 31, 2025, 2024 AND 2023</w:t>
            </w:r>
          </w:p>
        </w:tc>
        <w:tc>
          <w:tcPr>
            <w:tcW w:w="6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BUSINESS</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48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MANAGEMENT</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DESCRIPTION OF SECURITIES</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71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PRINCIPAL SECURITYHOLDERS</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92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RELATED PARTY TRANSACTIONS</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93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SHARES ELIGIBLE FOR FUTURE SALE</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95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TAXATION</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96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SELLING SHAREHOLDERS</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100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SELLING SHAREHOLDERS’ PLAN OF DISTRIBUTION</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101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LEGAL MATTERS</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103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EXPERTS</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103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4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0620" w:type="dxa"/>
            <w:vAlign w:val="bottom"/>
            <w:gridSpan w:val="21"/>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INDEX TO FINANCIAL STATEMENTS</w:t>
            </w:r>
          </w:p>
        </w:tc>
        <w:tc>
          <w:tcPr>
            <w:tcW w:w="60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7"/>
                <w:szCs w:val="17"/>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5920" w:type="dxa"/>
            <w:vAlign w:val="bottom"/>
            <w:tcBorders>
              <w:top w:val="single" w:sz="8" w:color="CCEEFF"/>
              <w:bottom w:val="single" w:sz="8" w:color="auto"/>
            </w:tcBorders>
            <w:gridSpan w:val="2"/>
          </w:tcPr>
          <w:p>
            <w:pPr>
              <w:jc w:val="center"/>
              <w:ind w:right="4120"/>
              <w:spacing w:after="0"/>
              <w:rPr>
                <w:sz w:val="20"/>
                <w:szCs w:val="20"/>
                <w:color w:val="auto"/>
              </w:rPr>
            </w:pPr>
            <w:r>
              <w:rPr>
                <w:rFonts w:ascii="Times New Roman" w:cs="Times New Roman" w:eastAsia="Times New Roman" w:hAnsi="Times New Roman"/>
                <w:sz w:val="17"/>
                <w:szCs w:val="17"/>
                <w:color w:val="auto"/>
                <w:w w:val="83"/>
              </w:rPr>
              <w:t>i</w:t>
            </w:r>
          </w:p>
        </w:tc>
        <w:tc>
          <w:tcPr>
            <w:tcW w:w="6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2" w:right="339" w:bottom="1440" w:gutter="0" w:footer="0" w:header="0"/>
        </w:sectPr>
      </w:pPr>
    </w:p>
    <w:bookmarkStart w:id="5" w:name="page6"/>
    <w:bookmarkEnd w:id="5"/>
    <w:p>
      <w:pPr>
        <w:ind w:left="3880"/>
        <w:spacing w:after="0"/>
        <w:rPr>
          <w:sz w:val="20"/>
          <w:szCs w:val="20"/>
          <w:color w:val="auto"/>
        </w:rPr>
      </w:pPr>
      <w:r>
        <w:rPr>
          <w:rFonts w:ascii="Times New Roman" w:cs="Times New Roman" w:eastAsia="Times New Roman" w:hAnsi="Times New Roman"/>
          <w:sz w:val="17"/>
          <w:szCs w:val="17"/>
          <w:b w:val="1"/>
          <w:bCs w:val="1"/>
          <w:color w:val="auto"/>
        </w:rPr>
        <w:t>FREQUENTLY USED TERMS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as otherwise indicated by the context and for purposes of this prospectus only, references in this prospectus to:</w:t>
      </w:r>
    </w:p>
    <w:p>
      <w:pPr>
        <w:spacing w:after="0" w:line="208" w:lineRule="exact"/>
        <w:rPr>
          <w:sz w:val="20"/>
          <w:szCs w:val="20"/>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is assisting companies define and implement their ESG strategies;</w:t>
      </w:r>
    </w:p>
    <w:p>
      <w:pPr>
        <w:spacing w:after="0" w:line="22"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“Chardan” means Chardan Capital Markets LLC’</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“Companies Act” means the Companies Act (As Revised) of the Cayman Islands;</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“Customization” is developing bespoke solutions for clients onto of ESG Entity Reporting or Lumen</w:t>
      </w:r>
    </w:p>
    <w:p>
      <w:pPr>
        <w:spacing w:after="0" w:line="6" w:lineRule="exact"/>
        <w:rPr>
          <w:rFonts w:ascii="Times New Roman" w:cs="Times New Roman" w:eastAsia="Times New Roman" w:hAnsi="Times New Roman"/>
          <w:sz w:val="17"/>
          <w:szCs w:val="17"/>
          <w:color w:val="auto"/>
        </w:rPr>
      </w:pPr>
    </w:p>
    <w:p>
      <w:pPr>
        <w:ind w:left="300" w:hanging="294"/>
        <w:spacing w:after="0" w:line="247"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 Limited” or the “Company” means Diginex Limited, an exempted company with limited liability incorporated under the laws of the Cayman Islands;</w:t>
      </w:r>
    </w:p>
    <w:p>
      <w:pPr>
        <w:spacing w:after="0" w:line="1"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 Services” means Diginex Services Limited, a direct subsidiary of DSL, incorporated in the United Kingdom;</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 USA” means Diginex USA LLC, a direct subsidiary of DSL, incorporated in Delaware, USA</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“diginexESG” is end to end reporting from topic discovery, data collection to collaborative report publishing;</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“diginexESG Entity Reporting” is advanced reporting across multiple entities with data comparison and aggregation;</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“diginexLUMEN” is democratizing supply chain risk assessment and monitoring;</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“diginexApprise” gives workers a voice in supply chain due diligence, proving companies with reliable insights for their risk assessment;</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“diginexPartners” is the creation of customized development and /or white label solutions, also referred to as “Customization”;</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“DSL” means Diginex Solutions (HK) Limited, a Hong Kong corporation, and its consolidated subsidiaries;</w:t>
      </w:r>
    </w:p>
    <w:p>
      <w:pPr>
        <w:spacing w:after="0" w:line="6" w:lineRule="exact"/>
        <w:rPr>
          <w:rFonts w:ascii="Times New Roman" w:cs="Times New Roman" w:eastAsia="Times New Roman" w:hAnsi="Times New Roman"/>
          <w:sz w:val="17"/>
          <w:szCs w:val="17"/>
          <w:color w:val="auto"/>
        </w:rPr>
      </w:pPr>
    </w:p>
    <w:p>
      <w:pPr>
        <w:ind w:left="300" w:hanging="294"/>
        <w:spacing w:after="0" w:line="247"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“ESG” means Environmental, Social, and Governance. ESG is a framework that helps stakeholders understand how an organization is managing risks and opportunities related to environmental, social and governance criteria;</w:t>
      </w:r>
    </w:p>
    <w:p>
      <w:pPr>
        <w:spacing w:after="0" w:line="1"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means the share exchange contemplated by the Share Exchange Agreement;</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“GHG protocol” is Greenhouse Gas Protocol which provides standards, guidance, tools and training to measure and manage climate warming emissions;</w:t>
      </w:r>
    </w:p>
    <w:p>
      <w:pPr>
        <w:spacing w:after="0" w:line="17" w:lineRule="exact"/>
        <w:rPr>
          <w:rFonts w:ascii="Times New Roman" w:cs="Times New Roman" w:eastAsia="Times New Roman" w:hAnsi="Times New Roman"/>
          <w:sz w:val="16"/>
          <w:szCs w:val="16"/>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“Group” means Diginex Limited and its subsidiaries;</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means the Company’s initial public offering of 2,250,000 Ordinary Shares at a price of $4.10 per share which closed on January 23, 2025;</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Warrants” means the following warrants issued by the Company in connection with the IPO:</w:t>
      </w:r>
    </w:p>
    <w:p>
      <w:pPr>
        <w:spacing w:after="0" w:line="217" w:lineRule="exact"/>
        <w:rPr>
          <w:rFonts w:ascii="Times New Roman" w:cs="Times New Roman" w:eastAsia="Times New Roman" w:hAnsi="Times New Roman"/>
          <w:sz w:val="17"/>
          <w:szCs w:val="17"/>
          <w:color w:val="auto"/>
        </w:rPr>
      </w:pPr>
    </w:p>
    <w:p>
      <w:pPr>
        <w:ind w:left="920" w:hanging="309"/>
        <w:spacing w:after="0" w:line="257" w:lineRule="auto"/>
        <w:tabs>
          <w:tab w:leader="none" w:pos="92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ind w:left="920" w:hanging="309"/>
        <w:spacing w:after="0" w:line="247" w:lineRule="auto"/>
        <w:tabs>
          <w:tab w:leader="none" w:pos="92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1" w:lineRule="exact"/>
        <w:rPr>
          <w:rFonts w:ascii="Times New Roman" w:cs="Times New Roman" w:eastAsia="Times New Roman" w:hAnsi="Times New Roman"/>
          <w:sz w:val="17"/>
          <w:szCs w:val="17"/>
          <w:color w:val="auto"/>
        </w:rPr>
      </w:pPr>
    </w:p>
    <w:p>
      <w:pPr>
        <w:ind w:left="920" w:hanging="309"/>
        <w:spacing w:after="0" w:line="247" w:lineRule="auto"/>
        <w:tabs>
          <w:tab w:leader="none" w:pos="92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1" w:lineRule="exact"/>
        <w:rPr>
          <w:rFonts w:ascii="Times New Roman" w:cs="Times New Roman" w:eastAsia="Times New Roman" w:hAnsi="Times New Roman"/>
          <w:sz w:val="17"/>
          <w:szCs w:val="17"/>
          <w:color w:val="auto"/>
        </w:rPr>
      </w:pPr>
    </w:p>
    <w:p>
      <w:pPr>
        <w:ind w:left="920" w:hanging="309"/>
        <w:spacing w:after="0" w:line="247" w:lineRule="auto"/>
        <w:tabs>
          <w:tab w:leader="none" w:pos="92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1" w:lineRule="exact"/>
        <w:rPr>
          <w:rFonts w:ascii="Times New Roman" w:cs="Times New Roman" w:eastAsia="Times New Roman" w:hAnsi="Times New Roman"/>
          <w:sz w:val="17"/>
          <w:szCs w:val="17"/>
          <w:color w:val="auto"/>
        </w:rPr>
      </w:pPr>
    </w:p>
    <w:p>
      <w:pPr>
        <w:ind w:left="920" w:hanging="309"/>
        <w:spacing w:after="0" w:line="247" w:lineRule="auto"/>
        <w:tabs>
          <w:tab w:leader="none" w:pos="92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1" w:lineRule="exact"/>
        <w:rPr>
          <w:rFonts w:ascii="Times New Roman" w:cs="Times New Roman" w:eastAsia="Times New Roman" w:hAnsi="Times New Roman"/>
          <w:sz w:val="17"/>
          <w:szCs w:val="17"/>
          <w:color w:val="auto"/>
        </w:rPr>
      </w:pPr>
    </w:p>
    <w:p>
      <w:pPr>
        <w:ind w:left="920" w:hanging="309"/>
        <w:spacing w:after="0" w:line="255" w:lineRule="auto"/>
        <w:tabs>
          <w:tab w:leader="none" w:pos="92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6 - Warrants to purchase 2,250,000 Ordinary Shares at an exercise price of $12.30 per share, which expire 24 months from January 23, 2025</w:t>
      </w:r>
    </w:p>
    <w:p>
      <w:pPr>
        <w:spacing w:after="0" w:line="198"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“Licensed software sales” is the sale of diginexESG and/or diginexLUMEN on 12 month recurring subscription agreements;</w:t>
      </w:r>
    </w:p>
    <w:p>
      <w:pPr>
        <w:spacing w:after="0" w:line="22"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“Managed Services” is the collection of data from suppliers on behalf of clients to aid the full visibility of results from supply chain due diligence</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“Memorandum and Articles” is to the Company’s memorandum and articles of association;</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“Nasdaq” means the Nasdaq Stock Market LLC;</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means offering by the Selling Shareholder of the 4,500,000 Ordinary Shares as described in this Prospectus;</w:t>
      </w:r>
    </w:p>
    <w:p>
      <w:pPr>
        <w:spacing w:after="0" w:line="6"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Shares” means the ordinary shares of Diginex Limited, with par value of $0.00005 per share;</w:t>
      </w:r>
    </w:p>
    <w:p>
      <w:pPr>
        <w:spacing w:after="0" w:line="6" w:lineRule="exact"/>
        <w:rPr>
          <w:rFonts w:ascii="Times New Roman" w:cs="Times New Roman" w:eastAsia="Times New Roman" w:hAnsi="Times New Roman"/>
          <w:sz w:val="17"/>
          <w:szCs w:val="17"/>
          <w:color w:val="auto"/>
        </w:rPr>
      </w:pPr>
    </w:p>
    <w:p>
      <w:pPr>
        <w:ind w:left="300" w:hanging="294"/>
        <w:spacing w:after="0" w:line="247"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“Over-Allotment” means the option granted for the Underwriter, in connection with the IPO, to acquire an additional 337,500 Ordinary Shares at a price of $4.10 per share which closed on January 27, 2025;</w:t>
      </w:r>
    </w:p>
    <w:p>
      <w:pPr>
        <w:spacing w:after="0" w:line="1" w:lineRule="exact"/>
        <w:rPr>
          <w:rFonts w:ascii="Times New Roman" w:cs="Times New Roman" w:eastAsia="Times New Roman" w:hAnsi="Times New Roman"/>
          <w:sz w:val="17"/>
          <w:szCs w:val="17"/>
          <w:color w:val="auto"/>
        </w:rPr>
      </w:pPr>
    </w:p>
    <w:p>
      <w:pPr>
        <w:jc w:val="both"/>
        <w:ind w:left="300" w:hanging="294"/>
        <w:spacing w:after="0" w:line="247"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“PRC” mean The Peoples Republic of China, including Hong Kong and Macau. Hong Kong is a special administrative region of PRC and operates under a different legal system to the rest of the PRC. However, all legal and operational risks associated with having operations in the PRC may also apply to operations in Hong Kong;</w:t>
      </w:r>
    </w:p>
    <w:p>
      <w:pPr>
        <w:spacing w:after="0" w:line="1"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Shares” means the preferred shares of Diginex Limited, with par value of US$0.00005 per share;</w:t>
      </w:r>
    </w:p>
    <w:p>
      <w:pPr>
        <w:spacing w:after="0" w:line="6" w:lineRule="exact"/>
        <w:rPr>
          <w:rFonts w:ascii="Times New Roman" w:cs="Times New Roman" w:eastAsia="Times New Roman" w:hAnsi="Times New Roman"/>
          <w:sz w:val="17"/>
          <w:szCs w:val="17"/>
          <w:color w:val="auto"/>
        </w:rPr>
      </w:pPr>
    </w:p>
    <w:p>
      <w:pPr>
        <w:jc w:val="both"/>
        <w:ind w:left="300" w:hanging="294"/>
        <w:spacing w:after="0" w:line="263" w:lineRule="auto"/>
        <w:tabs>
          <w:tab w:leader="none" w:pos="3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means the consummation of the transaction contemplated by the Exchange and the Ancillary Agreements resulting in DSL becoming a wholly owned subsidiary of Diginex Limited and involving the (i) transfer of shares of DSL from its then shareholders to the Company in consideration for the issuance of new shares of the Company to such shareholders pursuant to the terms and conditions of the Share Exchange Agreement, (ii) issuance of new convertible loan notes to certain DSL shareholders in consideration for the cancellation of the then existing convertible loan notes issued by DSL,</w:t>
      </w:r>
    </w:p>
    <w:p>
      <w:pPr>
        <w:jc w:val="both"/>
        <w:ind w:left="300" w:firstLine="9"/>
        <w:spacing w:after="0" w:line="247" w:lineRule="auto"/>
        <w:tabs>
          <w:tab w:leader="none" w:pos="60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granting certain share options under the new share option plan that was adopted by Diginex Limited to the holders of the unexercised share options granted by DSL, in consideration for the cancellation of the DSL options held by such holders and (iv) granting certain warrants to purchase Ordinary Shares of Diginex Limited to the holders of the then existing warrants to purchase ordinary shares of DSL, in consideration for the cancellation of the DSL warrants.</w:t>
      </w:r>
    </w:p>
    <w:p>
      <w:pPr>
        <w:spacing w:after="0" w:line="2"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Warrants” means warrants issued to Rhino Ventures Limited on completion of a successful IPO</w:t>
      </w:r>
    </w:p>
    <w:p>
      <w:pPr>
        <w:spacing w:after="0" w:line="6" w:lineRule="exact"/>
        <w:rPr>
          <w:rFonts w:ascii="Times New Roman" w:cs="Times New Roman" w:eastAsia="Times New Roman" w:hAnsi="Times New Roman"/>
          <w:sz w:val="17"/>
          <w:szCs w:val="17"/>
          <w:color w:val="auto"/>
        </w:rPr>
      </w:pPr>
    </w:p>
    <w:p>
      <w:pPr>
        <w:ind w:left="300" w:hanging="294"/>
        <w:spacing w:after="0" w:line="247"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“Scope 1, 2 and 3 carbon footprint” is a way of categorizing the different kinds of carbon emissions a company creates from its own operations, and its wider value chain</w:t>
      </w:r>
    </w:p>
    <w:p>
      <w:pPr>
        <w:spacing w:after="0" w:line="1"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“Selling Shareholder” means certain shareholders of the Company that are selling certain Ordinary Shares pursuant to the Resale Prospectus</w:t>
      </w:r>
    </w:p>
    <w:p>
      <w:pPr>
        <w:spacing w:after="0" w:line="6" w:lineRule="exact"/>
        <w:rPr>
          <w:rFonts w:ascii="Times New Roman" w:cs="Times New Roman" w:eastAsia="Times New Roman" w:hAnsi="Times New Roman"/>
          <w:sz w:val="17"/>
          <w:szCs w:val="17"/>
          <w:color w:val="auto"/>
        </w:rPr>
      </w:pPr>
    </w:p>
    <w:p>
      <w:pPr>
        <w:jc w:val="both"/>
        <w:ind w:left="300" w:hanging="294"/>
        <w:spacing w:after="0" w:line="247"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Exchange Agreement” means the written agreement dated as of July 15, 2024 entered into by and among DSL, the then shareholders of DSL and Diginex Limited, pursuant to which the then existing shareholders of DSL transferred all of their shares in DSL to Diginex Limited, in exchange for Diginex Limited’s issuance of its new shares to such shareholders. Upon the consummation of the Share Exchange Agreement, DSL became a direct wholly owned subsidiary of Diginex Limited, and the existing shareholders of DSL became shareholders of Diginex Limited</w:t>
      </w:r>
    </w:p>
    <w:p>
      <w:pPr>
        <w:spacing w:after="0" w:line="2" w:lineRule="exact"/>
        <w:rPr>
          <w:rFonts w:ascii="Times New Roman" w:cs="Times New Roman" w:eastAsia="Times New Roman" w:hAnsi="Times New Roman"/>
          <w:sz w:val="17"/>
          <w:szCs w:val="17"/>
          <w:color w:val="auto"/>
        </w:rPr>
      </w:pPr>
    </w:p>
    <w:p>
      <w:pPr>
        <w:ind w:left="300" w:hanging="294"/>
        <w:spacing w:after="0" w:line="247"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Subdivision” means the share division which resulted in the authorized share capital of the Company becoming US$50,000 divided into 960,000,000 Ordinary Shares of US$0.00005 par value each and 40,000,000 Preferred Shares of US$0.00005 par value each.</w:t>
      </w:r>
    </w:p>
    <w:p>
      <w:pPr>
        <w:spacing w:after="0" w:line="1"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and “our” refers to Diginex Limited and its subsidiaries.</w:t>
      </w:r>
    </w:p>
    <w:p>
      <w:pPr>
        <w:spacing w:after="0" w:line="1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23" w:right="339" w:bottom="1078"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and does not contain all of the information that is important to you. This summary is qualified in its entirety by the more detailed information included in this prospectus. Before making your investment decision with respect to our securities, you should carefully read this entire prospectus, any applicable prospectus supplement and the documents referred to in “Where You Can Find More Information”</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Unless the context indicates otherwise, the terms the “Company,” the “Group,” “we,” “us”, “our” and “Diginex” refer to Diginex Limited and its subsidiaries, after giving effect to the Restructuring described elsewhere in this prospectus whereby Diginex Limited owns DSL. “DSL” refers to Diginex Solutions (HK) Limited, a Hong Kong corporation, and its consolidated subsidiaries.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Business Lines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Limited is incorporated as an exempt company with limited liability in the Cayman Islands. It is a holding company which conducts its business through a 100% owned subsidiary, Diginex Solutions (HK) Limited (“DSL”). DSL is incorporated in Hong Kong and owns two subsidiaries: Diginex Services Limited, a company incorporated in the United Kingdom and Diginex USA LLC, a company incorporated in Delaware, USA.</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Diginex is an impact technology business that helps organizations to address the some of the most pressing Environmental, Social and Governance (“ESG”), climate and sustainability issues, utilizing blockchain, machine learning and data analysis technology to lead change and increase transparency in corporate social responsibility and climate action. Our products and services solutions enable companies to collect, evaluate and share sustainability data through easy-to-use software. The Group’s principal executive office is in London where the CEO is based. The London office is in a co-working shared space facility with 5 seats and the London based employees operate under a hybrid model as they work from both home and office with the majority of working hours spent in the office. Diginex also has an office in Hong Kong which is in a co-working shared space facility with 17 seats and the Hong Kong based employees operate under a hybrid model as they work both from the office and from home with the majority of working hours spent working from the office. There is also an executive office in Monaco that is used by the Chairman and COO. DSL has subsidiaries in the United Kingdom and United States, however the subsidiary in the United States is inactive. DSL also outsources a component of IT development and maintenance support to engineers in Vietnam.</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has built several accessible, affordable and intelligent products to help democratize sustainability reporting and offers multiple supporting services to complement the product suite.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Diginex’s suite of products includes the following:</w:t>
      </w:r>
    </w:p>
    <w:p>
      <w:pPr>
        <w:spacing w:after="0" w:line="204"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diginexESG</w:t>
      </w:r>
      <w:r>
        <w:rPr>
          <w:rFonts w:ascii="Times New Roman" w:cs="Times New Roman" w:eastAsia="Times New Roman" w:hAnsi="Times New Roman"/>
          <w:sz w:val="17"/>
          <w:szCs w:val="17"/>
          <w:color w:val="auto"/>
        </w:rPr>
        <w:t>: is an accredited Hong Kong Monetary Authority award winning cloud based ESG platform that offers end to end reporting from topic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discovery, data collection to collaborative report publishing. Our diginexESG platform is ISO-27001 Certified (an international standard to manage information security), SOC 2 certified, official partner of Global Reporting Initiative (GRI), Sustainability Accounting Standards Board (SASB), World Economic Forum and signatory of the United Nations Principles of Responsible Investment (UN PRI).</w:t>
      </w:r>
    </w:p>
    <w:p>
      <w:pPr>
        <w:spacing w:after="0" w:line="17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diginexESG platform guides companies through the entire ESG journey; from materiality assessment &amp; stakeholder engagement, framework &amp; indicator selection, the data collection and collaboration process, report creation, validation and ultimately report publishing. By leveraging machine learning and data analytics, diginexESG is able to drive material efficiencies in the reporting process, and the blockchain-enabled audit trail, whereby a record of each data activity is created and stored on a blockchain, provides greater transparency in the data thus increasing its value. Originally targeted specially at Small and Medium Sized Enterprises (SMEs) around the world who are new to ESG reporting and lack the budget or bandwidth to engage with traditional and often expensive consultants, diginexESG has increased its feature set to include functionality that also targets larger companies with more complex organizational structures. diginexESG has also been adopted by global commercial banks like HSBC to help engage with their diverse customer base at scale.</w:t>
      </w:r>
    </w:p>
    <w:p>
      <w:pPr>
        <w:spacing w:after="0" w:line="173"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diginexLUMEN</w:t>
      </w:r>
      <w:r>
        <w:rPr>
          <w:rFonts w:ascii="Times New Roman" w:cs="Times New Roman" w:eastAsia="Times New Roman" w:hAnsi="Times New Roman"/>
          <w:sz w:val="17"/>
          <w:szCs w:val="17"/>
          <w:color w:val="auto"/>
        </w:rPr>
        <w:t>: allows companies to execute comprehensive supply chain risk assessments about working conditions within the supply chain.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highlight w:val="white"/>
        </w:rPr>
        <w:t>Supplier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highlight w:val="white"/>
        </w:rPr>
        <w:t>information is validated against worker feedback and automated risk calculations enables companies to prioritize issues for mitigation and prevention of adverse impacts and improvement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-10160</wp:posOffset>
            </wp:positionV>
            <wp:extent cx="2413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130" cy="120015"/>
                    </a:xfrm>
                    <a:prstGeom prst="rect">
                      <a:avLst/>
                    </a:prstGeom>
                    <a:noFill/>
                  </pic:spPr>
                </pic:pic>
              </a:graphicData>
            </a:graphic>
          </wp:anchor>
        </w:drawing>
      </w:r>
    </w:p>
    <w:p>
      <w:pPr>
        <w:spacing w:after="0" w:line="14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 w:name="page8"/>
    <w:bookmarkEnd w:id="7"/>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highlight w:val="white"/>
        </w:rPr>
        <w:t>diginexLUMEN focuses on broad data collection through complex inter-jurisdictional supply chains with a specific focus on social governance issues such as forced labor due diligence, gender risk and child labor risk. Through the collection of data from suppliers and validation by workers, diginexLUMEN relies on proprietary algorithms to generate risk scores to help companies identify which parts of their supply chain require greater scrutiny. The platform then auto-generates corrective action plans which allow the brands and suppliers to work together to remedy potentially problematic areas and reduce the risk score.</w:t>
      </w:r>
    </w:p>
    <w:p>
      <w:pPr>
        <w:spacing w:after="0" w:line="171"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diginexAPPRISE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highlight w:val="white"/>
        </w:rPr>
        <w:t>is a multilingual application that collects standardized, actionable data related to working conditions directly from workers in global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highlight w:val="white"/>
        </w:rPr>
        <w:t xml:space="preserve">supply chains. Through tailored question sets, companies can deploy surveys directly to workers in their supply chain on a variety of topics such as responsible recruitment, gender equality and pulse check living and working conditions. The worker voice tool was initially developed by the United Nations University Institute in Macau (UNU-IIST) in partnership with </w:t>
      </w:r>
      <w:r>
        <w:rPr>
          <w:rFonts w:ascii="Times New Roman" w:cs="Times New Roman" w:eastAsia="Times New Roman" w:hAnsi="Times New Roman"/>
          <w:sz w:val="17"/>
          <w:szCs w:val="17"/>
          <w:u w:val="single" w:color="auto"/>
          <w:color w:val="auto"/>
          <w:highlight w:val="white"/>
        </w:rPr>
        <w:t>The Mekong Club</w:t>
      </w:r>
      <w:r>
        <w:rPr>
          <w:rFonts w:ascii="Times New Roman" w:cs="Times New Roman" w:eastAsia="Times New Roman" w:hAnsi="Times New Roman"/>
          <w:sz w:val="17"/>
          <w:szCs w:val="17"/>
          <w:color w:val="auto"/>
          <w:highlight w:val="white"/>
        </w:rPr>
        <w:t xml:space="preserve"> – an organization working with the private sector to bring about sustainable practices against modern slavery, and was acquired by </w:t>
      </w:r>
      <w:r>
        <w:rPr>
          <w:rFonts w:ascii="Times New Roman" w:cs="Times New Roman" w:eastAsia="Times New Roman" w:hAnsi="Times New Roman"/>
          <w:sz w:val="17"/>
          <w:szCs w:val="17"/>
          <w:color w:val="auto"/>
        </w:rPr>
        <w:t>DSL on December 14, 2021.</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diginexAPPRISE is available both as a standalone tool and also fully integrated into diginexLUMEN.</w:t>
      </w:r>
    </w:p>
    <w:p>
      <w:pPr>
        <w:spacing w:after="0" w:line="204"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diginexCLIMATE</w:t>
      </w:r>
      <w:r>
        <w:rPr>
          <w:rFonts w:ascii="Times New Roman" w:cs="Times New Roman" w:eastAsia="Times New Roman" w:hAnsi="Times New Roman"/>
          <w:sz w:val="17"/>
          <w:szCs w:val="17"/>
          <w:color w:val="auto"/>
        </w:rPr>
        <w:t>: is a proprietary carbon footprint calculator based on the GHG protocols that is currently available as an integrated part of the diginexESG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platform. This allows companies to seamlessly calculate their Scope 1, 2 and 3 carbon footprint as part of their overall ESG reporting journey. Scope 1 are those direct emissions that are owned or controlled by a company, whereas scopes 2 and 3 indirect emissions are the result of the activities of the company but occur from sources not owned or controlled by it.</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Diginex also offers the following complementary services:</w:t>
      </w:r>
    </w:p>
    <w:p>
      <w:pPr>
        <w:spacing w:after="0" w:line="204"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diginexADVISORY</w:t>
      </w:r>
      <w:r>
        <w:rPr>
          <w:rFonts w:ascii="Times New Roman" w:cs="Times New Roman" w:eastAsia="Times New Roman" w:hAnsi="Times New Roman"/>
          <w:sz w:val="17"/>
          <w:szCs w:val="17"/>
          <w:color w:val="auto"/>
        </w:rPr>
        <w:t>: is a service offered by Diginex as a complement to the suite of Diginex software license sales. diginexADVISORY provides clients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strategy and advisory support at every stage of the sustainability journey, including assurance solutions for credible reporting. We also offer custom framework creation for clients who need more complex reporting templates or who want to set a benchmark for others in their industry. As part of diginexADVISORY we also develop and run one-off or programmatic training sessions covering a range of topics from a general introduction to ESG to complex carbon accounting and emissions.</w:t>
      </w:r>
    </w:p>
    <w:p>
      <w:pPr>
        <w:spacing w:after="0" w:line="172"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diginexPARTNERS</w:t>
      </w:r>
      <w:r>
        <w:rPr>
          <w:rFonts w:ascii="Times New Roman" w:cs="Times New Roman" w:eastAsia="Times New Roman" w:hAnsi="Times New Roman"/>
          <w:sz w:val="17"/>
          <w:szCs w:val="17"/>
          <w:color w:val="auto"/>
        </w:rPr>
        <w:t>: is a service whereby Diginex develops white label versions of both diginexESG and diginexLUMEN for companies who then want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run either diginexESG or diginexLUMEN as an extension of their own service offering. This service often requires custom technology work up front for our clients that generates initial revenue as well as ongoing service and maintenance licenses which generate ongoing recurring revenue.</w:t>
      </w:r>
    </w:p>
    <w:p>
      <w:pPr>
        <w:spacing w:after="0" w:line="16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addition, Diginex develops custom software platforms as part of a project consortiums for organizations like the United States Department of State, United States Department of Labor, and the United Nations.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of September 1, 2025, Diginex has a current headcount of 36, among which 25 are employees in Hong Kong and United Kingdom and 11 are contractors based in France, Germany, Spain, Canada, Dubai, USA, Mexico, Singapore and Australia.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Foreign Private Issuer Status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a foreign private issuer within the meaning of the rules under the Securities Exchange Act of 1934, as amended (which we refer to as the Exchange Act). The Company is a foreign private issuer as less than 50% of the outstanding voting shares will be held by US residents. As such, we are exempt from certain provisions applicable to United States domestic public companies. For example:</w:t>
      </w:r>
    </w:p>
    <w:p>
      <w:pPr>
        <w:spacing w:after="0" w:line="169" w:lineRule="exact"/>
        <w:rPr>
          <w:sz w:val="20"/>
          <w:szCs w:val="20"/>
          <w:color w:val="auto"/>
        </w:rPr>
      </w:pPr>
    </w:p>
    <w:p>
      <w:pPr>
        <w:ind w:left="1220" w:hanging="614"/>
        <w:spacing w:after="0"/>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required to provide as many Exchange Act reports, or as frequently, as a domestic public company;</w:t>
      </w:r>
    </w:p>
    <w:p>
      <w:pPr>
        <w:spacing w:after="0" w:line="22" w:lineRule="exact"/>
        <w:rPr>
          <w:rFonts w:ascii="Times New Roman" w:cs="Times New Roman" w:eastAsia="Times New Roman" w:hAnsi="Times New Roman"/>
          <w:sz w:val="17"/>
          <w:szCs w:val="17"/>
          <w:color w:val="auto"/>
        </w:rPr>
      </w:pPr>
    </w:p>
    <w:p>
      <w:pPr>
        <w:ind w:left="1220" w:hanging="614"/>
        <w:spacing w:after="0" w:line="247" w:lineRule="auto"/>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interim reporting, we are permitted to comply solely with our home country requirements, which are less rigorous than the rules that apply to domestic public companies;</w:t>
      </w:r>
    </w:p>
    <w:p>
      <w:pPr>
        <w:spacing w:after="0" w:line="1"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required to provide the same level of disclosure on certain issues, such as executive compensation;</w:t>
      </w:r>
    </w:p>
    <w:p>
      <w:pPr>
        <w:spacing w:after="0" w:line="6"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exempt from provisions of Regulation FD aimed at preventing issuers from making selective disclosures of material information;</w:t>
      </w:r>
    </w:p>
    <w:p>
      <w:pPr>
        <w:spacing w:after="0" w:line="6" w:lineRule="exact"/>
        <w:rPr>
          <w:rFonts w:ascii="Times New Roman" w:cs="Times New Roman" w:eastAsia="Times New Roman" w:hAnsi="Times New Roman"/>
          <w:sz w:val="17"/>
          <w:szCs w:val="17"/>
          <w:color w:val="auto"/>
        </w:rPr>
      </w:pPr>
    </w:p>
    <w:p>
      <w:pPr>
        <w:ind w:left="1220" w:hanging="614"/>
        <w:spacing w:after="0" w:line="247" w:lineRule="auto"/>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required to comply with the sections of the Exchange Act regulating the solicitation of proxies, consents or authorizations in respect of a security registered under the Exchange Act; and</w:t>
      </w:r>
    </w:p>
    <w:p>
      <w:pPr>
        <w:spacing w:after="0" w:line="1" w:lineRule="exact"/>
        <w:rPr>
          <w:rFonts w:ascii="Times New Roman" w:cs="Times New Roman" w:eastAsia="Times New Roman" w:hAnsi="Times New Roman"/>
          <w:sz w:val="17"/>
          <w:szCs w:val="17"/>
          <w:color w:val="auto"/>
        </w:rPr>
      </w:pPr>
    </w:p>
    <w:p>
      <w:pPr>
        <w:ind w:left="1220" w:hanging="614"/>
        <w:spacing w:after="0" w:line="255" w:lineRule="auto"/>
        <w:tabs>
          <w:tab w:leader="none" w:pos="12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not required to comply with Section 16 of the Exchange Act requiring insiders to file public reports of their share ownership and trading activities and establishing insider liability for profits realized from any “short-swing” trading transaction.</w:t>
      </w:r>
    </w:p>
    <w:p>
      <w:pPr>
        <w:spacing w:after="0" w:line="174"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Under Nasdaq Listing Rule 5615(a)(3)(A), a foreign private issuer may, in general, follow its home country corporate governance practices in lieu of some of the Nasdaq corporate governance requirements, set forth in the Nasdaq Marketplace Rule 5600 Series (with certain exceptions not relevant here). Diginex Limited has elected to be exempt from the requirement: (i) in Nasdaq Marketplace Rule 5635(d) which sets forth the circumstances under which shareholder approval is required prior to an issuance of securities, other than in a public offering, equal to 20% or more of the voting power outstanding at a price less than the lower of: (a) the Nasdaq Official Closing Price (as reflected on Nasdaq.com) immediately preceding the signing of the binding agreement; or (b) the average Nasdaq Official Closing Price of the common stock (as reflected on Nasdaq.com) for the five trading days immediately preceding the signing of the binding agreement; (ii) in Nasdaq Marketplace Rule 5620(c) requiring a Nasdaq-listing company to provide in its by-laws for a quorum of at least 33 1/3 percent of the outstanding shares of the Company’s common voting stock; (iii) in Nasdaq marketplace Rule 5605(b)(2) requiring a Nasdaq-listing company to have regularly scheduled meetings at which only independent directors are present; and (iv) in Nasdaq marketplace Rule 5635(c) requires a Nasdaq-listed company to obtain shareholder approval for the establishment of or material amendments to equity compensation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 Status</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(or JOBS Act), and we are eligible to take advantage of certain exemptions from various reporting and financial disclosure requirements that are applicable to other public companies, that are not emerging growth companies, including, but not limited to, (1) presenting only two years of audited financial statements and only two years of related management’s discussion and analysis of financial condition and results of operations in this prospectus, (2) not being required to comply with the auditor attestation requirements of Section 404 of the Sarbanes-Oxley Act of 2002 (the “Sarbanes-Oxley Act”), (3) reduced disclosure obligations regarding executive compensation in our periodic reports and proxy statements, and (4) exemptions from the requirements of holding a non-binding advisory vote on executive compensation and shareholder approval of any golden parachute payments not previously approved. We intend to take advantage of these exemptions, and investors might find investing in our Ordinary Shares less attractive.</w:t>
      </w:r>
    </w:p>
    <w:p>
      <w:pPr>
        <w:spacing w:after="0" w:line="180"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addition, Section 107 of the JOBS Act also provides that an emerging growth company can take advantage of the extended transition period provided in Section 7(a)(2)(B) of the Securities Act of 1933, as amended (which we refer to as the Securities Act), for complying with new or revised accounting standards. As a result, an emerging growth company can delay the adoption of certain accounting standards until those standards would otherwise apply to private companies, and we intend to take advantage of this extended transaction period.</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could remain an emerging growth company for up to five years, or until the earliest of (1) the last day of the first fiscal year in which our annual gross revenues exceed $1.235 billion, (2) the date that we become a “large accelerated filer” as defined in Rule 12b-2 under the Exchange Act, which would occur if the market value of our Ordinary Shares that is held by non-affiliates exceeds $700 million as of the last business day of our most recently completed second fiscal quarter and we have been publicly reporting for at least 12 months, or (3) the date on which we have issued more than $1 billion in non-convertible debt during the preceding three-year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Corporate Structure</w:t>
      </w:r>
    </w:p>
    <w:p>
      <w:pPr>
        <w:spacing w:after="0" w:line="212"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Diginex Limited is a Cayman Islands exempted company, incorporated under the laws of the Cayman Islands on January 26, 2024.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w:t>
      </w:r>
    </w:p>
    <w:p>
      <w:pPr>
        <w:spacing w:after="0" w:line="3" w:lineRule="exact"/>
        <w:rPr>
          <w:sz w:val="20"/>
          <w:szCs w:val="20"/>
          <w:color w:val="auto"/>
        </w:rPr>
      </w:pPr>
    </w:p>
    <w:p>
      <w:pPr>
        <w:ind w:firstLine="1"/>
        <w:spacing w:after="0" w:line="255" w:lineRule="auto"/>
        <w:tabs>
          <w:tab w:leader="none" w:pos="23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74"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The warrants will be exercisable for ordinary shares of DSL for a period of three years from the date they are issued and shall be exercisable at a per warrant price of US$2,512. Post the completion of the Restructuring and Share Subdivision (as defined below), the number of warrants of Diginex Limited issued to Rhino Ventures Limited was adjusted to 4,170,520 from 10,172 with an adjusted price per warrant of US$6.13. The warrants, if fully exercised, will result in the issuance of such number of Ordinary Shares equal to 51% of the total issued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of DSL for zero consideration. This increased HBM IV, Inc.’s holding to 3,151 preferred shares of DSL.</w:t>
      </w:r>
    </w:p>
    <w:p>
      <w:pPr>
        <w:spacing w:after="0" w:line="183"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In connection with the Exchange, Diginex Limited and security holders of DSL consummated the following transactions (the “Ancillary Transactions”): (i) Diginex Limited issued $4.35 million new convertible loan notes to certain Original Shareholders in consideration for the cancellation of the then existing convertible loan notes issued by DSL and held by such Original Shareholders; (ii) Diginex Limited granted certain share options under the new share option plan that was adopted by Diginex Limited to the holders of the unexercised share options granted by DSL (the “Original Share Options”), in consideration for the cancellation of the Original Share Options held by such holders. At time of the Exchange there were 629,760 vested but unexercised share options and unvested share options exercisable for such number of Ordinary Shares equal to 1.3% of the issued and outstanding shares of the Company at the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automatically converted into Ordinary Shares of Diginex</w:t>
      </w:r>
    </w:p>
    <w:p>
      <w:pPr>
        <w:sectPr>
          <w:pgSz w:w="11900" w:h="16838" w:orient="portrait"/>
          <w:cols w:equalWidth="0" w:num="1">
            <w:col w:w="11240"/>
          </w:cols>
          <w:pgMar w:left="320" w:top="623" w:right="339" w:bottom="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7"/>
          <w:szCs w:val="17"/>
          <w:color w:val="auto"/>
        </w:rPr>
        <w:t>Limited on December 20, 2024 and whilst there is no automatic vesting of any unvested share options upon completion of the IPO the board of directors, at their discretion, do have the ability to accelerate vesting at any point. The board of directors approved and authorized the acceleration of the vesting of the unvested share options to January 23, 2026. The fair value of all unvested ESOP as of the date of this Prospectus is $2.2 million of which $1.0 million has been recognized in the financial statements as at March 31, 2025.</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Accordingly, upon consummation of the Exchange and the Ancillary Transactions (collectively the “Restructuring”), DSL became a wholly owned subsidiary of Diginex Limited, and the prior shareholders of DSL became shareholders of Diginex Limited. The remaining DSL security holders became security holders of Diginex Limited, in that they held Diginex Limited convertible loan notes, share options and warrants. Following, the closing of the Restructuring there are 6,869,961 Ordinary Shares of Diginex Limited issued and outstanding, 1,291,910 preferred shares of Diginex Limited issued and outstanding, 4,170,520 warrants issued and outstanding, $4.35 million new convertible loan notes issued and outstanding and 629,760 vested but unexercised share options and unvested share options exercisable for such number of Ordinary Shares equal to 1.3% of the issued and outstanding shares of the Company at the time of vesting.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Following the Restructuring, on July 26, 2024, the Company completed a share subdivision (the “Share Subdivision”) such that, the authorized share capital of the Company was changed from US$50,000 divided into 480,000,000 Ordinary shares of par value US$0.0001 each, 20,000,000 Preferred shares of par value US$0.0001 each to be US$50,000 divided into 960,000,000 Ordinary Shares of US$0.00005 par value each and 40,000,000 preferred shares (the “Preferred Shares”), par value US$0.00005 per share. Immediately prior to the Share Subdivision there were 6,869,961 ordinary shares and 1,291,910 preferred shares issued and outstanding, and immediately after the Share Subdivision there are 13,739,922 Ordinary Shares and 2,583,820 Preferred Shares issued and outstanding.</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During the Restructuring, a $1 million loan due from DSL to a related company, Diginex Holdings Limited, a company controlled by Rhino Ventures Limited, was converted into a $1 million convertible loan note of which Rhino Ventures Limited holds $517,535 of the principal amount of the convertible loan note and Working Capital Innovation Fund II L.P. holds $482,465 of the principal amount of the convertible loan note. The loan between DSL and Diginex Holdings Limited charged interest at 8% per annum and had a maturity date of December 31, 2024. The terms of the new convertible loan notes also charge interest at 8% per annum and had a maturity date of December 31, 2024. This $1 million convertible loan note forms part of the $4.35 million loan notes issued by Diginex Limited post the Restructuring.</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August 6, 2024 certain Employee Share Option Plan (“ESOP”) holders exercised their options and converted their options into Ordinary Shares. 501,840 employee share options were converted into 1,003,680 Ordinary Shares whilst 315,700 employee share options lapsed without being exercised. In addition, 368,826 employee share options were issued on July 31, 2024 and on August 21, 2024 employee share options were issued equating to 0.5% of the issued and outstanding shares of the Company at the time of vesting. The remaining employee share options as at the time of this registration statement are 17,345 vested but not exercised, 368,826 unvested employee share options and unvested employee share options exercisable for such number of Ordinary Shares equal to 1.7% of the issued and outstanding shares of the Company at the time of vesting. Prior to the exercise of 501,840 options on August 6, 2024 there were 13,739,922 Ordinary Shares and 2,583,820 Preferred Shares issued and outstanding, and after such exercise of 501,840 options there are 14,743,602 Ordinary Shares and 2,583,820 Preferred Shares issued and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1" w:name="page12"/>
    <w:bookmarkEnd w:id="11"/>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Since 17th November 2023, Rhino Ventures Limited (“RVL”) issued convertible notes (the “Rhino Notes”) to various investors (each a “Rhino Investor” and collectively the “Rhino Investors”). In exchange for a loan from a Rhino Investor, RVL issued the Rhino Investor a Rhino Note. The Rhino Notes are convertible into DSL ordinary shares, or successor securities, that were owned by RVL at a conversion price of between USD2.78 to USD2.99. The Rhino Notes were convertible into RVL’s shares of DSL ordinary shares, or successor securities, (1) at the option of the Rhino Investor or (2) automatically upon F-1 either being effective or having received 2 or below comments. On August 7, 2024, six of the Rhino Investors elected to convert their Rhino Notes and RVL transferred an aggregate amount of 2,992,180 Ordinary Shares of Diginex Limited, the successor securities to the DSL ordinary shares, to the six Rhino Investors as follows: (i) Samantha Dolan received 327,180 Ordinary Shares, (ii) Christopher Lord received 418,200 Ordinary Shares, (iii) Dorota Menard received 400,980 Ordinary Shares, (iv) Gildo Plate received 294,380 Ordinary Shares and (v) Natalia Pelham received 1,049,600 Ordinary Shares and (vi) Benjamin Salter received 501,840 Ordinary Shares. On November 25, 2024, nine additional Rhino Investors elected to convert their Rhino Notes and RVL transferred an aggregate amount of 2,710,707 Ordinary Shares of Diginex Limited, the successor securities to DSL ordinary shares, to the nine Rhino Investors as follows: (i) New Advent Sdn.Bhd received 100,860 Ordinary Shares, (ii) Ayle Ventures Limited received 167,280 Ordinary Shares, (iii) Duvin Limited received 935,407 Ordinary Shares, (iv) Carl Stephen George received 455,100 Ordinary Shares, (v) Ching Kuen Franklin Heng received 83,640 Ordinary Shares, (vi) Harley Street Medical Doctors Limited received 421,480 Ordinary shares, (vii) Chung-Mei Hsu received 67,240 Ordinary Shares, (viii) LVS Capital Partners Limited received 202,540 Ordinary Shares and (ix) David Nicholson received 277,160 Ordinary Shares. As of the date of this Prospectus, RVL has no outstanding Rhino Notes. Other than Natalia Pelham, who is our Chairman’s wife, the Rhino Investors are not related to Mr. Pelham nor are they affiliates to the Company.</w:t>
      </w:r>
    </w:p>
    <w:p>
      <w:pPr>
        <w:spacing w:after="0" w:line="18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Pursuant to a written convertible loan agreement, dated September 30, 2024 (the “RVL Loan”) RVL agreed to loan DSL, Diginex Limited’s wholly owned subsidiary, up to $3 million. Diginex Limited and RVL agreed that RVL would convert the $3 million RVL Loan into Ordinary Shares upon the pricing of the IPO at the IPO offering price and Diginex Limited granted RVL certain registration rights with respect to such converted shares. The RVL Loan is attached to Diginex Limited’s registration statement of which this prospectus forms a part as Exhibit 10.9. On January 6, 2025, DSL and RVL entered into a written agreement to modify and amend the RVL Loan to increase the amount RVL can loan DSL by $500,000 and on January 6, 2025, Diginex Limited and RVL entered into a written loan capitalization agreement whereby RVL agreed to convert a balance of the up to $3.5 million RVL loan to DSL into Ordinary Shares upon the pricing of the IPO at the IPO offering price and Diginex Limited granted RVL certain registration rights with respect to such converted shares (the “Modified RVL Loan”). The Modified RVL Loan is attached to Diginex Limited’s registration statement of which this prospectus forms a part as Exhibit 10.11. Pursuant to the Modified RVL Loan, RVL may loan DSL up to $3.5 million and RVL shall convert up to $3.5 million under the Modified RVL Loan into Ordinary Shares upon the pricing of the IPO at the IPO offering price. Based on the IPO offering price of $4.10 per share, on January 21, 2025, RVL converted $3.0 million of the Modified RVL Loan into 731,707 Ordinary Shares. In exchange for RVL’s conversion of a minimum of $3.0 million of the Modified RVL Loan into Ordinary Shares, Diginex Limited has agreed to provide RVL registration rights with respect to the Ordinary Shares that RVL receives upon conversion of the Modified RVL Loan. The conversion of the Modified RVL Loan is in addition to the conversion of the RVL convertible loan note with a principal balance of $517,535.</w:t>
      </w:r>
    </w:p>
    <w:p>
      <w:pPr>
        <w:spacing w:after="0" w:line="18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December 20, 2024, the Company’s registration statement on Form F-1 was declared effective by the SEC. This resulted in the conversion of all outstanding convertible loan notes into 2,347,134 Ordinary Shares and the outstanding Preferred Shares being converted into 2,583,820 Ordinary Shares on a one to one basis.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Following the consummation Restructuring, DSL became a wholly owned subsidiary of Diginex Limited, and the former shareholders and securityholders of DSL became shareholders and securityholders of Diginex Limited. Following the Restructuring, Diginex Limited has subsidiaries located in Hong Kong, United Kingdom and United States of America. Diginex Limited is the sole owner of DSL, and through DSL the sole owner of (i) Diginex Services Limited, a corporation formed in the United Kingdom and (ii) Diginex USA LLC, a limited liability company formed in the State of Delaware.</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completed our initial public offering on January 23, 2025. This resulted in the issuance of 2,250,000 Ordinary Shares for gross proceeds of $9,225,000.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underwriters in our initial public offering exercised the Over-Allotment option, which closed on January 27, 2025.This resulted in the issuance of 337,500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for gross proceeds of $1,383,750.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2" w:name="page13"/>
    <w:bookmarkEnd w:id="12"/>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January 23, 2025, the Company issued Rhino Ventures Limited the warrants identified below (“IPO Warrants”) in recognition of the continuous financial support Rhino Ventures Limited has provided to the Company over previous years that has been critical to sustaining operations and achieving the IPO. There were no goods or services exchanged with Rhino Ventures Limited for the issuance of the IPO warrants. No new direct consideration was received at the time of issuance, as the warrants were granted to acknowledge the historical value provided by Rhino Ventures Limited.</w:t>
      </w:r>
    </w:p>
    <w:p>
      <w:pPr>
        <w:spacing w:after="0" w:line="175" w:lineRule="exact"/>
        <w:rPr>
          <w:sz w:val="20"/>
          <w:szCs w:val="20"/>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600" w:right="520" w:hanging="297"/>
        <w:spacing w:after="0" w:line="515" w:lineRule="auto"/>
        <w:tabs>
          <w:tab w:leader="none" w:pos="6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 On May 6, 2025, Rhino Ventures Limited conveyed, transferred and assigned the following IPO Warrants to Nomas Global Investments-L.L.C-S.P.C.:</w:t>
      </w:r>
    </w:p>
    <w:p>
      <w:pPr>
        <w:spacing w:after="0" w:line="1"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4 - Warrants to purchase 2,250,000 Ordinary Shares at an exercise price of $8.20 per share, which expire 15 months from January 23, 2025</w:t>
      </w:r>
    </w:p>
    <w:p>
      <w:pPr>
        <w:spacing w:after="0" w:line="33"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5 - Warrants to purchase 2,250,000 Ordinary Shares at an exercise price of $10.25 per share, which expire 18 months from January 23, 2025</w:t>
      </w:r>
    </w:p>
    <w:p>
      <w:pPr>
        <w:spacing w:after="0" w:line="17"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w:t>
      </w:r>
    </w:p>
    <w:p>
      <w:pPr>
        <w:spacing w:after="0" w:line="203"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 Following the acquisition of these Ordinary Shares and at the time of this Prospectus, Rhino Ventures Limited owns 9,890,247 Ordinary Shares, not including the derivative securities of Diginex owned by Rhino Ventures Limited.</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August 22, 2025, the Nomas WPA was rescinded by mutual agreement of Rhino Ventures Limited and Nomas Global Investments-L.L.C-S.P.C and the Nomas Warrants were returned to Rhino Ventures Limited and the previously issued promissory note from Nomas Global Investments L.L.C-S.P.C to Rhino Ventures Limited in the amount of $50,000,000 as the initial consideration under the Nomas WPA has been cancelled. Accordingly, Rhino Ventures Limited is the owner of 100% of the outstanding IPO Warrants.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August 18, 2025 Diginex announced an eight (8) for one (1) forward stock split to be paid in the form of a bonus share issuance. Each shareholder of the Company of record at the close of business on September 5, 2025 will receive 7 bonus ordinary shares for every one ordinary share held on the record date. The Company expects the bonus shares will be distributed on September 8, 2025.</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chart summarizes our corporate legal structure and identifies our subsidiaries as of the date of this prospectus. For more details on our corporate history please refer to “Corporate History” appearing on page 33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111125</wp:posOffset>
            </wp:positionV>
            <wp:extent cx="3794760" cy="2001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94760" cy="200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Effective April 1, 2025 we relocated our global headquarters and principal executive office to 25 Wilton Road, Victoria, London, Greater London, SW1V 1LW, United Kingdom from Smart-Space Fintech 2, Room 3, Unit 401-404 Core C, Cyberport, Telegraph Bay, Hong Kong. On June 1, 2025, the Hong Kong office relocated to Room 1311, Level 13, Leighton Centre, 77 Leighton Road, Causeway Bay, Hong Kong. We also have an office at Avenue des Papalins a Monaco portant le numero D2/D3, Monaco which was used by the Chairman and Chief Operating Officer. Our registered office in the Cayman Islands is located at the offices of Ogier Global (Cayman) Limited, 89 Nexus Way, Camana Bay, Grand Cayman, KY1-9009, Cayman Islands.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website is http://www.diginex.com. Information contained on, or that can be accessed through, our websites is not part of, and shall not be incorporated by reference into, this prospectus. Our agent for service of process in the United States is Puglisi &amp; Associates, 850 Library Avenue, Suite 2-4, Newark, Delaware 19711.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Related to Diginex’s Business</w:t>
      </w:r>
    </w:p>
    <w:p>
      <w:pPr>
        <w:spacing w:after="0" w:line="212" w:lineRule="exact"/>
        <w:rPr>
          <w:sz w:val="20"/>
          <w:szCs w:val="20"/>
          <w:color w:val="auto"/>
        </w:rPr>
      </w:pPr>
    </w:p>
    <w:p>
      <w:pPr>
        <w:ind w:left="600" w:hanging="599"/>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 Limited has a limited operating history and has incurred operating losses since its inception as it has been investing in the build out of its business lines, but they are not assured to be profitable.</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Cyberattacks and security breaches of our platform, or those impacting our customers or third parties, could adversely impact our brand and reputation and our business, operating results, and financial condition.</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of Diginex’s business lines may not produce sufficient cash flows to fund the capital requirements and expenditures necessary to run the business.</w:t>
      </w:r>
    </w:p>
    <w:p>
      <w:pPr>
        <w:spacing w:after="0" w:line="15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ESG reporting technology may not be widely adopted on blockchain due to association with digital assets.</w:t>
      </w:r>
    </w:p>
    <w:p>
      <w:pPr>
        <w:spacing w:after="0" w:line="207"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Diginex’s business lines may require technology certifications and qualifications that DSL does not currently have and that may be costly and time-consuming to obtain and, even if obtained, may subsequently be revoked.</w:t>
      </w:r>
    </w:p>
    <w:p>
      <w:pPr>
        <w:spacing w:after="0" w:line="15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suit of products, services and initiatives, could fail to attract users and partners or generate revenue.</w:t>
      </w:r>
    </w:p>
    <w:p>
      <w:pPr>
        <w:spacing w:after="0" w:line="207"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 Limited faces substantial litigation risks.</w:t>
      </w:r>
    </w:p>
    <w:p>
      <w:pPr>
        <w:spacing w:after="0" w:line="207"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 Limited may not successfully develop technology to service its business lines.</w:t>
      </w:r>
    </w:p>
    <w:p>
      <w:pPr>
        <w:spacing w:after="0" w:line="207"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incidents and other systems and technology problems may materially and adversely affect Diginex Limited.</w:t>
      </w:r>
    </w:p>
    <w:p>
      <w:pPr>
        <w:spacing w:after="0" w:line="207"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 Limited may not be able to keep pace with rapidly changing technology and client requirements.</w:t>
      </w:r>
    </w:p>
    <w:p>
      <w:pPr>
        <w:spacing w:after="0" w:line="207"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 Limited may face the risk that one or more competitors have or will obtain patents covering technology critical to the operation of one or more of its business lines and that it may infringe on the intellectual property rights of others.</w:t>
      </w:r>
    </w:p>
    <w:p>
      <w:pPr>
        <w:spacing w:after="0" w:line="15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different business lines could present conflicts of interest.</w:t>
      </w:r>
    </w:p>
    <w:p>
      <w:pPr>
        <w:spacing w:after="0" w:line="207"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political and market conditions in Hong Kong and worldwide, can adversely affect Diginex’s business, results of operations and financial condition.</w:t>
      </w:r>
    </w:p>
    <w:p>
      <w:pPr>
        <w:spacing w:after="0" w:line="15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Diginex’s business lines and its acceptance of currencies other than the U.S. Dollar will subject it to currency risk.</w:t>
      </w:r>
    </w:p>
    <w:p>
      <w:pPr>
        <w:spacing w:after="0" w:line="207"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Russian invasion of Ukraine and the armed conflict between Israel and Hamas.</w:t>
      </w:r>
    </w:p>
    <w:p>
      <w:pPr>
        <w:spacing w:after="0" w:line="207"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Diginex’s business may be adversely affected by natural disasters, pandemics, and other catastrophic events, and by man-made problems such as terrorism, that could disrupt the business operations, and the business continuity and disaster recovery plans may not adequately protect it from a serious disaster.</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DSL was previously owned by Eqonex Limited, until it was sold to Rhino Ventures Limited in May 2020. Eqonex Limited was focused on crypto currencies and went into liquidation in May 2022. There could be some legacy brand confusion which could impact the business of DSL and the value of Diginex Limited’s Ordinary Shares.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Risks Related to Diginex Limited’s incorporation in the Cayman Islands</w:t>
      </w:r>
    </w:p>
    <w:p>
      <w:pPr>
        <w:spacing w:after="0" w:line="212" w:lineRule="exact"/>
        <w:rPr>
          <w:sz w:val="20"/>
          <w:szCs w:val="20"/>
          <w:color w:val="auto"/>
        </w:rPr>
      </w:pPr>
    </w:p>
    <w:p>
      <w:pPr>
        <w:ind w:left="600" w:hanging="599"/>
        <w:spacing w:after="0" w:line="274"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Diginex Limited is incorporated under the laws of the Cayman Islands, you may face difficulties in protecting your interests, and your ability to protect your rights through the U.S. Federal courts may be limited.</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may be difficult to enforce a U.S. judgment against Diginex Limited or its directors and officers outside the United States, or to assert U.S. securities law claims outside of the United States.</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company incorporated in the Cayman Islands, Diginex Limited is permitted to adopt certain home country practices in relation to corporate governance matters that differ significantly from Nasdaq corporate governance listing standards; these practices may afford less protection to shareholders than they would enjoy if Diginex Limited complied fully with Nasdaq corporate governance listing standards.</w:t>
      </w:r>
    </w:p>
    <w:p>
      <w:pPr>
        <w:spacing w:after="0" w:line="169"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in Diginex Limited’s governance documents may inhibit a takeover of Diginex Limited, which could limit the price investors might be willing to pay in the future for Diginex Limited’s Ordinary Shares and could entrench management.</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foreign private issuer, Diginex Limited will be exempt from a number of U.S. securities laws and rules promulgated thereunder and will be permitted to publicly disclose less information than U.S. public companies must. This may limit the information available to holders of the Diginex Limited’s Ordinary Shares.</w:t>
      </w:r>
    </w:p>
    <w:p>
      <w:pPr>
        <w:spacing w:after="0" w:line="169"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be unable to present proposals before annual general meetings or extraordinary general meetings not called by shareholders.</w:t>
      </w:r>
    </w:p>
    <w:p>
      <w:pPr>
        <w:spacing w:after="0" w:line="207"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Diginex Limited is a foreign private issuer and is exempt from certain Nasdaq corporate governance standards applicable to U.S. issuers, you will have less protection than you would have if it were a domestic issuer.</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do not expect to pay dividends in the foreseeable future after the IPO and you must rely on price appreciation of our Ordinary Shares for return on your investment.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Hong Kong</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Diginex Solutions (HK) Limited is incorporated under the laws of Hong Kong. Our principal executive offices and a portion of our global operations are located in Hong Kong. We do not operate in the PRC. We are not a mainland Chinese firm and neither us nor any of our subsidiaries is required to obtain permission from the government of the PRC to operate and issue our Ordinary Shares to foreign investors. DSL and our subsidiaries are not covered by permissions requirements from the CSRC, CAC, and no other PRC entity is required to approve of the company’s operations. We do not believe that we are required to obtain any approvals to offer securities to foreign investors. We have evaluated the laws and regulations of the PRC in coming to this conclusion. This conclusion is based on DSL being a Hong Kong company, with no operations in the PRC, and no VIE in our corporate structure. Since our only connection to the PRC is a physical location in Hong Kong, we have not relied on an opinion of counsel to reach this conclusion, relying instead on our internal analysis of the applicable PRC laws and regulations. If we inadvertently conclude that such approvals are not required, or applicable laws, regulations, or interpretations change and we are required to obtain approval in the future, obtaining such approvals could significantly limit or completely hinder our ability to offer or continue to offer securities to investors and cause the value of our securities, including the Ordinary Shares, to significantly decline or be worthless. If approval by PRC authorities were required, it could result in a material change in our operations, including our ability to continue our current business, and accept foreign investments, and such adverse actions would likely cause the value of our securities to significantly decline or become worthless, make us subject to penalties and sanctions imposed by PRC regulatory agencies, and cause us to be delisted or prohibited from trading.</w:t>
      </w:r>
    </w:p>
    <w:p>
      <w:pPr>
        <w:spacing w:after="0" w:line="18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DSL primarily holds cash in bank accounts located in Hong Kong, we have no bank accounts or cash in PRC. There are no limitations on our ability to transfer cash from Hong Kong to our subsidiaries or investors.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We face risks and uncertainties relating to doing business in Hong Kong including, but not limited to, the following:</w:t>
      </w:r>
    </w:p>
    <w:p>
      <w:pPr>
        <w:spacing w:after="0" w:line="208" w:lineRule="exact"/>
        <w:rPr>
          <w:sz w:val="20"/>
          <w:szCs w:val="20"/>
          <w:color w:val="auto"/>
        </w:rPr>
      </w:pPr>
    </w:p>
    <w:p>
      <w:pPr>
        <w:jc w:val="both"/>
        <w:ind w:left="600" w:hanging="297"/>
        <w:spacing w:after="0" w:line="256"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government intervention into business activities by U.S.-listed, Chinese companies may indicate an expansion of the PRC’s authority that could negatively impact our existing and future operations in Hong Kong and PRC. For additional detail on this risk, see “</w:t>
      </w:r>
      <w:r>
        <w:rPr>
          <w:rFonts w:ascii="Times New Roman" w:cs="Times New Roman" w:eastAsia="Times New Roman" w:hAnsi="Times New Roman"/>
          <w:sz w:val="17"/>
          <w:szCs w:val="17"/>
          <w:i w:val="1"/>
          <w:iCs w:val="1"/>
          <w:color w:val="auto"/>
        </w:rPr>
        <w:t>Risk Factors – Risks Related to Doing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Business in Hong Kong – The PRC government intervention into business activities by U.S.-listed Chinese companies may indicate an expansion of the PRC’s authority that could negatively impact our existing and future operations in Hong Kong and PRC” </w:t>
      </w:r>
      <w:r>
        <w:rPr>
          <w:rFonts w:ascii="Times New Roman" w:cs="Times New Roman" w:eastAsia="Times New Roman" w:hAnsi="Times New Roman"/>
          <w:sz w:val="17"/>
          <w:szCs w:val="17"/>
          <w:color w:val="auto"/>
        </w:rPr>
        <w:t>starting on page 17 of this prospectus.</w:t>
      </w:r>
    </w:p>
    <w:p>
      <w:pPr>
        <w:spacing w:after="0" w:line="174"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financial condition and results of operations, and/or the value of our Ordinary Shares or our ability to offer or continue to offer securities to investors may be materially and adversely affected if certain laws and regulations of the PRC become applicable to our company.</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laws and regulations in the PRC and Hong Kong are evolving, and their enactment timetable, interpretation and implementation involve significant uncertainties. To the extent any PRC laws and regulations (or the equivalent Hong Kong version) become applicable to us,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in Hong Kong. For additional detail on this risk, see “</w:t>
      </w:r>
      <w:r>
        <w:rPr>
          <w:rFonts w:ascii="Times New Roman" w:cs="Times New Roman" w:eastAsia="Times New Roman" w:hAnsi="Times New Roman"/>
          <w:sz w:val="17"/>
          <w:szCs w:val="17"/>
          <w:i w:val="1"/>
          <w:iCs w:val="1"/>
          <w:color w:val="auto"/>
        </w:rPr>
        <w:t>Risk Factors –Interpretation of PRC laws and the implementation of National Security Law in Hong Kong involve uncertainty.”</w:t>
      </w:r>
      <w:r>
        <w:rPr>
          <w:rFonts w:ascii="Times New Roman" w:cs="Times New Roman" w:eastAsia="Times New Roman" w:hAnsi="Times New Roman"/>
          <w:sz w:val="17"/>
          <w:szCs w:val="17"/>
          <w:color w:val="auto"/>
        </w:rPr>
        <w:t xml:space="preserve"> starting on page 20 of this prospectus.</w:t>
      </w:r>
    </w:p>
    <w:p>
      <w:pPr>
        <w:spacing w:after="0" w:line="175" w:lineRule="exact"/>
        <w:rPr>
          <w:rFonts w:ascii="Times New Roman" w:cs="Times New Roman" w:eastAsia="Times New Roman" w:hAnsi="Times New Roman"/>
          <w:sz w:val="17"/>
          <w:szCs w:val="17"/>
          <w:color w:val="auto"/>
        </w:rPr>
      </w:pPr>
    </w:p>
    <w:p>
      <w:pPr>
        <w:jc w:val="both"/>
        <w:ind w:left="600" w:hanging="297"/>
        <w:spacing w:after="0" w:line="252"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that to the extent certain laws and regulations of the PRC become applicable to us, we may relocate our principal executive offices, employees, and operations out of Hong Kong. We may also be forced to dissolve our Hong Kong subsidiary and incorporate one or more new entities outside of Hong Kong. While we believe we may be able to relocate and reorganize, as an early-stage enterprise with limited revenue and that is not currently profitable, the costs and expenses related to relocating our offices, employees, and operations, as well as the legal and professional fees associated with reorganizing certain legal entities, would likely have a material impact on our business, financial condition and results of operations. There can be no guarantee that Diginex’s business lines, individually or together with our other business lines will be able to produce sufficient cash flows to fund the capital requirements and expenditures necessary to run the business and relocate.</w:t>
      </w:r>
    </w:p>
    <w:p>
      <w:pPr>
        <w:spacing w:after="0" w:line="173" w:lineRule="exact"/>
        <w:rPr>
          <w:rFonts w:ascii="Times New Roman" w:cs="Times New Roman" w:eastAsia="Times New Roman" w:hAnsi="Times New Roman"/>
          <w:sz w:val="17"/>
          <w:szCs w:val="17"/>
          <w:color w:val="auto"/>
        </w:rPr>
      </w:pPr>
    </w:p>
    <w:p>
      <w:pPr>
        <w:jc w:val="both"/>
        <w:ind w:left="60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additional detail on these risks, see “</w:t>
      </w:r>
      <w:r>
        <w:rPr>
          <w:rFonts w:ascii="Times New Roman" w:cs="Times New Roman" w:eastAsia="Times New Roman" w:hAnsi="Times New Roman"/>
          <w:sz w:val="17"/>
          <w:szCs w:val="17"/>
          <w:i w:val="1"/>
          <w:iCs w:val="1"/>
          <w:color w:val="auto"/>
        </w:rPr>
        <w:t>Risk Factors – Risks Related to Doing Business in Hong Kong – Our business, financial condition and results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operations, and/or the value of our Ordinary Shares or our ability to offer or continue to offer securities to investors may be materially and adversely affected if certain laws and regulations of the PRC become applicable to a company. In that case,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and be forced to relocate our operations outside of Hong Kong</w:t>
      </w:r>
      <w:r>
        <w:rPr>
          <w:rFonts w:ascii="Times New Roman" w:cs="Times New Roman" w:eastAsia="Times New Roman" w:hAnsi="Times New Roman"/>
          <w:sz w:val="17"/>
          <w:szCs w:val="17"/>
          <w:color w:val="auto"/>
        </w:rPr>
        <w:t>” starting on page 18 of this prospectus.</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actions by the PRC and the Hong Kong legislature have introduced risks and uncertainties concerning the Hong Kong legal system and the enforcement of the PRC’s laws in Hong Kong. For additional detail on this risk, see “</w:t>
      </w:r>
      <w:r>
        <w:rPr>
          <w:rFonts w:ascii="Times New Roman" w:cs="Times New Roman" w:eastAsia="Times New Roman" w:hAnsi="Times New Roman"/>
          <w:sz w:val="17"/>
          <w:szCs w:val="17"/>
          <w:i w:val="1"/>
          <w:iCs w:val="1"/>
          <w:color w:val="auto"/>
        </w:rPr>
        <w:t>Risk Factors – Risks Related to Doing Business in Hong Kong –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Hong Kong legal system embodies uncertainties which could limit the availability of legal protections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There are political risks associated with conducting business in Hong Kong</w:t>
      </w:r>
      <w:r>
        <w:rPr>
          <w:rFonts w:ascii="Times New Roman" w:cs="Times New Roman" w:eastAsia="Times New Roman" w:hAnsi="Times New Roman"/>
          <w:sz w:val="17"/>
          <w:szCs w:val="17"/>
          <w:color w:val="auto"/>
        </w:rPr>
        <w:t>” starting on page 19 of this prospectus.</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Rules and regulations in PRC, including some which may become applicable to Hong Kong, can change quickly with little advance notice, which could limit the legal protections available to the Company and its investors. For additional detail on this risk, see “</w:t>
      </w:r>
      <w:r>
        <w:rPr>
          <w:rFonts w:ascii="Times New Roman" w:cs="Times New Roman" w:eastAsia="Times New Roman" w:hAnsi="Times New Roman"/>
          <w:sz w:val="17"/>
          <w:szCs w:val="17"/>
          <w:i w:val="1"/>
          <w:iCs w:val="1"/>
          <w:color w:val="auto"/>
        </w:rPr>
        <w:t>Risk Factors – Risks Related to Doing Business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Hong Kong – The Hong Kong legal system embodies uncertainties which could limit the availability of legal protections</w:t>
      </w:r>
      <w:r>
        <w:rPr>
          <w:rFonts w:ascii="Times New Roman" w:cs="Times New Roman" w:eastAsia="Times New Roman" w:hAnsi="Times New Roman"/>
          <w:sz w:val="17"/>
          <w:szCs w:val="17"/>
          <w:color w:val="auto"/>
        </w:rPr>
        <w:t>” starting on page 19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prospectus.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6" w:name="page17"/>
    <w:bookmarkEnd w:id="16"/>
    <w:p>
      <w:pPr>
        <w:jc w:val="both"/>
        <w:ind w:left="600" w:hanging="297"/>
        <w:spacing w:after="0" w:line="261"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PRC government may intervene or influence our operations in Hong Kong at any time or may exert more control over offerings conducted overseas and/or foreign investment in us. For additional detail on this risk, see “</w:t>
      </w:r>
      <w:r>
        <w:rPr>
          <w:rFonts w:ascii="Times New Roman" w:cs="Times New Roman" w:eastAsia="Times New Roman" w:hAnsi="Times New Roman"/>
          <w:sz w:val="17"/>
          <w:szCs w:val="17"/>
          <w:i w:val="1"/>
          <w:iCs w:val="1"/>
          <w:color w:val="auto"/>
        </w:rPr>
        <w:t>Risk Factors – Risks Related to Doing Business in Hong Kong – The Hong Kong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government may face further restrictive measures from PRC government in the future</w:t>
      </w:r>
      <w:r>
        <w:rPr>
          <w:rFonts w:ascii="Times New Roman" w:cs="Times New Roman" w:eastAsia="Times New Roman" w:hAnsi="Times New Roman"/>
          <w:sz w:val="17"/>
          <w:szCs w:val="17"/>
          <w:color w:val="auto"/>
        </w:rPr>
        <w:t>” starting on page 20 of this prospectus.</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interpretation of PRC laws and the implementation of the National Security Law in Hong Kong involve uncertainty. For additional detail on this risk, see “</w:t>
      </w:r>
      <w:r>
        <w:rPr>
          <w:rFonts w:ascii="Times New Roman" w:cs="Times New Roman" w:eastAsia="Times New Roman" w:hAnsi="Times New Roman"/>
          <w:sz w:val="17"/>
          <w:szCs w:val="17"/>
          <w:i w:val="1"/>
          <w:iCs w:val="1"/>
          <w:color w:val="auto"/>
        </w:rPr>
        <w:t>Risk Factors – Risks Related to Doing Business in Hong Kong – Interpretation of PRC laws and the implementation of National Security Law in Hong Kong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involve uncertainty</w:t>
      </w:r>
      <w:r>
        <w:rPr>
          <w:rFonts w:ascii="Times New Roman" w:cs="Times New Roman" w:eastAsia="Times New Roman" w:hAnsi="Times New Roman"/>
          <w:sz w:val="17"/>
          <w:szCs w:val="17"/>
          <w:color w:val="auto"/>
        </w:rPr>
        <w:t>” starting on page 20 of this prospectus.</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49" w:lineRule="auto"/>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Ordinary Shares may be delisted or prohibited from being traded under the Holding Foreign Companies Accountable Act (“HFCAA”) if the PCAOB were unable to fully inspect our auditor. The delisting or the cessation of trading of our Ordinary Shares, or the threat of them being delisted or prohibited from being traded “over-the-counter,” may materially and adversely affect the value and/or liquidity of your investment. Additionally, if the PCAOB were unable to conduct full inspections of our auditor, it would deprive our investors of the benefits of such inspections. Our independent registered public accounting firm for the financial statements included in this prospectus, UHY LLP, is also not subject to the determinations announced by the PCAOB on December 16, 2021. UHY LLP are headquartered in Farmington Hills, Michigan. UHY LLP are not headquartered in the PRC or Hong Kong. The PCAOB currently has access to inspect the working papers of UHY LLP. As a result, we do not believe the HFCAA and related regulations will affect our company. If, however, our independent registered public accounting firm, or its affiliates, were denied, even temporarily, the ability to practice before the SEC and PCAOB, and it were determined that our financial statements or audit reports are not in compliance with the requirements of the U.S. Exchange Act, we could be at risk of delisting or become subject to other penalties that would adversely affect our ability to remain listed on the Nasdaq. For additional detail on this risk, see “</w:t>
      </w:r>
      <w:r>
        <w:rPr>
          <w:rFonts w:ascii="Times New Roman" w:cs="Times New Roman" w:eastAsia="Times New Roman" w:hAnsi="Times New Roman"/>
          <w:sz w:val="17"/>
          <w:szCs w:val="17"/>
          <w:i w:val="1"/>
          <w:iCs w:val="1"/>
          <w:color w:val="auto"/>
        </w:rPr>
        <w:t>Risk Factors – Risks Related to Doing Business in Hong Kong – Our Ordinary Shares may be delisted or prohibited from being traded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under the Holding Foreign Companies Accountable Act if the PCAOB were unable to fully inspect our auditor. The delisting or the cessation of trading of our Ordinary Shares, or the threat of them being delisted or prohibited from being traded, may materially and adversely affect the value and/or liquidity of your investment. Additionally, if the PCAOB were unable to conduct full inspections of our auditor, it would deprive our investors with the benefits of such inspections” </w:t>
      </w:r>
      <w:r>
        <w:rPr>
          <w:rFonts w:ascii="Times New Roman" w:cs="Times New Roman" w:eastAsia="Times New Roman" w:hAnsi="Times New Roman"/>
          <w:sz w:val="17"/>
          <w:szCs w:val="17"/>
          <w:color w:val="auto"/>
        </w:rPr>
        <w:t>starting on page 21 of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Ordinary Shares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face risks and uncertainties related to our Ordinary Shares, including, but not limited to:</w:t>
      </w:r>
    </w:p>
    <w:p>
      <w:pPr>
        <w:spacing w:after="0" w:line="208" w:lineRule="exact"/>
        <w:rPr>
          <w:sz w:val="20"/>
          <w:szCs w:val="20"/>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controlling shareholders have a substantial influence over our company and his interests may not be aligned with the interests of our other shareholders;</w:t>
      </w:r>
    </w:p>
    <w:p>
      <w:pPr>
        <w:spacing w:after="0" w:line="22"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sales of Ordinary Shares by existing shareholders, including the sales pursuant to the Resale Prospectus, may adversely affect the market price of our Ordinary Shares;</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we are a foreign private issuer and are exempt from certain Nasdaq corporate governance standards applicable to U.S. issuers, you will have less protection than you would have if we were a domestic issuer;</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as a foreign private issuer we are exempt from certain corporate governance standards applicable to U.S. issuers, if we cannot continue to satisfy, the continued listing requirements and other rules of Nasdaq, our securities may be delisted, which could negatively impact the price of our securities and your ability to sell them;</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incur increased costs as a result of being a public company, particularly after we cease to qualify as an “emerging growth company”;</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be unable to present proposals before annual general meetings or extraordinary general meetings not called by shareholders;</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Ordinary Shares may be thinly traded and you may be unable to sell at or near ask prices or at all if you need to sell your shares to raise money or otherwise desire to liquidate your shares;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experience immediate and substantial dilution in the net tangible book value of Ordinary Shares purchased;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not intend to pay dividends for the foreseeable future;</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our Ordinary Shares price may subject us to securities litigation.; and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any or all of the foregoing were to occur, this could result in a material change in our Company’s operations and/or the value of our Ordinary Shares and/or significantly limit or completely hinder our ability to offer or continue to offer securities to investors and cause the value of such securities to significantly decline or be worthless.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additional detail on these and other risks, see “</w:t>
      </w:r>
      <w:r>
        <w:rPr>
          <w:rFonts w:ascii="Times New Roman" w:cs="Times New Roman" w:eastAsia="Times New Roman" w:hAnsi="Times New Roman"/>
          <w:sz w:val="17"/>
          <w:szCs w:val="17"/>
          <w:i w:val="1"/>
          <w:iCs w:val="1"/>
          <w:color w:val="auto"/>
        </w:rPr>
        <w:t>Risk Factors – Risks Related to Doing Business in Hong Kong</w:t>
      </w:r>
      <w:r>
        <w:rPr>
          <w:rFonts w:ascii="Times New Roman" w:cs="Times New Roman" w:eastAsia="Times New Roman" w:hAnsi="Times New Roman"/>
          <w:sz w:val="17"/>
          <w:szCs w:val="17"/>
          <w:color w:val="auto"/>
        </w:rPr>
        <w:t>” starting on page 17 of this prospectus.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Effective April 1, 2025 we relocated our global headquarters and principal executive office to 25 Wilton Road, Victoria, London, Greater London, SW1V 1LW, United Kingdom from Smart-Space Fintech 2, Room 3, Unit 401-404 Core C, Cyberport, Telegraph Bay, Hong Kong. Our telephone number is +44 203 998 0008. Diginex’s website is located at </w:t>
      </w:r>
      <w:r>
        <w:rPr>
          <w:rFonts w:ascii="Times New Roman" w:cs="Times New Roman" w:eastAsia="Times New Roman" w:hAnsi="Times New Roman"/>
          <w:sz w:val="17"/>
          <w:szCs w:val="17"/>
          <w:i w:val="1"/>
          <w:iCs w:val="1"/>
          <w:color w:val="auto"/>
        </w:rPr>
        <w:t>https://www.diginex.com.</w:t>
      </w:r>
      <w:r>
        <w:rPr>
          <w:rFonts w:ascii="Times New Roman" w:cs="Times New Roman" w:eastAsia="Times New Roman" w:hAnsi="Times New Roman"/>
          <w:sz w:val="17"/>
          <w:szCs w:val="17"/>
          <w:color w:val="auto"/>
        </w:rPr>
        <w:t xml:space="preserve"> The information contained on, or that may be accessed through, our website is not part of, and is not incorporated into, this prospectus or the registration statement of which it forms a part.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sz w:val="19"/>
                <w:szCs w:val="19"/>
                <w:color w:val="auto"/>
              </w:rPr>
            </w:pPr>
          </w:p>
        </w:tc>
        <w:tc>
          <w:tcPr>
            <w:tcW w:w="7860" w:type="dxa"/>
            <w:vAlign w:val="bottom"/>
          </w:tcPr>
          <w:p>
            <w:pPr>
              <w:ind w:left="1780"/>
              <w:spacing w:after="0"/>
              <w:rPr>
                <w:sz w:val="20"/>
                <w:szCs w:val="20"/>
                <w:color w:val="auto"/>
              </w:rPr>
            </w:pPr>
            <w:r>
              <w:rPr>
                <w:rFonts w:ascii="Times New Roman" w:cs="Times New Roman" w:eastAsia="Times New Roman" w:hAnsi="Times New Roman"/>
                <w:sz w:val="17"/>
                <w:szCs w:val="17"/>
                <w:b w:val="1"/>
                <w:bCs w:val="1"/>
                <w:color w:val="auto"/>
              </w:rPr>
              <w:t>The Offering</w:t>
            </w:r>
          </w:p>
        </w:tc>
      </w:tr>
      <w:tr>
        <w:trPr>
          <w:trHeight w:val="403"/>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Issuer</w:t>
            </w:r>
          </w:p>
        </w:tc>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Diginex Limited</w:t>
            </w:r>
          </w:p>
        </w:tc>
      </w:tr>
      <w:tr>
        <w:trPr>
          <w:trHeight w:val="387"/>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Offer Price:</w:t>
            </w:r>
          </w:p>
        </w:tc>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The Selling Shareholder may, from time to time, sell any or all of their Ordinary Shares being offered under this</w:t>
            </w:r>
          </w:p>
        </w:tc>
      </w:tr>
      <w:tr>
        <w:trPr>
          <w:trHeight w:val="202"/>
        </w:trPr>
        <w:tc>
          <w:tcPr>
            <w:tcW w:w="3380" w:type="dxa"/>
            <w:vAlign w:val="bottom"/>
          </w:tcPr>
          <w:p>
            <w:pPr>
              <w:spacing w:after="0"/>
              <w:rPr>
                <w:sz w:val="17"/>
                <w:szCs w:val="17"/>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Resale Prospectus on any stock exchange, market or trading facility on which shares of our Ordinary Shares are</w:t>
            </w:r>
          </w:p>
        </w:tc>
      </w:tr>
      <w:tr>
        <w:trPr>
          <w:trHeight w:val="218"/>
        </w:trPr>
        <w:tc>
          <w:tcPr>
            <w:tcW w:w="3380" w:type="dxa"/>
            <w:vAlign w:val="bottom"/>
          </w:tcPr>
          <w:p>
            <w:pPr>
              <w:spacing w:after="0"/>
              <w:rPr>
                <w:sz w:val="18"/>
                <w:szCs w:val="18"/>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traded or in private transactions. These sales may be at fixed or negotiated prices.</w:t>
            </w:r>
          </w:p>
        </w:tc>
      </w:tr>
      <w:tr>
        <w:trPr>
          <w:trHeight w:val="413"/>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Ordinary Shares offered by the Selling</w:t>
            </w:r>
          </w:p>
        </w:tc>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8"/>
              </w:rPr>
              <w:t>4,500,000 Ordinary Shares. (Representing 2,250,00 IPO Warrants that exercise into 2,250,000 Ordinary Shares and</w:t>
            </w: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Shareholder</w:t>
            </w:r>
          </w:p>
        </w:tc>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2,250,000 already issued to Rhino Ventures Limited following the exercise of Tranche 1 of the IPO Warrants</w:t>
            </w:r>
          </w:p>
        </w:tc>
      </w:tr>
      <w:tr>
        <w:trPr>
          <w:trHeight w:val="403"/>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Ordinary Shares outstanding before the Offering</w:t>
            </w:r>
          </w:p>
        </w:tc>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25,243,763 Ordinary Shares.</w:t>
            </w:r>
          </w:p>
        </w:tc>
      </w:tr>
      <w:tr>
        <w:trPr>
          <w:trHeight w:val="387"/>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Ordinary Shares outstanding after the Offering</w:t>
            </w:r>
          </w:p>
        </w:tc>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27,493,763 Ordinary Shares.</w:t>
            </w:r>
          </w:p>
        </w:tc>
      </w:tr>
      <w:tr>
        <w:trPr>
          <w:trHeight w:val="202"/>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(assuming 2,250,000 IPO Warrants have been</w:t>
            </w:r>
          </w:p>
        </w:tc>
        <w:tc>
          <w:tcPr>
            <w:tcW w:w="7860" w:type="dxa"/>
            <w:vAlign w:val="bottom"/>
          </w:tcPr>
          <w:p>
            <w:pPr>
              <w:spacing w:after="0"/>
              <w:rPr>
                <w:sz w:val="17"/>
                <w:szCs w:val="17"/>
                <w:color w:val="auto"/>
              </w:rPr>
            </w:pP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7860" w:type="dxa"/>
            <w:vAlign w:val="bottom"/>
          </w:tcPr>
          <w:p>
            <w:pPr>
              <w:spacing w:after="0"/>
              <w:rPr>
                <w:sz w:val="18"/>
                <w:szCs w:val="18"/>
                <w:color w:val="auto"/>
              </w:rPr>
            </w:pPr>
          </w:p>
        </w:tc>
      </w:tr>
      <w:tr>
        <w:trPr>
          <w:trHeight w:val="387"/>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Use of proceeds</w:t>
            </w:r>
          </w:p>
        </w:tc>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9"/>
              </w:rPr>
              <w:t>We will not receive any of the proceeds from the sale of the Ordinary Shares by the Selling Shareholder named in</w:t>
            </w:r>
          </w:p>
        </w:tc>
      </w:tr>
      <w:tr>
        <w:trPr>
          <w:trHeight w:val="202"/>
        </w:trPr>
        <w:tc>
          <w:tcPr>
            <w:tcW w:w="3380" w:type="dxa"/>
            <w:vAlign w:val="bottom"/>
          </w:tcPr>
          <w:p>
            <w:pPr>
              <w:spacing w:after="0"/>
              <w:rPr>
                <w:sz w:val="17"/>
                <w:szCs w:val="17"/>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8"/>
              </w:rPr>
              <w:t>this Resale Prospectus, however in the event the warrants are exercised then the Company will receive the exercise</w:t>
            </w:r>
          </w:p>
        </w:tc>
      </w:tr>
      <w:tr>
        <w:trPr>
          <w:trHeight w:val="218"/>
        </w:trPr>
        <w:tc>
          <w:tcPr>
            <w:tcW w:w="3380" w:type="dxa"/>
            <w:vAlign w:val="bottom"/>
          </w:tcPr>
          <w:p>
            <w:pPr>
              <w:spacing w:after="0"/>
              <w:rPr>
                <w:sz w:val="18"/>
                <w:szCs w:val="18"/>
                <w:color w:val="auto"/>
              </w:rPr>
            </w:pPr>
          </w:p>
        </w:tc>
        <w:tc>
          <w:tcPr>
            <w:tcW w:w="7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price of the warrants that are exercised.</w:t>
            </w:r>
          </w:p>
        </w:tc>
      </w:tr>
      <w:tr>
        <w:trPr>
          <w:trHeight w:val="404"/>
        </w:trPr>
        <w:tc>
          <w:tcPr>
            <w:tcW w:w="3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7"/>
                <w:szCs w:val="17"/>
                <w:color w:val="auto"/>
              </w:rPr>
              <w:t>11</w:t>
            </w:r>
          </w:p>
        </w:tc>
      </w:tr>
    </w:tbl>
    <w:p>
      <w:pPr>
        <w:sectPr>
          <w:pgSz w:w="11900" w:h="16838" w:orient="portrait"/>
          <w:cols w:equalWidth="0" w:num="1">
            <w:col w:w="11240"/>
          </w:cols>
          <w:pgMar w:left="320" w:top="62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SELECTED HISTORICAL FINANCIAL INFORMATION</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tables set forth, for the periods and dates indicated, certain selected historical financial information of Diginex Limited. You should read the following selected financial data in conjunction with “Operating and Financial Review and Prospects” and the audited and unaudited financial statements and respective notes included elsewhere in this prospectus. Historical results are not necessarily indicative of the results that may be expected in the future</w:t>
      </w:r>
      <w:r>
        <w:rPr>
          <w:rFonts w:ascii="Times New Roman" w:cs="Times New Roman" w:eastAsia="Times New Roman" w:hAnsi="Times New Roman"/>
          <w:sz w:val="17"/>
          <w:szCs w:val="17"/>
          <w:color w:val="auto"/>
        </w:rPr>
        <w: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For the Year ended</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(USD)</w:t>
            </w:r>
          </w:p>
        </w:tc>
        <w:tc>
          <w:tcPr>
            <w:tcW w:w="1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404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30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426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Operations Data:</w:t>
            </w:r>
          </w:p>
        </w:tc>
        <w:tc>
          <w:tcPr>
            <w:tcW w:w="1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Revenue</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2,040,602</w:t>
            </w:r>
          </w:p>
        </w:tc>
        <w:tc>
          <w:tcPr>
            <w:tcW w:w="300" w:type="dxa"/>
            <w:vAlign w:val="bottom"/>
          </w:tcPr>
          <w:p>
            <w:pPr>
              <w:spacing w:after="0"/>
              <w:rPr>
                <w:sz w:val="17"/>
                <w:szCs w:val="17"/>
                <w:color w:val="auto"/>
              </w:rPr>
            </w:pP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1,299,538</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1,625,763</w:t>
            </w:r>
          </w:p>
        </w:tc>
      </w:tr>
      <w:tr>
        <w:trPr>
          <w:trHeight w:val="202"/>
        </w:trPr>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 for the year</w:t>
            </w:r>
          </w:p>
        </w:tc>
        <w:tc>
          <w:tcPr>
            <w:tcW w:w="2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(5,212,879)</w:t>
            </w:r>
          </w:p>
        </w:tc>
        <w:tc>
          <w:tcPr>
            <w:tcW w:w="2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(4,871,387)</w:t>
            </w: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(9,257,598)</w:t>
            </w: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60" w:type="dxa"/>
            <w:vAlign w:val="bottom"/>
            <w:gridSpan w:val="3"/>
          </w:tcPr>
          <w:p>
            <w:pPr>
              <w:ind w:left="1660"/>
              <w:spacing w:after="0"/>
              <w:rPr>
                <w:sz w:val="20"/>
                <w:szCs w:val="20"/>
                <w:color w:val="auto"/>
              </w:rPr>
            </w:pPr>
            <w:r>
              <w:rPr>
                <w:rFonts w:ascii="Times New Roman" w:cs="Times New Roman" w:eastAsia="Times New Roman" w:hAnsi="Times New Roman"/>
                <w:sz w:val="17"/>
                <w:szCs w:val="17"/>
                <w:b w:val="1"/>
                <w:bCs w:val="1"/>
                <w:color w:val="auto"/>
              </w:rPr>
              <w:t>As at</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2"/>
        </w:trPr>
        <w:tc>
          <w:tcPr>
            <w:tcW w:w="4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60" w:type="dxa"/>
            <w:vAlign w:val="bottom"/>
            <w:tcBorders>
              <w:bottom w:val="single" w:sz="8" w:color="auto"/>
            </w:tcBorders>
            <w:gridSpan w:val="3"/>
          </w:tcPr>
          <w:p>
            <w:pPr>
              <w:ind w:left="150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7"/>
        </w:trPr>
        <w:tc>
          <w:tcPr>
            <w:tcW w:w="464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120" w:type="dxa"/>
            <w:vAlign w:val="bottom"/>
          </w:tcPr>
          <w:p>
            <w:pPr>
              <w:spacing w:after="0"/>
              <w:rPr>
                <w:sz w:val="18"/>
                <w:szCs w:val="18"/>
                <w:color w:val="auto"/>
              </w:rPr>
            </w:pPr>
          </w:p>
        </w:tc>
      </w:tr>
      <w:tr>
        <w:trPr>
          <w:trHeight w:val="194"/>
        </w:trPr>
        <w:tc>
          <w:tcPr>
            <w:tcW w:w="46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Consolidated Statements of Financial Position Data:</w:t>
            </w:r>
          </w:p>
        </w:tc>
        <w:tc>
          <w:tcPr>
            <w:tcW w:w="16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202"/>
        </w:trPr>
        <w:tc>
          <w:tcPr>
            <w:tcW w:w="4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3,111,141</w:t>
            </w:r>
          </w:p>
        </w:tc>
        <w:tc>
          <w:tcPr>
            <w:tcW w:w="4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76,620</w:t>
            </w:r>
          </w:p>
        </w:tc>
        <w:tc>
          <w:tcPr>
            <w:tcW w:w="1120" w:type="dxa"/>
            <w:vAlign w:val="bottom"/>
          </w:tcPr>
          <w:p>
            <w:pPr>
              <w:spacing w:after="0"/>
              <w:rPr>
                <w:sz w:val="17"/>
                <w:szCs w:val="17"/>
                <w:color w:val="auto"/>
              </w:rPr>
            </w:pPr>
          </w:p>
        </w:tc>
      </w:tr>
      <w:tr>
        <w:trPr>
          <w:trHeight w:val="202"/>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Assets</w:t>
            </w:r>
          </w:p>
        </w:tc>
        <w:tc>
          <w:tcPr>
            <w:tcW w:w="36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6,243,162</w:t>
            </w:r>
          </w:p>
        </w:tc>
        <w:tc>
          <w:tcPr>
            <w:tcW w:w="4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974,417</w:t>
            </w:r>
          </w:p>
        </w:tc>
        <w:tc>
          <w:tcPr>
            <w:tcW w:w="1120" w:type="dxa"/>
            <w:vAlign w:val="bottom"/>
          </w:tcPr>
          <w:p>
            <w:pPr>
              <w:spacing w:after="0"/>
              <w:rPr>
                <w:sz w:val="17"/>
                <w:szCs w:val="17"/>
                <w:color w:val="auto"/>
              </w:rPr>
            </w:pPr>
          </w:p>
        </w:tc>
      </w:tr>
      <w:tr>
        <w:trPr>
          <w:trHeight w:val="202"/>
        </w:trPr>
        <w:tc>
          <w:tcPr>
            <w:tcW w:w="4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liabilities</w:t>
            </w:r>
          </w:p>
        </w:tc>
        <w:tc>
          <w:tcPr>
            <w:tcW w:w="36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1,574,345</w:t>
            </w:r>
          </w:p>
        </w:tc>
        <w:tc>
          <w:tcPr>
            <w:tcW w:w="4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14,267,453</w:t>
            </w:r>
          </w:p>
        </w:tc>
        <w:tc>
          <w:tcPr>
            <w:tcW w:w="1120" w:type="dxa"/>
            <w:vAlign w:val="bottom"/>
          </w:tcPr>
          <w:p>
            <w:pPr>
              <w:spacing w:after="0"/>
              <w:rPr>
                <w:sz w:val="17"/>
                <w:szCs w:val="17"/>
                <w:color w:val="auto"/>
              </w:rPr>
            </w:pPr>
          </w:p>
        </w:tc>
      </w:tr>
      <w:tr>
        <w:trPr>
          <w:trHeight w:val="202"/>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Non-current liabilities</w:t>
            </w:r>
          </w:p>
        </w:tc>
        <w:tc>
          <w:tcPr>
            <w:tcW w:w="36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110,867</w:t>
            </w:r>
          </w:p>
        </w:tc>
        <w:tc>
          <w:tcPr>
            <w:tcW w:w="4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9,717,088</w:t>
            </w:r>
          </w:p>
        </w:tc>
        <w:tc>
          <w:tcPr>
            <w:tcW w:w="1120" w:type="dxa"/>
            <w:vAlign w:val="bottom"/>
          </w:tcPr>
          <w:p>
            <w:pPr>
              <w:spacing w:after="0"/>
              <w:rPr>
                <w:sz w:val="17"/>
                <w:szCs w:val="17"/>
                <w:color w:val="auto"/>
              </w:rPr>
            </w:pPr>
          </w:p>
        </w:tc>
      </w:tr>
      <w:tr>
        <w:trPr>
          <w:trHeight w:val="202"/>
        </w:trPr>
        <w:tc>
          <w:tcPr>
            <w:tcW w:w="4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losses</w:t>
            </w:r>
          </w:p>
        </w:tc>
        <w:tc>
          <w:tcPr>
            <w:tcW w:w="366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106,596,680</w:t>
            </w:r>
          </w:p>
        </w:tc>
        <w:tc>
          <w:tcPr>
            <w:tcW w:w="44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29,170,801</w:t>
            </w:r>
          </w:p>
        </w:tc>
        <w:tc>
          <w:tcPr>
            <w:tcW w:w="1120" w:type="dxa"/>
            <w:vAlign w:val="bottom"/>
          </w:tcPr>
          <w:p>
            <w:pPr>
              <w:spacing w:after="0"/>
              <w:rPr>
                <w:sz w:val="17"/>
                <w:szCs w:val="17"/>
                <w:color w:val="auto"/>
              </w:rPr>
            </w:pPr>
          </w:p>
        </w:tc>
      </w:tr>
      <w:tr>
        <w:trPr>
          <w:trHeight w:val="202"/>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equity (deficit)</w:t>
            </w:r>
          </w:p>
        </w:tc>
        <w:tc>
          <w:tcPr>
            <w:tcW w:w="36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4,557,950</w:t>
            </w:r>
          </w:p>
        </w:tc>
        <w:tc>
          <w:tcPr>
            <w:tcW w:w="4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(23,010,124)</w:t>
            </w:r>
          </w:p>
        </w:tc>
        <w:tc>
          <w:tcPr>
            <w:tcW w:w="1120" w:type="dxa"/>
            <w:vAlign w:val="bottom"/>
          </w:tcPr>
          <w:p>
            <w:pPr>
              <w:spacing w:after="0"/>
              <w:rPr>
                <w:sz w:val="17"/>
                <w:szCs w:val="17"/>
                <w:color w:val="auto"/>
              </w:rPr>
            </w:pPr>
          </w:p>
        </w:tc>
      </w:tr>
      <w:tr>
        <w:trPr>
          <w:trHeight w:val="403"/>
        </w:trPr>
        <w:tc>
          <w:tcPr>
            <w:tcW w:w="46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rPr>
              <w:t>12</w:t>
            </w:r>
          </w:p>
        </w:tc>
        <w:tc>
          <w:tcPr>
            <w:tcW w:w="1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i w:val="1"/>
          <w:iCs w:val="1"/>
          <w:color w:val="auto"/>
        </w:rPr>
        <w:t>An investment in our securities involves a high degree of risk. Before you invest in our securities you should carefully consider those risk factors hereunder and those risk factors that may be included in any applicable prospectus supplement, together with all of the other information included in this prospectus and any prospectus supplement, in evaluating an investment in our securities.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 Before deciding whether to invest in our securities, you should also refer to the other information contained in this prospectus, including the section entitled “Cautionary Note Regarding Forward-Looking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Diginex Limited and its subsidiaries have a limited operating history and have incurred operating losses since its inception as it has been investing in the build out of its business lines. There can be no assurance that Diginex Limited and its subsidiaries will be profitable.</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Diginex Limited and its subsidiaries have a limited operating history on which an investor might evaluate its performance. It is therefore subject to many of the risks common to early-stage enterprises, including under-capitalization, cash shortages, limitations with respect to personnel and financing sources and lack of revenues, any of which could have a material adverse effect on Diginex and may force it to reduce or curtail its operations. Diginex is not currently profitable and has incurred operating losses of $8.3 million, $8.1 million and $7.3 million for the years ended March 31, 2025, 2024 and 2023 respectively. There is no assurance that Diginex Limited will achieve a return on shareholders’ investments and the likelihood of success must be considered in light of the early stage of its operations. Even if Diginex accomplishes its objectives, it may not generate positive cash flows or profits.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Furthermore, Diginex’s business lines and are not assured to be profitable. During the years ended March 31, 2025, 2024 and 2023, the Diginex business generated revenue of $2.0 million, $1.3 million and $1.6 million respectively. Diginex may fail to develop its business lines or produce a return for its investors. It is possible that some of Diginex’s business lines may be difficult to grow, and it may become evident that a particular business line is not a productive use of capital or time. This could result in Diginex modifying its business and focus away from such business lines.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From time to time, Diginex has and may continue to launch new business lines, offer new products and services within existing business lines or undertake other strategic projects, including acquisitions. There are substantial risks and uncertainties associated with these efforts and Diginex could invest significant capital and resources into such efforts. Initial timetables for the development and introduction of new business lines or new products or services and price and profitability targets may not be met. New products or services may need to be initially launched on a limited basis prior to their full launch. In addition, Diginex’s revenues and costs may fluctuate because new business lines, products, acquisitions and services generally require startup and integration costs while revenues take time to develop, which may adversely impact Diginex’s results of operations.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Diginex is unable to successfully build its business while controlling expenses, its ability to continue in business could depend on the ability to raise sufficient additional capital, obtain sufficient financing and monetize assets. There can be no guarantee that Diginex will be able to raise funding in sufficient quantity or at acceptable terms to fund the continued development of its business lines.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occurrence of any of the foregoing risks would have a material adverse effect on Diginex’s business, financial condition and results of operations.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Our revenue is dependent on the continued importance of ESG to businesses and governments. If adoption of requirements to report on ESG does not grow as expected, our business, operating results, and financial condition could be adversely affected</w:t>
      </w:r>
      <w:r>
        <w:rPr>
          <w:rFonts w:ascii="Times New Roman" w:cs="Times New Roman" w:eastAsia="Times New Roman" w:hAnsi="Times New Roman"/>
          <w:sz w:val="17"/>
          <w:szCs w:val="17"/>
          <w:b w:val="1"/>
          <w:bCs w:val="1"/>
          <w:i w:val="1"/>
          <w:iCs w:val="1"/>
          <w:color w:val="auto"/>
        </w:rPr>
        <w:t>.</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revenue is partially subscription based and revenue is determined by attracting new clients and by renewal of subscriptions. The supporting services such as Advisory are generally contingent on the client subscription levels for diginexESG and diginexLUMEN. As such, if these lines of business do not grow as expected, our business, operating results and financial condition could be adversely affected.</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Cyberattacks and security breaches of our platform, or those impacting our customers or third parties, could adversely impact our brand and reputation and our business, operating results, and financial condition.</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business involves the collection, storage, processing, and transmission of confidential information, customer, employee, service provider, and other personal data. We have built our reputation on the premise that our platform offers customers a secure way to collect, hold and assess data to generate relevant ESG reporting, supply chain reports and impacts on climate, amongst others. As a result, any actual or perceived security breach of us or our third-party partners may, among others:</w:t>
      </w:r>
    </w:p>
    <w:p>
      <w:pPr>
        <w:spacing w:after="0" w:line="175" w:lineRule="exact"/>
        <w:rPr>
          <w:sz w:val="20"/>
          <w:szCs w:val="20"/>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our reputation and brand;</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our systems or services being unavailable and interrupt our operations;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improper disclosure of data and violations of applicable privacy and other laws;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significant regulatory scrutiny, investigations, fines, penalties, and other legal, regulatory, and financial exposure;</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incur significant remediation costs;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customer confidence in, or decreased use of, our products and services;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the attention of management from the operation of our business;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significant compensation or contractual penalties from us to our customers or third parties as a result of losses to them or claims by them;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 our business and operating results.</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including on their websites, mobile applications, and infrastructure.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 w:name="page21"/>
    <w:bookmarkEnd w:id="20"/>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Attacks upon systems across a variety of industries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Certain types of cyberattacks could harm us even if our systems are left undisturbed. For example, attacks may be designed to deceive employees and service providers into releasing control of our systems to a hacker, while others may aim to introduce computer viruses or malware into our systems with a view to stealing confidential or proprietary data. Additionally, certain threats are designed to remain dormant or undetectable until launched against a target and we may not be able to implement adequate preventative measures.</w:t>
      </w:r>
    </w:p>
    <w:p>
      <w:pPr>
        <w:spacing w:after="0" w:line="180"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Although we have developed systems and processes designed to protect the data we manage, prevent data loss and other security breaches, effectively respond to known and potential risks, and expect to continue to expend significant resources to bolster these protections, there can be no assurance that these security measures will provide absolute security or prevent breaches or attacks. We have experienced from time to time, and may experience in the future, breaches of our security measures due to human error, malfeasance, insider threats, system errors or vulnerabilities, or other irregularities. Unauthorized parties have attempted, and we expect that they will continue to attempt, to gain access to our systems and facilities, as well as those of our customers, partners, and third-party service providers, through various means, including hacking, social engineering, phishing, and attempting to fraudulently induce individuals (including employees, service providers, and our customers) into disclosing usernames, passwords, payment card information, or other sensitive information, which may in turn be used to access our information technology systems. Threats can come from a variety of sources, including criminal hackers, hacktivists, state-sponsored intrusions, industrial espionage, and insiders. Certain threat actors may be supported by significant financial and technological resources, making them even more sophisticated and difficult to detect. As a result, our costs and the resources we devote to protecting against these advanced threats and their consequences may continue to increase over time.</w:t>
      </w:r>
    </w:p>
    <w:p>
      <w:pPr>
        <w:spacing w:after="0" w:line="164"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Although we maintain insurance coverage that we believe is adequate for the current stage of development of our business, it may be insufficient to protect us against all losses and costs stemming from system failures, security breaches, cyberattacks, and other types of unlawful activity, or any resulting disruptions from such events. Outages and disruptions of our platform, including any caused by cyberattacks, may harm our reputation and our business, operating results, and 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One or more of Diginex’s business lines may not produce sufficient cash flows to fund the capital requirements and expenditures necessary to run the business.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There can be no guarantee that Diginex’s business lines, individually or together with our other business lines will be able to produce sufficient cash flows to fund the capital requirements and expenditures necessary to run the business. Furthermore, Diginex may not have or may not be able to obtain the technical skills or expertise needed to successfully or fully develop its business lines. While Diginex has sought to retain and continues to competitively recruit experts, there may, from time to time, be a scarcity of management, technical, scientific, research and marketing personnel with appropriate training to develop and maintain development of its business lines. If Diginex is not successful in its efforts to fully develop one or more of its business lines in a way that is compliant with customer requirements, and demonstrate to users the utility and value of such business, or there is not sufficient demand for the business line to be commercially viable, one or more business lines may not be viable, which could have an adverse effect on the Diginex’s overall business, financial condition and results of operations.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Diginex’s business lines may require technology certifications and qualifications that Diginex does not currently have and that may be costly and time-consuming to obtain and, even if obtained, may subsequently be revoked.</w:t>
      </w:r>
    </w:p>
    <w:p>
      <w:pPr>
        <w:spacing w:after="0" w:line="15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Diginex’s business lines may require technology certifications such as ISO27001. These qualifications and future maintenance to continue to be qualified are expensive and timing consuming to obtain and will occupy material management attention and are not certain to be successful. A failure or delay in receiving approval for a certification or qualification, or approval that is more limited in scope than initially requested, or subsequently limited or rescinded, could have a significant and negative effect on Diginex, including the risk that a competitor gains an advantage.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suite of products, services and initiatives could fail to attract users and partners or generate revenue.</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Our suite of products, services and initiatives and changes to existing features, services and initiatives could fail to attract users, and partners or generate revenue. Our industry is subject to changes in technology, evolving customer needs and the introduction by competitors of new and enhanced offerings. We must constantly assess our business and determine whether we need to improve or re-allocate resources among our existing platform features and services or create new products (independently or in conjunction with third parties) or acquire new products. Our ability to increase the size and engagement of our customers, attract partners and generate revenue will depend on those decisions. We may introduce significant changes to our existing platform and services or develop and introduce new products and services, which may not attract sufficient users or partners to generate revenue. If new or enhanced platform features or services fail to engage users, partners or generate sufficient revenue or operating profit to justify our investments, our business and operating results could be adversely affected.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may face substantial litigation risks.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 depends to a significant extent on its relationships with its clients and its reputation for integrity and high-caliber professional services. As a result, if a client is not satisfied with Diginex’s services or if there are allegations of negligent actions, including allegations by any of Diginex’s strategic relationships, whether the ultimate outcome is favorable or unfavorable to Diginex, or if there is negative publicity and press speculation about Diginex, whether or not valid, it may harm Diginex’s reputation and adversely affect the business and operating results.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Responding to inquiries, investigations, audits, lawsuits and proceedings, regardless of the ultimate outcome of the matter, is time-consuming and expensive and can divert the attention of senior management. The outcome of such proceedings may be difficult to predict or estimate until late in the proceedings, which may last a number of years.</w:t>
      </w:r>
    </w:p>
    <w:p>
      <w:pPr>
        <w:spacing w:after="0" w:line="169"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Furthermore, while Diginex maintains insurance for certain potential liabilities, such insurance does not cover all types and amounts of potential liabilities and is subject to various exclusions as well as caps on amounts refundable. Even if Diginex believes a claim is covered by insurance, insurers may dispute Diginex’s entitlement for a variety of different reasons, which may affect the timing and, if the insurers prevail, the amount of Diginex’s recovery. Any claims or litigation, even if fully indemnified or insured, could damage Diginex’s reputation and make it more difficult to compete effectively or to obtain adequate insurance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may not successfully develop technology to service its business lines.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relies heavily on the use of technology that it has created or plans to create by itself or with other third parties. If Diginex’s technology solutions do not work as planned, or do not meet or continue to meet the level of quality required by Diginex or its clients, it may make transacting business less efficient, more expensive and potentially prone to errors, thereby reducing the positive effects Diginex seeks to make available to its clients.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may not be able to keep pace with rapidly changing technology and client requirements.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Diginex’s success depends on its ability to develop new products and services for its business lines, while improving the performance and cost-effectiveness of its existing products and services, in each case in ways that address current and anticipated client requirements. Such success is dependent upon several factors, including functionality, competitive pricing and integration with existing and emerging technologies. New technologies could emerge that might enable Diginex’s competitors to offer products and services with better combinations of price and performance, or that better address client requirements, than Diginex’s products and services. Competitors may be able to respond more quickly and effectively than Diginex can to new or changing opportunities, technologies, standards or client requirements.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Due to the significant lead time involved in bringing a new product or service to market, Diginex is required to make a number of assumptions and estimates regarding the commercial feasibility of new products and services. As a result, it is possible that Diginex may introduce a new product or service that uses technologies that have been displaced by the time of launch, addresses a market that no longer exists or is smaller than previously thought or otherwise is not competitive at the time of launch. The expenses or losses associated with an unsuccessful product or service development or launch, or a lack of market acceptance of Diginex’s new products and services, could adversely affect Diginex’s business, financial condition or results of operations.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Diginex’s ability to attract new clients and increase revenue from existing clients also depends on its ability to deliver any enhanced or new products and services to its clients in a format where they can be easily and consistently deployed by most or all clients without significant client service. If Diginex’s clients believe that deploying Diginex’s products and services would be overly time-consuming, confusing or technically challenging, then Diginex’s ability to grow its business would be substantially harmed.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incidents and other systems and technology problems may materially and adversely affect Diginex.</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Cybersecurity incidents and cyber-attacks have been occurring globally at a more frequent and severe level and will likely continue to increase in frequency in the future. Incidents, which may occur through intentional or unintentional acts by individuals or groups having authorized or unauthorized access to Diginex’s systems or Diginex’s clients’ or counterparties’ information, all of which may include confidential information. These individuals or groups include employees, third-party service providers, customers and hackers. The information and technology systems used by Diginex and its service providers are vulnerable to unauthorized access, damage or interruption from, among other things: hacking, ransomware, malware and other computer viruses; denial of service attacks; network failures; computer and telecommunication failures; phishing attacks; infiltration by unauthorized persons; fraud; security breaches; usage errors by their respective professionals; power outages; terrorism; and catastrophic events such as fires, tornadoes, floods, hurricanes and earthquakes. To date, Diginex has only experienced phishing incidents, none of which have been material. While Diginex will deploy a range of defenses, it is possible Diginex could suffer an impact or disruption that could materially and adversely affect Diginex. The security of the information and technology systems used by Diginex and its service providers may continue to be subjected to cybersecurity threats that could result in material failures or disruptions in Diginex’s business. If these systems are compromised, become inoperable for extended periods of time or cease to function properly, Diginex or a service provider may have to make a significant investment to fix or replace them. Diginex has and will continue to have access to sensitive, confidential information of clients, which makes the cybersecurity risks identified above more important than they may be to other companies.</w:t>
      </w:r>
    </w:p>
    <w:p>
      <w:pPr>
        <w:spacing w:after="0" w:line="18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Concerns about Diginex’s practices with regard to, the collection use, disclosure, or safekeeping of confidential information and personal data, even if unfounded, could adversely affect its operating results. Furthermore, failures of Diginex’s cybersecurity system could harm Diginex’s reputation, subject it to legal claims and otherwise materially and adversely affect Diginex’s business, financial condition and results of operations.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2" w:name="page23"/>
    <w:bookmarkEnd w:id="22"/>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Diginex may face the risk that one or more competitors have or will obtain patents covering technology critical to the operation of one or more of its business lines and that it may infringe on the intellectual property rights of others. Diginex’s lack of protectable intellectual property rights may negatively affect the business of Diginex.</w:t>
      </w:r>
    </w:p>
    <w:p>
      <w:pPr>
        <w:spacing w:after="0" w:line="16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If one or more other persons, companies or organizations has or obtains a valid patent covering technology critical to the operation of one or more of Diginex’s business lines, there can be no guarantee that such an entity would be willing to license such technology at acceptable prices or at all, which could have a material adverse effect on Diginex’s business, financial condition and results of operations. Moreover, if for any reason Diginex were to fail to comply with its obligations under an applicable agreement, it may be unable to operate, which would also have a material adverse effect on Diginex’s business, financial condition and results of operations.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Due to the fundamentally open-source nature of blockchain and other technology, Diginex may not always be able to determine that it is using or accessing protected information or software. For example, there could be issued patents of which Diginex is not aware that its products infringe. Moreover, patent applications are in some cases maintained in secrecy until patents are issued. The publication of discoveries in scientific or patent literature frequently occurs substantially later than the date on which the underlying discoveries were made, and patent applications were filed. Because patents can take many years to issue, there may currently be pending applications of which Diginex is unaware that may later result in issued patents that its products infringe.</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could expend significant resources defending against patent infringement and other intellectual property right claims, which could require it to divert resources away from operations. Any damages Diginex is required to pay or injunctions against its continued use of such intellectual property in resolution of such claims may cause a material adverse effect to its business, financial condition and results of operations.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Accordingly, Diginex’s lack of protectable intellectual property rights may negatively affect the business of Diginex, if it is determined that Diginex’s product offerings infringe upon the intellectual property rights or claims of others. A determination that Diginex’s product offerings infringe upon the intellectual property rights or claims of others could restrict, limit or even prohibit Diginex ability to offer and sell such infringing products. Such restrictions, limitations or prohibitions could reduce Diginex’s revenue and/or earnings and negatively affect the stock price of Diginex Limited.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Managing different business lines could present conflicts of interest.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Appropriately identifying and dealing with conflicts of interest is complex and difficult, and Diginex’s reputation could be damaged and the willingness of clients to enter into transactions with Diginex may be affected if Diginex fails, or appears to fail, to identify, disclose and deal appropriately with conflicts of interest. In addition, potential or perceived conflicts could give rise to litigation. As a result, failures to appropriately identify and address potential conflicts of interest could materially adversely affect Diginex’s business,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political and market conditions in Hong Kong and worldwide, can adversely affect Diginex’s business, results of operations and financial condition.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Diginex’s business is influenced by a range of factors that are beyond its control and that it has no comparative advantage in forecasting. These include, among others:</w:t>
      </w:r>
    </w:p>
    <w:p>
      <w:pPr>
        <w:spacing w:after="0" w:line="159" w:lineRule="exact"/>
        <w:rPr>
          <w:sz w:val="20"/>
          <w:szCs w:val="20"/>
          <w:color w:val="auto"/>
        </w:rPr>
      </w:pPr>
    </w:p>
    <w:p>
      <w:pPr>
        <w:ind w:left="1220" w:hanging="311"/>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business conditions;</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demand for Diginex’s products and services; and</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legal and political developments.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Macroeconomic developments, including the impact of the Russian invasion of the Ukraine, the conflict between Israel and Hamas, the conflict between Israel and Iran, the conflict between the U.S. and Iran, evolving trade policies between the U.S. and international trade partners, including the People’s Republic of China (the “PRC”) and Hong Kong or the occurrence of similar events in other countries that lead to uncertainty or instability in economic, political or market conditions could negatively affect Diginex’s business, operating results and financial conditions and/or any of its third-party service providers.</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Furthermore, any general weakening of, and related declining confidence in, the global economy or the curtailment of government or corporate spending could cause potential clients to delay, decrease or cancel purchases of Diginex’s products and services.</w:t>
      </w:r>
    </w:p>
    <w:p>
      <w:pPr>
        <w:spacing w:after="0" w:line="15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 material element of Diginex’s operations is in Hong Kong. Hong Kong has been governed by the basic law, which guarantees a high degree of autonomy from the PRC in certain matters until 2047. If the PRC were to exert its authority to alter the economic, political or legal structures or the existing social policy of Hong Kong, investor and business confidence in Hong Kong could be negatively affected, which in turn could negatively affect markets and business performance and have an adverse effect on Diginex. There is uncertainty as to the political, economic and social status of Hong Kong. Hong Kong’s evolving relationship with the PRC’s central government in Beijing has been a source of political unrest that has periodically resulted in large-scale protests, including those that occurred in 2019 in response to an extradition bill proposed by the Hong Kong government, which was subsequently waived. These protests created disruptions for businesses operating in Hong Kong and have negatively impacted the overall economy however, the frequency and intensity of protests have declined in recent years since the passing of the National Security Law.</w:t>
      </w:r>
    </w:p>
    <w:p>
      <w:pPr>
        <w:spacing w:after="0" w:line="180"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Significant operations of Diginex’s business are currently located in Hong Kong. It is possible that Diginex may decide to relocate certain operations from Hong Kong to another location in the future. In doing so, it is also possible that Diginex may not be able to retain certain expert staff. If Diginex loses the services of any member of management or other such key personnel as a result of relocating, it may not be able to find suitable or qualified replacements and may incur additional expenses to recruit and train new staff, which could materially disrupt Diginex’s business and growth.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i w:val="1"/>
          <w:iCs w:val="1"/>
          <w:color w:val="auto"/>
        </w:rPr>
        <w:t>Diginex’s business lines and its acceptance of currencies other than the U.S. Dollar will subject it to currency risk.</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Diginex’s financial statements are presented in U.S. dollars so it must translate non-U.S. dollar denominated revenues, income and expenses, as well as assets and liabilities, into U.S. dollars at exchange rates in effect during or at the end of each reporting period. These fluctuations may materially impact the translation of Diginex’s non-U.S. results of operations and financial condition.</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Furthermore, increases or decreases in the value of the currencies Diginex operates with may affect its operating results and the value of its assets and liabilities. USD is the main currency for Diginex but it also uses, to a lesser extent, Great British Pound, Hong Kong Dollar and Euro.</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Diginex’s business may be adversely affected by natural disasters, pandemics, and other catastrophic events, and by man-made problems such as terrorism, that could disrupt the business operations, and the business continuity and disaster recovery plans may not adequately protect it from a serious disaster.</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Natural disasters or other catastrophic events may also cause damage or disruption to operations, international commerce, and the global economy, and could have an adverse effect on business, operating results, and financial condition. Business operations are subject to interruption by natural disasters, fire, power shortages, and other events beyond Diginex’s control. In addition, Diginex’s global operations expose it to risks associated with public health crises, such as pandemics and epidemics, which could harm the business and cause operating results to suffer. For example, the effects of the COVID-19 pandemic have resulted, and could continue to result, in difficulties or changes to customer support, or create operational or other challenges, any of which could adversely impact business and operating results. Further, acts of terrorism, labor activism or unrest, and other geo-political unrest could cause disruptions in the business or the businesses of partners or the economy as a whole. In the event of a natural disaster, including a major earthquake, blizzard, or hurricane, or a catastrophic event such as a fire, power loss, or telecommunications failure, Diginex may be unable to continue operations and may endure system interruptions, reputational harm, delays in development of Diginex’s platform(s), lengthy interruptions in service, breaches of data security, and loss of critical data, all of which could have an adverse effect on future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Doing Business in Hong Kong</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recent PRC government intervention into business activities by U.S.-listed Chinese companies may negatively impact our existing and future operations in Hong Kong.</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Limited in incorporated in the Cayman Island but has a subsidiary, DSL, that is incorporated under the laws of Hong Kong. We are not a mainland Chinese firm and neither us nor any of our subsidiaries is required to obtain permission from the government of the People’s Republic of China (“PRC”) to operate and issue our Ordinary Shares to foreign investors. We do not operate in the PRC.</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Recently, the Chinese government announced that it would increase supervision of mainland Chinese firms listed offshore. Under the new measures, PRC will improve regulation of cross-border data flows and security, police illegal activity in the securities market and punish fraudulent securities issuances, market manipulation and insider trading. PRC will also monitor sources of funding for securities investment and control leverage ratios. The Cyberspace Administration of China (“CAC”) has also opened a cybersecurity probe into several large U.S.-listed technology companies focusing on anti-monopoly and financial technology regulation and, more recently with the passage of the Data Security Law, how companies collect, store, process and transfer data. If we are subject to such a probe or if we are required to comply with stepped-up supervisory requirements, valuable time from our management and money may be expended in complying and/or responding to the probe and requirements, thus diverting valuable resources and attention away from our operations. This may, in turn, negatively impact our operations.</w:t>
      </w:r>
    </w:p>
    <w:p>
      <w:pPr>
        <w:spacing w:after="0" w:line="180"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As a Hong Kong company that does not operate in the PRC, the laws and regulations of the PRC do not currently have any material impact on our business, financial condition or operation. However, because of the Company’s operations in Hong Kong and given the Chinese government’s significant oversight authority over the conduct of business in Hong Kong, there is always a risk that the Chinese government may, in the future, seek to affect operations of any company with any level of operations in PRC (including Hong Kong), including its ability to offer securities to investors, list its securities on a U.S. or other foreign exchange, conduct its business or accept foreign investment. In light of PRC’s recent expansion of authority in Hong Kong, there are risks and uncertainties which we cannot foresee for the time being, and rules and regulations in PRC can change quickly. The Chinese government may intervene or influence our current and future operations in Hong Kong and PRC at any time or may exert more control over offerings conducted overseas and/or foreign investment in issuers likes ourselves.</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any or all of the foregoing were to occur, this could result in a material change in our Company’s operations and/or the value of our Ordinary Shares and/or significantly limit or completely hinder our ability to offer or continue to offer securities to investors and cause the value of such securities to significantly decline or be worthless.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Our business, financial condition and results of operations, and/or the value of our Ordinary Shares or our ability to offer or continue to offer securities to investors may be materially and adversely affected if certain laws and regulations of the PRC become applicable to a company such as us. In that case,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and be forced to relocate our operations outside of Hong Kong.</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do not operate in the PRC, we operate, in Hong Kong, a special administrative region of China, the laws and regulations of the PRC do not currently have any material impact on our business, financial condition and results of operations. We are not a mainland Chinese firm, and neither us nor any of our subsidiaries is required to obtain permission from the government of the PRC to operate and issue our Ordinary Shares to foreign investors. It is the opinion of our PRC counsel that Diginex Limited and DSL are not subject to the requirements of the CSRC or the CAC, and their operations are not subject to the review or approval of any other PRC governmental authority. If we inadvertently conclude that such approvals are not required, or applicable laws, regulations, or interpretations change and we are required to obtain approval in the future, obtaining such approvals could significantly limit or completely hinder our ability to offer or continue to offer securities to investors and cause the value of our securities, including the Ordinary Shares, to significantly decline or be worthless. If approval by PRC authorities were required, it could result in a material change in our operations, including our ability to continue our current business, and accept foreign investments, and such adverse actions would likely cause the value of our securities to significantly decline or become worthless, make us subject to penalties and sanctions imposed by PRC regulatory agencies, and cause us to be delisted or prohibited from trading.</w:t>
      </w:r>
    </w:p>
    <w:p>
      <w:pPr>
        <w:spacing w:after="0" w:line="183"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If certain PRC laws and regulations, including existing laws and regulations and those enacted or promulgated in the future, were to become applicable to a company such as us in the future, the application of such laws and regulations may have a material adverse impact on our business, financial condition and results of operations and our ability to offer or continue to offer securities to investors, any of which may cause the value of our securities, including our Ordinary Shares, to significantly decline or become worthless. For example, if the PRC Data Security Law were to apply to our Hong Kong-based business, we could become subject to data security and privacy obligations, including the need to conduct a national security review of data activities that may affect the national security of the PRC, and be prohibited from providing data stored in Hong Kong to foreign judicial or law enforcement agencies without approval from relevant PRC regulatory authorities. Furthermore, if any law relating to the PCAOB access to auditor files were to apply to a company such as us or our auditor, the PCAOB may be unable to fully inspect our auditor, which may result in our securities, including our Ordinary Shares, being delisted or prohibited from being traded pursuant to the HFCAA and materially and adversely affect the value and/or liquidity of your investment</w:t>
      </w:r>
    </w:p>
    <w:p>
      <w:pPr>
        <w:spacing w:after="0" w:line="177"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It is noted that relevant parts of the PRC government have made recent statements or recently taken regulatory actions related to data security, anti-monopoly and overseas listings of PRC businesses. For example, the PRC Data Security Law and the Measures for the Security Assessment of Outbound Data Transfer (the “Measures for the Security Assessment of Outbound Data Transfer”), relevant PRC government agencies have recently taken anti-trust enforcement action against certain PRC-based businesses. We understand such enforcement action was taken pursuant to the PRC Anti-Monopoly Law which applies to monopolistic activities in domestic economic activities in PRC and monopolistic activities outside PRC which eliminate or restrict market competition in PRC. In addition, on February 17, 2023, the CSRC promulgated Trial Administrative Measures of the Overseas Securities Offering and Listing by Domestic Companies and relevant supporting guidelines on regulating both direct and indirect (including through arrangements called VIEs) overseas offering and listing of PRC domestic companies’ securities through a filing-based regulatory regime, which became effected on March 31, 2023. In light of such developments, the SEC has imposed enhanced disclosure requirements on PRC-based companies seeking to register securities with the SEC. While, as our company currently does not have any operations in PRC, including any customer-facing business in PRC, and does not have a VIE structure, we believe that the statements or regulatory actions by the relevant parts of the PRC government, including statements relating to the PRC Data Security Law, the Measures for the Security Assessment of Outbound Data Transfer, the PRC Personal Information Protection Law and VIEs as well as the anti-monopoly enforcement actions, will not have any material adverse impact on our ability to conduct business, accept foreign investments, or list on a U.S. or other foreign exchange, there is no guarantee that this will continue to be the case or that the PRC government will not seek to intervene or influence our operations at any time. Should such statements or regulatory actions apply to a company such as us in the future, it would likely have a material adverse impact on our business, financial condition and results of operations, our ability to accept foreign investments and our ability to offer or continue to offer securities to investors on a U.S. or other international securities exchange, any of which may cause the value of our securities, including our Ordinary Shares, to significantly decline or become worthless.</w:t>
      </w:r>
    </w:p>
    <w:p>
      <w:pPr>
        <w:spacing w:after="0" w:line="183"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While we cannot predict the extent of such impact if such events were to occur, we expect that to the extent certain laws and regulations of the PRC become applicable to us, we may relocate our principal executive offices, employees, and operations out of Hong Kong. We may also be forced to dissolve our Hong Kong subsidiary and incorporate one or more new entities outside of Hong Kong. While we believe we may be able to relocate and reorganize, as an early-stage enterprise with limited revenue and that is not currently profitable, the costs and expenses related to relocating our offices, employees, and operations, as well as the legal and professional fees associated with reorganizing certain legal entities, would likely have a material impact on our business, financial condition and results of operations. There can be no guarantee that Diginex’s business lines will be able to produce sufficient cash flows to fund the capital requirements and expenditures necessary to run the business and relocate.</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laws and regulations in the PRC are evolving, and their enactment timetable, interpretation and implementation involve significant uncertainties. To the extent any PRC laws and regulations become applicable to us, we may be subject to the risks and uncertainties associated with the evolving laws and regulations in the PRC, their interpretation and implementation, and the legal and regulatory system in the PRC more generally, including with respect to the enforcement of laws and the possibility of changes of rules and regulations with little or no advance notice.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i w:val="1"/>
          <w:iCs w:val="1"/>
          <w:color w:val="auto"/>
        </w:rPr>
        <w:t>There are political risks associated with conducting business in Hong Kong.</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During the period covered by the financial information incorporated by reference into and included in this Prospectus we have a substantial part of our operations in Hong Kong. Accordingly, our business operations and financial condition may be affected by political and legal developments in Hong Kong. Any adverse economic, social and/or political conditions, material social unrest, strike, riot, civil disturbance or disobedience, as well as significant natural disasters, may adversely affect the business operations of our Hong Kong entity. 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 PRC will not drive changes in the economic, political and legal environment in Hong Kong in the future. Since part of our operation is based in Hong Kong, any change of such political arrangements may pose immediate threat to the stability of the economy in Hong Kong, thereby directly and adversely affecting our results of operations and financial position.</w:t>
      </w:r>
    </w:p>
    <w:p>
      <w:pPr>
        <w:spacing w:after="0" w:line="17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Under the Basic Law of the Hong Kong Special Administrative Region of the PRC,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developments, including the Law of the PRC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PRC. In 2020, President Trump signed an executive order and the Hong Kong Autonomy Act, or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PRC. These and other recent actions may represent an escalation in political and trade tensions involving the U.S., PRC and Hong Kong, which could potentially harm our business.</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Given the relatively small geographical size of Hong Kong, any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Furthermore, legislative or administrative actions in respect of PRC-U.S. relations could cause investor uncertainty for affected issuers, including us, and the market price of our Ordinary Shares could be adversely affected.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Hong Kong legal system embodies uncertainties which could limit the availability of legal protections.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January 18, 2019, the Supreme People’s Court and the Hong Kong SAR Government signed the Arrangement on Reciprocal Recognition and Enforcement of Judgments in Civil and Commercial Matters by the Courts of the Mainland and of the Hong Kong Special Administrative Region (“the New Arrangement”), which seeks to establish a mechanism with greater clarity and certainty for recognition and enforcement of judgments in wider range of civil and commercial matters between Hong Kong SAR and the PRC. The New Arrangement does not include the requirement for a choice of court agreement in writing by the parties. The New Arrangement will only take effect after the promulgation of a judicial interpretation by the Supreme People’s Court and the completion of the relevant legislative procedures in the Hong Kong SAR. On the Hong Kong side, the New Arrangement needs to be implemented through local laws. According to the Hong Kong government’s constitutional report on November 10, 2023, the Mainland Civil and Commercial Judgments (Mutual Enforcement) Ordinance (Chapter 645) and the Mainland Civil and Commercial Judgments (Mutual Enforcement) Rules came into effect on January 29, 2024.</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one of the conditions for the handover of the sovereignty of Hong Kong to PRC, PRC accepted conditions such as Hong Kong’s Basic Law. The Basic Law ensured Hong Kong will retain its own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However, if the PRC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i w:val="1"/>
          <w:iCs w:val="1"/>
          <w:color w:val="auto"/>
        </w:rPr>
        <w:t>The Hong Kong government may face further restrictive measures from PRC government in the future.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PRC government may intervene or influence our operations in Hong Kong at any time or may exert more control over offerings conducted overseas and/or foreign investment in us. The PRC government has claimed in its official policy documents that it exercises ‘comprehensive jurisdiction’ over Hong Kong. We cannot assure you that the Hong Kong government will not be facing further restrictive measures from PRC’s government in the future. The PRC government’s further potential restrictive regulations and measures could increase our existing and future operating costs by adapting to these regulations and measures, limit our access to capital resources or even restrict our existing and future business operations, which could further adversely affect our business and prospects.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For example, The Mainland Judgments in Civil and Commercial Matters (Reciprocal Enforcement) Ordinance Cap. 645 has come into effect in Hong Kong on January 29, 2024 (the Mainland Judgments Ordinance). The Mainland Judgment Ordinance creates a new registration system whereby certain judgments issued by Mainland courts could be enforced in Hong Kong SAR. These judgments include civil and/or commercial judgments handed down by Mainland courts, and criminal judgments (insofar as it is confined to an order to pay a sum of money for compensation and/or damages). The Mainland Judgments Ordinance implements the Arrangement on Reciprocal Recognition and Enforcement of Judgments in Civil and Commercial Matters by the Courts of the PRC and Hong Kong SAR. The Supreme People’s Court of Mainland and the Hong Kong Government signed the above Arrangement on January 18, 2019.</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cumulative effects of the Mainland Judgments Ordinance are:</w:t>
      </w:r>
    </w:p>
    <w:p>
      <w:pPr>
        <w:spacing w:after="0" w:line="208" w:lineRule="exact"/>
        <w:rPr>
          <w:sz w:val="20"/>
          <w:szCs w:val="20"/>
          <w:color w:val="auto"/>
        </w:rPr>
      </w:pPr>
    </w:p>
    <w:p>
      <w:pPr>
        <w:ind w:firstLine="606"/>
        <w:spacing w:after="0" w:line="274" w:lineRule="auto"/>
        <w:tabs>
          <w:tab w:leader="none" w:pos="82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expedites the enforcement of Mainland civil and/or commercial judgments in Hong Kong. This includes both monetary or non-monetary orders. An opposing party must object within a short period of time. The objection must be strictly confined to the grounds as set out in the Mainland Judgments Ordinance,</w:t>
      </w:r>
    </w:p>
    <w:p>
      <w:pPr>
        <w:spacing w:after="0" w:line="158" w:lineRule="exact"/>
        <w:rPr>
          <w:rFonts w:ascii="Times New Roman" w:cs="Times New Roman" w:eastAsia="Times New Roman" w:hAnsi="Times New Roman"/>
          <w:sz w:val="17"/>
          <w:szCs w:val="17"/>
          <w:color w:val="auto"/>
        </w:rPr>
      </w:pPr>
    </w:p>
    <w:p>
      <w:pPr>
        <w:jc w:val="both"/>
        <w:ind w:firstLine="606"/>
        <w:spacing w:after="0" w:line="261" w:lineRule="auto"/>
        <w:tabs>
          <w:tab w:leader="none" w:pos="86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judgments which carry monetary compensation or damages orders are also enforceable in Hong Kong. A wide range of PRC legislations and administrative regulations give power to the Mainland courts to order for monetary compensation or damages in criminal cases. The Mainland criminal justice system is known for its very high conviction rate.</w:t>
      </w:r>
    </w:p>
    <w:p>
      <w:pPr>
        <w:spacing w:after="0" w:line="169" w:lineRule="exact"/>
        <w:rPr>
          <w:rFonts w:ascii="Times New Roman" w:cs="Times New Roman" w:eastAsia="Times New Roman" w:hAnsi="Times New Roman"/>
          <w:sz w:val="17"/>
          <w:szCs w:val="17"/>
          <w:color w:val="auto"/>
        </w:rPr>
      </w:pPr>
    </w:p>
    <w:p>
      <w:pPr>
        <w:ind w:left="920" w:hanging="314"/>
        <w:spacing w:after="0"/>
        <w:tabs>
          <w:tab w:leader="none" w:pos="9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Hong Kong-based assets are now liable to be confiscated or seized by orders of the Hong Kong courts for the purposes of the execution of Mainland</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judgments.</w:t>
      </w:r>
    </w:p>
    <w:p>
      <w:pPr>
        <w:spacing w:after="0" w:line="19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 xml:space="preserve">On 8 March 2024, the Hong Kong SAR Government issued the Safeguarding National Security Bill (the “Bill”). The Bill as amended was then approved and passed at a full Legislative Council meeting on 19 March 2024. The Safeguarding National Security Ordinance became law and took effect from March 23, 2024. This law grants authorities’ broad powers to address perceived threats to national security, but its implementation and interpretation introduce significant uncertainty. See “– </w:t>
      </w:r>
      <w:r>
        <w:rPr>
          <w:rFonts w:ascii="Times New Roman" w:cs="Times New Roman" w:eastAsia="Times New Roman" w:hAnsi="Times New Roman"/>
          <w:sz w:val="17"/>
          <w:szCs w:val="17"/>
          <w:i w:val="1"/>
          <w:iCs w:val="1"/>
          <w:color w:val="auto"/>
        </w:rPr>
        <w:t>Interpretation of PRC laws and the implementation of National Security Law in Hong Kong involve uncertainty.”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Interpretation of PRC laws and the implementation of National Security Law in Hong Kong involve uncertainty.</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Since 1979, the PRC government began to promulgate a comprehensive system of laws and regulations governing economic matters in general. The PRC legal system is a civil law system based on written statutes. Prior court decisions are encouraged to be used for reference, but it remains unclear to what extent the prior court decisions may impact the current court ruling as the encouragement policy is new and there is limited judicial practice in this regard. Since a large number of laws and regulations are relatively new and the PRC legal system continues to rapidly evolve, the interpretations of many laws, and regulations and rules are not always uniform and the enforcement of these laws, regulations and rules involves uncertainties.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Depending on the government agency or how an application or case is presented to such agency, we may receive less favorable interpretations of laws and regulations than our competitors, particularly if a competitor has long been established in the locality of and has developed a relationship with such agency. In addition, any litigation may be protracted and result in substantial costs and a diversion of resources and management attention. All of these uncertainties may cause difficulties in the enforcement of our rights, entitlements under our permits and other statutory and contractual rights and interests.</w:t>
      </w:r>
    </w:p>
    <w:p>
      <w:pPr>
        <w:spacing w:after="0" w:line="17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On March 8, 2024, the Hong Kong SAR Government issued the Safeguarding National Security Bill (the “Bill”). The Bill as amended was then approved and passed at a full Legislative Council meeting on March 19, 2024. The Safeguarding National Security Ordinance became law and took effect from March 23, 2024. According to the Chief Executive of the Hong Kong SAR, the Safeguarding National Security Ordinance demonstrates three key objectives: (1) to resolutely, fully and faithfully implement the policy of “one country, two systems” under which the people of Hong Kong administer Hong Kong with a high degree of autonomy; (2) to establish and improve the legal system and enforcement mechanisms for the Hong Kong SAR to safeguard national security; and (3) to prevent, suppress and punish acts and activities endangering national security in accordance with the law, to protect the lawful rights and interests of the residents of the Hong Kong SAR and other people in the Hong Kong SAR, to ensure the property and investment in the Hong Kong SAR are protected by the law, to maintain prosperity and stability of the Hong Kong SAR. This ordinance introduces significant uncertainty for businesses operating in Hong Kong. This law grants authorities broad powers to address perceived threats to national security, but its implementation and interpretation remain fluid. The ordinance applies not only within Hong Kong but also to activities conducted outside its borders. Businesses with international operations may face legal risks if their actions are perceived as undermining national security, even if those actions occur elsewhere. Companies may inadvertently violate the law due to its complexity and evolving interpretation. Compliance costs, legal challenges, and reputational damage could result from inadvertent non-compliance. The uncertainty surrounding the ordinance may deter foreign investment, impact investor confidence, and affect Hong Kong’s status as a global financial hub. All of these may adversely affect our operations in Hong Kong.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Ordinary Shares may be delisted or prohibited from being traded under the Holding Foreign Companies Accountable Act if the PCAOB were unable to fully inspect our auditor. The delisting or the cessation of trading of our Ordinary Shares, or the threat of them being delisted or prohibited from being traded, may materially and adversely affect the value and/or liquidity of your investment. Additionally, if the PCAOB were unable to conduct full inspections of our auditor, it would deprive our investors with the benefits of such inspections.</w:t>
      </w:r>
    </w:p>
    <w:p>
      <w:pPr>
        <w:spacing w:after="0" w:line="17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Holding Foreign Companies Accountable Act, or the HFCAA, was enacted on December 18, 2020. The HFCAA states that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over-the-counter trading market in the U.S.</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Our auditor, the independent registered public accounting firm that has issued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Under current practice and PRC law, the PCAOB is currently able to inspect the audit work and practices of PCAOB-registered firms in PRC. Our auditor is located in the United States, with affiliates in Hong Kong, and the PCAOB has not been legally restricted from inspecting PCAOB audits relating to operations in Hong Kong. As noted above, except for the Basic Law, national laws of the PRC do not apply in Hong Kong unless they are listed in Annex III of the Basic Law and applied locally by promulgation or local legislation. The Basic Law expressly provides that the national laws of the PRC which may be listed in Annex III of the Basic Law shall be confined to those relating to defense and foreign affairs as well as other matters outside the autonomy of Hong Kong. National laws of the PRC relating to PCAOB access to auditor files have not been listed in Annex III and so do not apply directly to Hong Kong. The PRC legal system is evolving rapidly and the PRC laws, regulations, and rules may change quickly with little advance notice. To the extent any PRC laws and regulations become applicable to a company such as us or our auditor, the PCAOB loses its ability to inspect audit firms located in PRC and our auditor retains its working papers in PRC, the PCAOB may be unable to inspect our auditor. The lack of inspection could cause trading in your securities to be prohibited under the HFCAA and as a result Nasdaq may determine to delist your Ordinary Shares.</w:t>
      </w:r>
    </w:p>
    <w:p>
      <w:pPr>
        <w:spacing w:after="0" w:line="17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March 24, 2021, the SEC adopted interim final rules relating to the implementation of certain disclosure and documentation requirements of the Act. We would be required to comply with these rules if the SEC identifies us as having a “non-inspection” year under a process to be subsequently established by the SEC. The SEC is assessing how to implement other requirements of the HFCAA, including the listing and trading prohibition requirements described above.</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May 2021, the PCAOB issued a proposed rule 6100, Board Determinations Under the Holding Foreign Companies Accountable Act, for public comment. The proposed rule is related to the PCAOB’s responsibilities under the HFCAA, which, according to the PCAOB, would establish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The proposed rule was adopted by the PCAOB on September 22, 2021 and approved by the SEC on November 5, 2021. On December 2, 2021, SEC adopted amendments to finalize rules implementing the submission and disclosure requirements in the HFCAA.</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June 22, 2021, the U.S. Senate passed the Accelerating Holding Foreign Companies Accountable Act, which, if passed by the U.S. House of Representatives and signed into law, would decrease the number of non-inspection years from three years to two, thus reducing the time period before your securities may be prohibited from trading or delisted.</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December 2021, the SEC adopted rules to implement the HFCAA and pursuant to the HFCAA, the PCAOB issued its report notifying the SEC of its determination that it is unable to inspect or investigate completely accounting firms headquartered in PRC or Hong Kong.</w:t>
      </w:r>
    </w:p>
    <w:p>
      <w:pPr>
        <w:spacing w:after="0" w:line="159" w:lineRule="exact"/>
        <w:rPr>
          <w:sz w:val="20"/>
          <w:szCs w:val="20"/>
          <w:color w:val="auto"/>
        </w:rPr>
      </w:pPr>
    </w:p>
    <w:p>
      <w:pPr>
        <w:jc w:val="both"/>
        <w:ind w:firstLine="1009"/>
        <w:spacing w:after="0" w:line="256" w:lineRule="auto"/>
        <w:rPr>
          <w:sz w:val="20"/>
          <w:szCs w:val="20"/>
          <w:color w:val="auto"/>
        </w:rPr>
      </w:pPr>
      <w:r>
        <w:rPr>
          <w:rFonts w:ascii="Times New Roman" w:cs="Times New Roman" w:eastAsia="Times New Roman" w:hAnsi="Times New Roman"/>
          <w:sz w:val="17"/>
          <w:szCs w:val="17"/>
          <w:color w:val="auto"/>
        </w:rPr>
        <w:t>If for whatever reason the PCAOB is unable to conduct full inspections of our auditor, such uncertainty could cause the market price of our Ordinary Shares to be materially and adversely affected, and our securities could be delisted or prohibited from being traded. If our securities were unable to be listed on another securities exchange by then, such a delisting would substantially impair your ability to sell or purchase our Ordinary Shares when you wish to do so, and the risk and uncertainty associated with a potential delisting would have a negative impact on the price of our Ordinary Shares.</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Inspections of other firms that the PCAOB has conducted outside the PRC have identified deficiencies in those firms’ audit procedures and quality control procedures, which may be addressed as part of the inspection process to improve future audit quality. If the PCAOB were unable to conduct full inspections of our auditor, we and the investors in our Ordinary Shares would be deprived of the benefits of such PCAOB inspections. In addition, the inability of the PCAOB to conduct full inspections of auditors would make it more difficult to evaluate the effectiveness of our independent registered public accounting firm’s audit procedures or quality control procedures as compared to auditors that are subject to the PCAOB inspections, which could cause investors and potential investors in our securities to lose confidence in our audit procedures and reported financial information and the quality of our financial statements.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independent registered public accounting firm, UHY LLP, is not subject to the determinations announced by the PCAOB on December 16, 2021. UHY LLP are headquartered in Farmington Hills, Michigan. UHY LLP are not headquartered in the PRC or Hong Kong. The PCAOB currently has access to inspect the working papers of UHY LLP. As a result, we do not believe the HFCAA and related regulations will affect our company. If, however, our independent registered public accounting firm, or its affiliates, were denied, even temporarily, the ability to practice before the SEC and PCAOB, and it were determined that our financial statements or audit reports are not in compliance with the requirements of the U.S. Exchange Act, we could be at risk of delisting or become subject to other penalties that would adversely affect our ability to remain listed on the Nasdaq.</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Cayman Islands Risk Factors</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Because Diginex Limited is incorporated under the laws of the Cayman Islands, you may face difficulties in protecting your interests, and your ability to protect your rights through the U.S. Federal courts may be limited.</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Limited is an exempted company with limited liability incorporated under the laws of the Cayman Islands. As a result, it may be difficult for investors to effect service of process within the United States upon Diginex Limited’s directors or officers, or enforce judgments obtained in the United States courts against Diginex Limited’s directors or officers.</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Diginex Limited’s corporate affairs will be governed by its Amended and Restated Memorandum and Articles, the Companies Act (As Revised) and the common law of the Cayman Islands. Diginex Limited will also be subject to the federal securities laws of the United States. The rights of shareholders to take action against the directors, actions by minority shareholders and the fiduciary responsibilities of Diginex Limited’s directors to Diginex Limited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Diginex Limited’s shareholders and the fiduciary responsibilities of Diginex Limited’s directors under Cayman Islands law are not as clearly established as they would be under statutes or judicial precedent in some jurisdictions in the United States. In particular, the Cayman Islands has a less developed body of securities laws as compared to the United States, and certain states, such as Delaware, may have more fully developed and judicially interpreted bodies of corporate law than the Cayman Islands. In addition, Cayman Islands companies may not have standing to initiate a shareholders derivative action in a Federal court of the United States.</w:t>
      </w:r>
    </w:p>
    <w:p>
      <w:pPr>
        <w:spacing w:after="0" w:line="183"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Shareholders of Cayman Islands exempted companies like Diginex Limited have no general rights under Cayman Islands law to inspect corporate records (other than the memorandum and articles of association and any special resolutions passed by such companies, and the register of mortgages and charges of such companies) or to obtain copies of lists of shareholders of these companies. Diginex Limited’s directors have discretion under its Amended and Restated Memorandum and Articles that became effective immediately prior to completion of the IPO to determine whether or not, and under what conditions, our corporate records may be inspected by our shareholders, but are not obliged to make them available to Diginex Limited’s shareholders. This may make it more difficult for you to obtain the information needed to establish any facts necessary for a shareholder motion or to solicit proxies from other shareholders in connection with a proxy contest.</w:t>
      </w:r>
    </w:p>
    <w:p>
      <w:pPr>
        <w:spacing w:after="0" w:line="16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a result of all of the above, Diginex Limited’s public shareholders may have more difficulty in protecting their interests in the face of actions taken by management, members of Diginex Limited’s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“Description of Securities Capital — Certain Differences in Corporate Law.”</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As a company incorporated in the Cayman Islands, Diginex Limited is permitted to adopt certain home country practices in relation to corporate governance matters that differ significantly from Nasdaq corporate governance listing standards; these practices may afford less protection to shareholders than they would enjoy if Diginex Limited complied fully with Nasdaq corporate governance listing standards.</w:t>
      </w:r>
    </w:p>
    <w:p>
      <w:pPr>
        <w:spacing w:after="0" w:line="16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Diginex Limited is an exempted company with limited liability incorporated under the laws of the Cayman Islands, and has listed the Ordinary Shares on Nasdaq. Nasdaq market rules permit a foreign private issuer like Diginex Limited to follow the corporate governance practices of its home country. Certain corporate governance practices in the Cayman Islands, which is Diginex Limited’s home country, may differ significantly from Nasdaq corporate governance listing standards as, except for general fiduciary duties and duties of care, Cayman Islands law has no corporate governance regime which prescribes specific corporate governance standards.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rely on home country practice with respect to our corporate governance. As a result, our shareholders may be afforded less protection than they otherwise would have under corporate governance listing standards applicable to U.S. domestic issuers. Among others, we will not be required to: (i) obtain shareholders’ approval for issuance of securities in certain situations; or (ii) have regularly scheduled executive sessions with only independent directors each year.</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Diginex Limited has elected to be exempt from the requirement: (i) in Nasdaq Marketplace Rule 5635(a) which sets forth the circumstances under which shareholder approval is required prior to an issuance of securities, other than in a public offering, equal to 20% or more of the voting power outstanding at a price less than the lower of: (a) the Nasdaq Official Closing Price (as reflected on Nasdaq.com) immediately preceding the signing of the binding agreement; or (b) the average Nasdaq Official Closing Price of the common stock (as reflected on Nasdaq.com) for the five trading days immediately preceding the signing of the binding agreement.; (ii) in Nasdaq Marketplace Rule 5620(c) requiring a Nasdaq-listing company to provide in its by-laws for a quorum of at least 33 1/3 percent of the outstanding shares of the Company’s common voting stock; (iii) in Nasdaq marketplace Rule 5605(b)(2) requiring a Nasdaq-listing company to have regularly scheduled meetings at which only independent directors are present; and (iv) in Nasdaq marketplace Rule 5635(c) requires a Nasdaq-listed company to obtain shareholder approval for the establishment of or material amendments to equity compensation.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9" w:name="page30"/>
    <w:bookmarkEnd w:id="29"/>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Provisions in the Diginex Limited’s governance documents may inhibit a takeover of Diginex Limited, which could limit the price investors might be willing to pay in the future for Diginex Limited’s Ordinary Shares and could entrench management.</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Diginex Limited’s governance documents contain provisions that may discourage unsolicited takeover proposals that shareholders may consider to be in their best interests. These provisions include that Diginex Limited may issue additional shares without shareholder approval and such additional shares could be utilized for a variety of corporate purposes, including future offerings to raise additional capital, acquisitions and employee benefit plans. The ability for Diginex Limited to issue additional shares could render more difficult or discourage an attempt to obtain control of us by means of a proxy contest, tender offer, merger or otherwise that could involve the payment of a premium over prevailing market prices for Diginex Limited’s Ordinary Shares.</w:t>
      </w:r>
    </w:p>
    <w:p>
      <w:pPr>
        <w:spacing w:after="0" w:line="17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6"/>
          <w:szCs w:val="16"/>
          <w:b w:val="1"/>
          <w:bCs w:val="1"/>
          <w:i w:val="1"/>
          <w:iCs w:val="1"/>
          <w:color w:val="auto"/>
        </w:rPr>
        <w:t>As a foreign private issuer, Diginex Limited will be exempt from a number of U.S. securities laws and rules promulgated thereunder and will be permitted to publicly disclose less information than U.S. public companies must. This may limit the information available to holders of the Diginex Limited’s Ordinary Shares.</w:t>
      </w:r>
    </w:p>
    <w:p>
      <w:pPr>
        <w:spacing w:after="0" w:line="131"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Diginex Limited qualifies as a “foreign private issuer,” as defined in the SEC’s rules and regulations, and, consequently, Diginex Limited is not subject to all of the disclosure requirements applicable to public companies organized within the United States. For example, Diginex Limited is exempt from certain rules under the Exchange Act that regulate disclosure obligations and procedural requirements related to the solicitation of proxies, consents or authorizations applicable to a security registered under the Exchange Act. In addition, Diginex Limited’s officers and directors are exempt from the reporting and “short-swing” profit recovery provisions of Section 16 of the Exchange Act and related rules with respect to their purchases and sales of Diginex Limited’s securities. For example, some of Diginex Limited’s key executives may sell a significant amount of Diginex Limited’s Ordinary Shares and such sales will not be required to be disclosed as promptly as public companies organized within the United States would have to disclose. Accordingly, once such sales are eventually disclosed, the price of Diginex Limited’s Ordinary Shares may decline significantly. Moreover, Diginex Limited is not required to file periodic reports and financial statements with the SEC as frequently or as promptly as U.S. public companies. Diginex Limited is also not subject to Regulation FD under the Exchange Act, which would prohibit Diginex Limited from selectively disclosing material nonpublic information to certain persons without concurrently making a widespread public disclosure of such information. Accordingly, there may be less publicly available information concerning Diginex Limited than there is for U.S. public companies.</w:t>
      </w:r>
    </w:p>
    <w:p>
      <w:pPr>
        <w:spacing w:after="0" w:line="18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a foreign private issuer, Diginex Limited will file an annual report on Form 20-F within four months of the close of each fiscal year ended March 31 and furnish reports on Form 6-K relating to certain material events promptly after Diginex Limited publicly announces these events. However, because of the above exemptions for foreign private issuers, which Diginex Limited relies on, Diginex Limited shareholders will not be afforded the same information generally available to investors holding shares in public companies that are not foreign private issuers.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 may be unable to present proposals before annual general meetings or extraordinary general meetings not called by shareholders.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Cayman Islands law provides shareholders with only limited rights to requisition a general meeting and does not provide shareholders with any right to put any proposal before a general meeting. These rights, however, may be provided in a company’s articles of association. Diginex Limited’s amended and restated articles of association allow one or more of our shareholders who together hold not less than 10% of the rights to vote to requisition a general meeting of our shareholders, in which case our directors are obliged to call such meeting. Advance notice of at least five (5) clear days is required to be given to the shareholders for the convening of any general meeting. A quorum required for a general meeting is one or more holders holding shares that represent not less than one-third of the outstanding shares of the Company carrying the right to vote at such general meeting. For these purposes, “clear days” means that period excluding (a) the day when the notice is given or deemed to be given and (b) the day for which it is given or on which it is to take effect.</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Because Diginex Limited is a foreign private issuer and is exempt from certain Nasdaq corporate governance standards applicable to U.S. issuers, you will have less protection than you would have if it were a domestic issuer.</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Diginex Limited’s status as a foreign private issuer exempts it from compliance with certain Nasdaq corporate governance requirements if it instead complies with the statutory requirements applicable to a Cayman Islands exempted company. The statutory requirements of Diginex Limited’s home country of Cayman Islands do not strictly require a majority of its board to consist of independent directors, unless required by Nasdaq rules. Thus, although a director must act in the best interests of Diginex Limited, it is possible that fewer board members will be exercising independent judgment and the level of board oversight on the management of Diginex Limited may decrease as a result. In addition, the Nasdaq Listing Rules also require U.S. domestic issuers to have an independent compensation committee with a minimum of two members, a nominating committee, and an independent audit committee with a minimum of three members. Diginex Limited, as a foreign private issuer, with the exception of needing an independent audit committee composed of at least three members, is not subject to these requirements. The Nasdaq Listing Rules may also require shareholder approval for certain corporate matters that Diginex Limited’s home country’s rules do not. Following Cayman Islands governance practices, as opposed to complying with the requirements applicable to a U.S. company listed on Nasdaq, may provide less protection to you than would otherwise be the case.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Limited may lose its foreign private issuer status in the future, which could result in significant additional costs and expenses.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a “foreign private issuer,” Diginex Limited would not be required to comply with all of the periodic disclosure and current reporting requirements of the Exchange Act and related rules and regulations. Under those rules, the determination of foreign private issuer status is made annually on the last business day of an issuer’s most recently completed second fiscal quarter, and, accordingly, the next determination will be made with respect to Diginex on September 30, 2025.</w:t>
      </w:r>
    </w:p>
    <w:p>
      <w:pPr>
        <w:spacing w:after="0" w:line="169"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In the future, Diginex Limited could lose its foreign private issuer status if a majority of its Ordinary Shares are held by residents in the United States and it fails to meet any one of the additional “business contacts” requirements. Although Diginex Limited intends to follow certain practices that are consistent with U.S. regulatory provisions applicable to U.S. companies, Diginex Limited’s loss of foreign private issuer status would make such provisions mandatory. The regulatory and compliance costs to Diginex Limited under U.S. securities laws if it is deemed a U.S. domestic issuer may be significantly higher. If Diginex Limited is not a foreign private issuer, Diginex Limited will be required to file periodic reports and prospectuses on U.S. domestic issuer forms with the SEC, which are more detailed and extensive than the forms available to a foreign private issuer. For example, Diginex Limited would become subject to the Regulation FD, aimed at preventing issuers from making selective disclosures of material information. Diginex Limited also may be required to modify certain of its policies to comply with good governance practices associated with U.S. domestic issuers. Such conversion and modifications will involve additional costs. In addition, Diginex Limited may lose its ability to rely upon exemptions from certain corporate governance requirements of Nasdaq that are available to foreign private issuers. For example, Nasdaq’s corporate governance rules require listed companies to have, among other things, a majority of independent board members and independent director oversight of executive compensation, nomination of directors, and corporate governance matters. Nasdaq rules also require shareholder approval of certain share issuances, including approval of equity compensation plans. As a foreign private issuer, Diginex Limited would be permitted to follow home country practice in lieu of the above requirements. As long as Diginex Limited relies on the foreign private issuer exemption to certain of Nasdaq’s corporate governance standards, a majority of the directors on its board of directors are not required to be independent directors, its remuneration committee is not required to be comprised entirely of independent directors and it will not be required to have a nominating and corporate governance committee, unless otherwise required by Nasdaq rules. If Diginex Limited loses its foreign private issuer status and fails to comply with U.S. securities laws applicable to U.S. domestic issuers, Diginex Limited may have to de-list from Nasdaq and could be subject to investigation by the SEC, Nasdaq and other regulators, among other materially adverse consequences.</w:t>
      </w:r>
    </w:p>
    <w:p>
      <w:pPr>
        <w:spacing w:after="0" w:line="1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currently do not expect to pay dividends in the foreseeable future and you must rely on price appreciation of our Ordinary Shares for a return on your investment.</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currently intend to retain most, if not all, of our available funds and any future earnings to fund our development and growth. As a result, we do not expect to pay any cash dividends in the foreseeable future. Therefore, you should not rely on an investment in our Ordinary Shares as a source for any future dividend income.</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the operating entities, our financial condition, contractual restrictions and other factors deemed relevant by our board of directors. Accordingly, the return on your investment in our Ordinary Shares will likely depend entirely upon any future price appreciation of our Ordinary Shares. There is no guarantee that our Ordinary Shares will appreciate in value or even maintain the price at which you purchased Ordinary Shares. You may not realize a return on your investment in our Ordinary Shares and you may even lose your entire investment in our Ordinary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Taxation</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classified as a passive foreign investment company, or PFIC, for U.S. federal income tax purposes for the current taxable year, which could result in adverse U.S. federal income tax consequences for U.S. Holders of our Shares.</w:t>
      </w:r>
    </w:p>
    <w:p>
      <w:pPr>
        <w:spacing w:after="0" w:line="15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general, we will be treated as a passive foreign investment company (“PFIC”)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 taxable year (or portion thereof) that is included in the holding period of a U.S. Holder (as defined in the Section of this Prospectus captioned “U.S. Federal Income Tax Considerations”) of our securities, the U.S. Holder may be subject to increased U.S. federal income tax liability and may be subject to additional reporting requirements. The determination of whether we are a PFIC is a fact-intensive determination made on an annual basis applying principles and methodologies that in some circumstances are unclear and subject to varying interpretation. Our actual PFIC status for any taxable year will not be determinable until after the end of such taxable year. Accordingly, there can be no assurance with respect to our status as a PFIC for our current taxable year or any subsequent taxable year. We urge U.S. Holders to consult their own tax advisors regarding the possible application of the PFIC rules in light of their individual circumstances.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Diginex Limited has limited experience operating as a public company and fulfilling its obligations as a U.S. reporting company may be expensive and time consuming.</w:t>
      </w:r>
    </w:p>
    <w:p>
      <w:pPr>
        <w:spacing w:after="0" w:line="15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Only one member of the Company’s executive officers has past experience in operating a U.S. public company, which makes their ability to comply with applicable laws, rules and regulations uncertain. The Company’s failure to comply with all laws, rules and regulations applicable to U.S. public companies could subject Diginex or its management to regulatory scrutiny or sanction, which could harm the Company’s reputation and share price.</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As a public company Diginex Limited will incur significant legal, accounting, and other expenses that it did not incur as a private company. Diginex Limited is subject to reporting requirements of the Exchange Act, the Sarbanes-Oxley Act, the rules subsequently implemented by the SEC, the rules and regulations of the listing standards of The Nasdaq Stock Market LLC, or Nasdaq, and other applicable securities rules and regulations. Stockholder activism, the current political and social environment and the current high level of government intervention and regulatory reform may lead to substantial new regulations and disclosure obligations, which will likely result in additional compliance costs and could impact the manner in which Diginex operates its business in ways Diginex cannot currently anticipate. Compliance with these rules and regulations may strain Diginex’s financial and management systems, internal controls, and employees. The Exchange Act requires, among other things, that Diginex Limited files annual, half yearly, and current reports with respect to its business and operating results. Moreover, the Sarbanes-Oxley Act requires, among other things, that Diginex Limited maintains effective disclosure controls and procedures, and internal control, over financial reporting. In order to maintain and, if required, improve disclosure controls and procedures, and internal control over, financial reporting to meet this standard, significant resources and management oversight may be required. If Diginex Limited encounters material weaknesses or deficiencies in internal control over financial reporting, Diginex Limited may not detect errors on a timely basis and its consolidated financial statements may be materially misstated. Effective internal control is necessary for Diginex Limited to produce reliable financial reports and is important to prevent fraud.</w:t>
      </w:r>
    </w:p>
    <w:p>
      <w:pPr>
        <w:spacing w:after="0" w:line="179"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Diginex Limited, as an emerging growth company, is not required to have its independent auditor attestation of management assessment of its internal controls over financial reporting. However, when Diginex Limited ceases to be an emerging growth company, its independent registered public accounting firm may be required to formally attest to the effectiveness of internal control over financial reporting at some point in the future on Form 20-F. Diginex Limited expects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Diginex’s management attention may be diverted from other business concerns, which could harm the business, operating results, and financial condition. Diginex finance team is not large and it may need to hire more employees in the future, or engage outside consultants, which will increase operating expenses.</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also expects that being a public company and complying with applicable rules and regulations will make it more expensive for it to obtain director and officer liability insurance, and Diginex may be required to incur substantially higher costs to obtain and maintain the same or similar coverage. These factors could also make it more difficult for Diginex to attract and retain qualified members of its board of directors and qualified executive officers.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 potential failure to maintain effective internal control over financial reporting in accordance with Section 404 of the Sarbanes-Oxley Act could have a material adverse effect on Diginex’s business, financial condition, and results of operations. Diginex may be unable to accurately report Diginex’s financial results or prevent fraud if Diginex cannot maintain an effective system of internal controls over Diginex’s financial reporting.</w:t>
      </w:r>
    </w:p>
    <w:p>
      <w:pPr>
        <w:spacing w:after="0" w:line="16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Diginex will be subject to reporting obligations under the U.S. securities laws. The Securities and Exchange Commission, or the “SEC,” as required by Section 404 of the Sarbanes-Oxley Act of 2002, or the “Sarbanes-Oxley Act,” adopted rules requiring every public company to include a management report on such company’s internal controls over financial reporting in its annual report, which contains management’s assessment of the effectiveness of the company’s internal controls over financial reporting. Diginex Limited is an “emerging growth company,” and are expected to first include a management report on Diginex’s internal controls over financial reporting in Diginex Limited’s second annual report after the close of its initial public offering, which is for the fiscal year ended March 31, 2026. Diginex’s management may conclude that Diginex Limited’s internal controls over Diginex’s financial reporting are not effective, and Diginex Limited’s reporting obligations as a public company will place a significant strain on Diginex’s management, operational and financial resources, and systems for the foreseeable future, which will increase Diginex’s operating expenses.</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establishment of effective internal controls over financial reporting is necessary for Diginex Limited to produce reliable financial reports and are important to help prevent fraud. Diginex’s failure to achieve and maintain effective internal controls over financial reporting could consequently result in a loss of investor confidence in the reliability of Diginex Limited’s financial statements, which in turn could harm Diginex’s business and negatively impact the trading price of Diginex Limited’s stock. Diginex Limited anticipate that it will incur considerable costs and devote significant management time and efforts and other resources to comply with Section 404 of the Sarbanes-Oxley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2" w:name="page33"/>
    <w:bookmarkEnd w:id="32"/>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establish and maintain proper internal financial reporting controls, our ability to produce accurate financial statements or comply with applicable regulations could be impaired.</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Pursuant to Section 404 of the Sarbanes-Oxley Act, we will be required to file a report by our management on our internal control over financial reporting. In addition, an attestation report on internal control over financial reporting issued by our independent registered public accounting firm may be required. While we remain an emerging growth company, we will not be required to include an attestation report on internal control over financial reporting issued by our independent registered public accounting firm. We might not identify one or more material weaknesses in our internal controls in connection with evaluating our compliance with Section 404 of the Sarbanes-Oxley Act.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JOBS Act permits “emerging growth companies” like Diginex Limited to take advantage of certain exemptions from various reporting requirements applicable to other public companies that are not emerging growth companies.</w:t>
      </w:r>
    </w:p>
    <w:p>
      <w:pPr>
        <w:spacing w:after="0" w:line="155"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Diginex Limited is an “emerging growth company” as defined in Section 2(a)(19) of the Securities Act, as modified by the Jumpstart Our Business Startups Act of 2012 (the “JOBS Act”). The JOBS Act defines an emerging growth company as a company that has annual gross revenues of less than $1.235 billion during its most recent fiscal year and has not sold common stock under a registration statement. A company will be classified as an emerging growth company for its first five fiscal years, unless: its gross revenues exceed $1.235 billion, it has issued over $1 billion in non-convertible debt over three years, or it becomes a large accelerated filer. SEC Rule 12b-2 provides that a large accelerated filer is a company that has a public float of greater than $700 million, has been filing periodic reports for at least 12 months, has previously filed at least one annual report (e.g. Form 20-F), and is not a smaller reporting company. That is, a large accelerated filer is simply an accelerated filer whose public float exceeds $700 million. As such, Diginex Limited takes advantage of certain exemptions from various reporting requirements applicable to other public companies based on its status as an emerging growth company. Pursuant to Section 404 of the Sarbanes-Oxley Act, once Diginex Limited is no longer an emerging growth company, Diginex Limited may be required to furnish an attestation report on internal control over financial reporting issued by Diginex Limited’s independent registered public accounting firm. When Diginex Limited’s independent registered public accounting firm is required to undertake an assessment of its internal control over financial reporting, the cost of complying with Section 404 of the Sarbanes-Oxley Act will significantly increase, and management’s attention may be diverted from other business concerns, which could adversely affect Diginex’s business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major shareholder has substantial influence over our Company and his interests may not be aligned with the interests of our other shareholders.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of the date of this Prospectus, our major shareholder, beneficially owns an aggregate of approximately 69.5% of our issued and outstanding Ordinary Shares, assuming the exercise of 11,250,000 IPO Warrants held by our major shareholder and the prior exercise of the 4,170,520 warrants held by our major shareholder, which if fully exercised would result in the major shareholder being issued additional 12,874,319 Ordinary Shares as at the date of this prospectus. As a result of this major shareholder’s substantial beneficial ownership, he has a substantial influence over our business, including decisions regarding acquisitions, mergers, consolidations and the sale of all or substantially all of our assets, election of directors and other significant corporate actions. This shareholder may take actions that are not in the best interests of us or our other shareholders. This concentration of ownership may discourage, delay or prevent a change in control of our company, which could deprive our shareholders of an opportunity to receive a premium for their shares as part of a sale of our company and might reduce the price of our Ordinary Shares. These actions may be taken even if they are opposed by our other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meet the continued listing requirements of Nasdaq could result in a de-listing of our Ordinary Shares and penny stock trading.</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If we fail to satisfy the applicable continued listing requirements to maintain the listing of our Ordering Shares on The Nasdaq Capital Market, Nasdaq may commence delisting procedures against our Company (during which we may have additional time of up to six months to appeal and correct our non-compliance). If our Ordinary Shares are ultimately delisted from Nasdaq, our Ordinary Shares would likely then trade only in the over-the-counter market and the market liquidity of our Ordinary Shares could be adversely affected and their market price could decrease. If our Ordinary Shares were to trade on the over-the-counter market, selling our Ordinary Shares could be more difficult because smaller quantities of shares would likely be bought and sold, transactions could be delayed, and we could face significant material adverse consequences, including: a limited availability of market quotations for our securities; reduced liquidity with respect to our securities; a determination that our shares are a “penny stock,” which will require brokers trading in our securities to adhere to more stringent rules, possibly resulting in a reduced level of trading activity in the secondary trading market for our securities; a reduced amount of news and analyst coverage for our Company; and a decreased ability to issue additional securities or obtain additional financing in the future. These factors could result in lower prices and larger spreads in the bid and ask prices for our Ordinary Shares and would substantially impair our ability to raise additional funds and could result in a loss of institutional investor interest and fewer development opportunities for us.</w:t>
      </w:r>
    </w:p>
    <w:p>
      <w:pPr>
        <w:spacing w:after="0" w:line="181"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addition to the foregoing, if our Ordinary Shares are ultimately delisted from Nasdaq and they trade on the over-the-counter market, the application of the “penny stock” rules could adversely affect the market price of our Ordinary Shares and increase the transaction costs to sell those shares. The SEC has adopted regulations which generally define a “penny stock” as an equity security that has a market price of less than $5.00 per share, subject to specific exemptions. If our Ordinary Shares are ultimately delisted from Nasdaq and then trade on the over-the-counter market at a price of less than $5.00 per share, our Ordinary Shares would be considered a penny stock. The SEC’s penny stock rules require a broker-dealer, before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the salesperson in the transaction, and monthly account statements showing the market value of each penny stock held in the customer’s account. In addition, the penny stock rules generally require that before a transaction in a penny stock occurs, the broker-dealer must make a special written determination that the penny stock is a suitable investment for the purchaser and receive the purchaser’s agreement to the transaction. If applicable in the future, these rules may restrict the ability of brokers-dealers to sell our Ordinary Shares and may affect the ability of investors to sell their shares, until our Ordinary Shares no longer is considered a penny stock.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3" w:name="page34"/>
    <w:bookmarkEnd w:id="33"/>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securities industry analysts do not publish research reports on Diginex Limited, or publish unfavorable reports on Diginex Limited, then the market price and market trading volume of Diginex Limited’s Ordinary Shares could be negatively affected.</w:t>
      </w:r>
    </w:p>
    <w:p>
      <w:pPr>
        <w:spacing w:after="0" w:line="15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Any trading market for Diginex Limited Ordinary Shares may be influenced in part by any research reports that securities industry analysts publish about Diginex Limited. Diginex Limited does not currently have and may never obtain research coverage by securities industry analysts. If no securities industry analysts commence coverage of Diginex Limited, the market price and market trading volume of Diginex Limited’s Ordinary Shares could be negatively affected. In the event Diginex Limited is covered by analysts, and one or more of such analysts downgrade Diginex Limited shares, or otherwise reports on Diginex Limited unfavorably, or discontinues coverage of Diginex Limited, the market price and market trading volume of Diginex Limited Ordinary Shares could be negatively affected.</w:t>
      </w:r>
    </w:p>
    <w:p>
      <w:pPr>
        <w:spacing w:after="0" w:line="15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Because we are a foreign private issuer and are exempt from certain Nasdaq corporate governance standards applicable to U.S. issuers, you will have less protection than you would have if we were a domestic issuer.</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The Nasdaq Listing Rules require listed companies to have, among other things, a majority of its board members be independent. As a foreign private issuer, however, we are permitted to, and we may follow home country practice in lieu of the above requirements. The corporate governance practice in our home country, the Cayman Islands, does not require a majority of our board to consist of independent directors. In addition, the Nasdaq Listing Rules also require U.S. domestic issuers to have a compensation committee, a nominating/corporate governance committee and an audit committee. We, as a foreign private issuer, are not subject to these requirements. The Nasdaq Listing Rules may require shareholder approval for certain corporate matters, such as requiring that shareholders be given the opportunity to vote on all equity compensation plans and material revisions to those plans, certain ordinary share issuances. We intend to comply with most of the corporate governance requirements of the Nasdaq Listing Rules. However, we may, in the future, consider following home country practice in lieu of the requirements under the Nasdaq Listing Rules with respect to certain corporate governance standards which may afford less protection to investors. In particular, under Nasdaq Listing Rule 5615(a)(3)(A), a foreign private issuer may, in general, follow its home country corporate governance practices in lieu of some of the Nasdaq corporate governance requirements, set forth in the Nasdaq Marketplace Rule 5600 Series (with certain exceptions not relevant here). Diginex Limited has elected to be exempt from the requirement in Nasdaq Marketplace Rule 5635(d) which sets forth the circumstances under which shareholder approval is required prior to an issuance of securities, other than in a public offering, equal to 20% or more of the voting power outstanding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Although as a foreign private issuer we are exempt from certain corporate governance standards applicable to U.S. issuers, if we cannot continue to satisfy, the continued listing requirements and other rules of Nasdaq, our securities may be delisted, which could negatively impact the price of our securities and your ability to sell them.</w:t>
      </w:r>
    </w:p>
    <w:p>
      <w:pPr>
        <w:spacing w:after="0" w:line="168" w:lineRule="exact"/>
        <w:rPr>
          <w:sz w:val="20"/>
          <w:szCs w:val="20"/>
          <w:color w:val="auto"/>
        </w:rPr>
      </w:pPr>
    </w:p>
    <w:p>
      <w:pPr>
        <w:jc w:val="both"/>
        <w:ind w:firstLine="404"/>
        <w:spacing w:after="0" w:line="254" w:lineRule="auto"/>
        <w:rPr>
          <w:sz w:val="20"/>
          <w:szCs w:val="20"/>
          <w:color w:val="auto"/>
        </w:rPr>
      </w:pPr>
      <w:r>
        <w:rPr>
          <w:rFonts w:ascii="Times New Roman" w:cs="Times New Roman" w:eastAsia="Times New Roman" w:hAnsi="Times New Roman"/>
          <w:sz w:val="17"/>
          <w:szCs w:val="17"/>
          <w:color w:val="auto"/>
        </w:rPr>
        <w:t>In order to maintain our listing on Nasdaq, we will be required to comply with certain rules of Nasdaq, including those regarding minimum stockholders’ equity, minimum share price, minimum market value of publicly held shares, and various additional requirements. Although we initially met the listing requirements and other applicable rules of Nasdaq, we may not be able to continue to satisfy these requirements and applicable rules. If we are unable to satisfy the criteria of Nasdaq for maintaining our listing, our securities could be subject to delisting, which would have a negative effect on the price of our Ordinary Shares and impair your ability to sell your shares.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If Nasdaq subsequently delists our securities from trading, we could face significant consequences, including:</w:t>
      </w:r>
    </w:p>
    <w:p>
      <w:pPr>
        <w:spacing w:after="0" w:line="208" w:lineRule="exact"/>
        <w:rPr>
          <w:sz w:val="20"/>
          <w:szCs w:val="20"/>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availability for market quotations for our Ordinary Shares;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liquidity with respect to our Ordinary Shares;</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Ordinary Shares are “penny stock,” which will require brokers trading in our Ordinary Shares to adhere to more stringent rules and possibly result in a reduced level of trading activity in the secondary trading market for our Ordinary Shares;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amount of news and analyst coverage;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decreased ability to issue additional securities or obtain additional financing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cease to qualify as a foreign private issuer, we would be required to comply fully with the reporting requirements of the Exchange Act applicable to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domestic issuers, and we would incur significant additional legal, accounting and other expenses that we would not incur as a foreign private issuer.</w:t>
      </w:r>
    </w:p>
    <w:p>
      <w:pPr>
        <w:spacing w:after="0" w:line="192" w:lineRule="exact"/>
        <w:rPr>
          <w:sz w:val="20"/>
          <w:szCs w:val="20"/>
          <w:color w:val="auto"/>
        </w:rPr>
      </w:pPr>
    </w:p>
    <w:p>
      <w:pPr>
        <w:jc w:val="both"/>
        <w:ind w:firstLine="404"/>
        <w:spacing w:after="0" w:line="252" w:lineRule="auto"/>
        <w:rPr>
          <w:sz w:val="20"/>
          <w:szCs w:val="20"/>
          <w:color w:val="auto"/>
        </w:rPr>
      </w:pPr>
      <w:r>
        <w:rPr>
          <w:rFonts w:ascii="Times New Roman" w:cs="Times New Roman" w:eastAsia="Times New Roman" w:hAnsi="Times New Roman"/>
          <w:sz w:val="17"/>
          <w:szCs w:val="17"/>
          <w:color w:val="auto"/>
        </w:rPr>
        <w:t>We qualify as a foreign private issuer as of the date of this Prospectus. As a foreign private issuer, we are exempt from the rules under the Exchange Act prescribing the furnishing and content of proxy statements, and our officers, directors and principal shareholders will be exempt from the reporting and short-swing profit recovery provisions contained in Section 16 of the Exchange Act. In addition, we are not required under the Exchange Act to file periodic reports and financial statements with the SEC as frequently or as promptly as U.S. domestic issuers and are not required to disclose in our periodic reports all of the information that U.S. domestic issuers are required to disclose. We may cease to qualify as a foreign private issuer in the future, and consequently, we would be required to fully comply with the reporting requirements of the Exchange Act applicable to U.S. domestic issuers, and we would incur significant additional legal, accounting and other expenses that we would not incur as a foreign private issuer.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4" w:name="page35"/>
    <w:bookmarkEnd w:id="34"/>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r>
        <w:rPr>
          <w:rFonts w:ascii="Times New Roman" w:cs="Times New Roman" w:eastAsia="Times New Roman" w:hAnsi="Times New Roman"/>
          <w:sz w:val="17"/>
          <w:szCs w:val="17"/>
          <w:b w:val="1"/>
          <w:bCs w:val="1"/>
          <w:color w:val="auto"/>
        </w:rPr>
        <w:t>.</w:t>
      </w:r>
    </w:p>
    <w:p>
      <w:pPr>
        <w:spacing w:after="0" w:line="155" w:lineRule="exact"/>
        <w:rPr>
          <w:sz w:val="20"/>
          <w:szCs w:val="20"/>
          <w:color w:val="auto"/>
        </w:rPr>
      </w:pPr>
    </w:p>
    <w:p>
      <w:pPr>
        <w:jc w:val="both"/>
        <w:ind w:firstLine="404"/>
        <w:spacing w:after="0" w:line="251" w:lineRule="auto"/>
        <w:rPr>
          <w:sz w:val="20"/>
          <w:szCs w:val="20"/>
          <w:color w:val="auto"/>
        </w:rPr>
      </w:pPr>
      <w:r>
        <w:rPr>
          <w:rFonts w:ascii="Times New Roman" w:cs="Times New Roman" w:eastAsia="Times New Roman" w:hAnsi="Times New Roman"/>
          <w:sz w:val="17"/>
          <w:szCs w:val="17"/>
          <w:color w:val="auto"/>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comparisons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As an “emerging growth company” under applicable law, we will be subject to lessened disclosure requirements. Such reduced disclosure may make our Ordinary Shares less attractive to investors.</w:t>
      </w:r>
    </w:p>
    <w:p>
      <w:pPr>
        <w:spacing w:after="0" w:line="155" w:lineRule="exact"/>
        <w:rPr>
          <w:sz w:val="20"/>
          <w:szCs w:val="20"/>
          <w:color w:val="auto"/>
        </w:rPr>
      </w:pPr>
    </w:p>
    <w:p>
      <w:pPr>
        <w:jc w:val="both"/>
        <w:ind w:firstLine="404"/>
        <w:spacing w:after="0" w:line="252" w:lineRule="auto"/>
        <w:rPr>
          <w:sz w:val="20"/>
          <w:szCs w:val="20"/>
          <w:color w:val="auto"/>
        </w:rPr>
      </w:pPr>
      <w:r>
        <w:rPr>
          <w:rFonts w:ascii="Times New Roman" w:cs="Times New Roman" w:eastAsia="Times New Roman" w:hAnsi="Times New Roman"/>
          <w:sz w:val="17"/>
          <w:szCs w:val="17"/>
          <w:color w:val="auto"/>
        </w:rPr>
        <w:t>For as long as we remain an “emerging growth company,” as defined in the JOBS Act,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Because of these lessened regulatory requirements, our shareholders would be left without information or rights available to shareholders of more mature companies. If some investors find our Ordinary Shares less attractive as a result, there may be a less active trading market for our Ordinary Shares and our share price may be more volatile.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incur increased costs as a result of being a public company, particularly after we cease to qualify as an “emerging growth company.”</w:t>
      </w:r>
    </w:p>
    <w:p>
      <w:pPr>
        <w:spacing w:after="0" w:line="212" w:lineRule="exact"/>
        <w:rPr>
          <w:sz w:val="20"/>
          <w:szCs w:val="20"/>
          <w:color w:val="auto"/>
        </w:rPr>
      </w:pPr>
    </w:p>
    <w:p>
      <w:pPr>
        <w:jc w:val="both"/>
        <w:ind w:firstLine="404"/>
        <w:spacing w:after="0" w:line="261" w:lineRule="auto"/>
        <w:rPr>
          <w:sz w:val="20"/>
          <w:szCs w:val="20"/>
          <w:color w:val="auto"/>
        </w:rPr>
      </w:pPr>
      <w:r>
        <w:rPr>
          <w:rFonts w:ascii="Times New Roman" w:cs="Times New Roman" w:eastAsia="Times New Roman" w:hAnsi="Times New Roman"/>
          <w:sz w:val="17"/>
          <w:szCs w:val="17"/>
          <w:color w:val="auto"/>
        </w:rPr>
        <w:t>As a newly publicly traded company, we will incur significant legal, accounting and other expenses as a public company that we did not incur as a private company. The Sarbanes-Oxley Act of 2002, as well as rules subsequently implemented by the SEC, Nasdaq Stock Market, impose various requirements on the corporate governance practices of public companies.</w:t>
      </w:r>
    </w:p>
    <w:p>
      <w:pPr>
        <w:spacing w:after="0" w:line="169" w:lineRule="exact"/>
        <w:rPr>
          <w:sz w:val="20"/>
          <w:szCs w:val="20"/>
          <w:color w:val="auto"/>
        </w:rPr>
      </w:pPr>
    </w:p>
    <w:p>
      <w:pPr>
        <w:jc w:val="both"/>
        <w:ind w:firstLine="404"/>
        <w:spacing w:after="0" w:line="251" w:lineRule="auto"/>
        <w:rPr>
          <w:sz w:val="20"/>
          <w:szCs w:val="20"/>
          <w:color w:val="auto"/>
        </w:rPr>
      </w:pPr>
      <w:r>
        <w:rPr>
          <w:rFonts w:ascii="Times New Roman" w:cs="Times New Roman" w:eastAsia="Times New Roman" w:hAnsi="Times New Roman"/>
          <w:sz w:val="17"/>
          <w:szCs w:val="17"/>
          <w:color w:val="auto"/>
        </w:rPr>
        <w:t>Compliance with these rules and regulations increases our legal and financial compliance costs and makes some corporate activities more time-consuming and costly. After we are no longer an “emerging growth company,” or until five years following the completion of our initial public offering, whichever is earlier, we expect to incur significant expenses and devote substantial management effort toward ensuring compliance with the requirements of Section 404 and the other rules and regulations of the SEC. For example, as a public company, we have been required to increase the number of independent directors and adopt policies regarding internal controls and disclosure controls and procedures. We have incurred additional costs in obtaining director and officer liability insurance. In addition, we will incur additional costs associated with our public company reporting requirements. It may also be more difficult or costly for us to find qualified persons to serve on our board of directors or as executive officers as a public company. We are currently evaluating and monitoring developments with respect to these rules and regulations, and we cannot predict or estimate with any degree of certainty the amount of additional costs we may incur or the timing of such costs.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Ordinary Shares may be thinly traded and you may be unable to sell at or near ask prices or at all if you need to sell your shares to raise money or otherwise desire to liquidate your shares.</w:t>
      </w:r>
    </w:p>
    <w:p>
      <w:pPr>
        <w:spacing w:after="0" w:line="155" w:lineRule="exact"/>
        <w:rPr>
          <w:sz w:val="20"/>
          <w:szCs w:val="20"/>
          <w:color w:val="auto"/>
        </w:rPr>
      </w:pPr>
    </w:p>
    <w:p>
      <w:pPr>
        <w:jc w:val="both"/>
        <w:ind w:firstLine="404"/>
        <w:spacing w:after="0" w:line="252" w:lineRule="auto"/>
        <w:rPr>
          <w:sz w:val="20"/>
          <w:szCs w:val="20"/>
          <w:color w:val="auto"/>
        </w:rPr>
      </w:pPr>
      <w:r>
        <w:rPr>
          <w:rFonts w:ascii="Times New Roman" w:cs="Times New Roman" w:eastAsia="Times New Roman" w:hAnsi="Times New Roman"/>
          <w:sz w:val="17"/>
          <w:szCs w:val="17"/>
          <w:color w:val="auto"/>
        </w:rPr>
        <w:t>Our Ordinary Shares may be “thinly-traded”, meaning that the number of persons interested in purchasing our Ordinary Shares at or near bid prices at any given time may be relatively small or non-existent. This situation may be attributable to a number of factors, including the fact that we are relatively unknown to stock analysts, stock brokers, institutional investors and others in the investment community that generate or influence sales volume, and that even if we came to the attention of such persons, they tend to be risk-averse and might be reluctant to follow an unproven company such as ours or purchase or recommend the purchase of our shares until such time as we become more seasoned.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A broad or active public trading market for our Ordinary Shares may not develop or be sustained.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5" w:name="page36"/>
    <w:bookmarkEnd w:id="35"/>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meet applicable continued requirements, Nasdaq may delist our Ordinary Shares from trading, in which case the liquidity and market price of our Ordinary Shares could decline.</w:t>
      </w:r>
    </w:p>
    <w:p>
      <w:pPr>
        <w:spacing w:after="0" w:line="155" w:lineRule="exact"/>
        <w:rPr>
          <w:sz w:val="20"/>
          <w:szCs w:val="20"/>
          <w:color w:val="auto"/>
        </w:rPr>
      </w:pPr>
    </w:p>
    <w:p>
      <w:pPr>
        <w:jc w:val="both"/>
        <w:ind w:firstLine="404"/>
        <w:spacing w:after="0" w:line="261" w:lineRule="auto"/>
        <w:rPr>
          <w:sz w:val="20"/>
          <w:szCs w:val="20"/>
          <w:color w:val="auto"/>
        </w:rPr>
      </w:pPr>
      <w:r>
        <w:rPr>
          <w:rFonts w:ascii="Times New Roman" w:cs="Times New Roman" w:eastAsia="Times New Roman" w:hAnsi="Times New Roman"/>
          <w:sz w:val="17"/>
          <w:szCs w:val="17"/>
          <w:color w:val="auto"/>
        </w:rPr>
        <w:t>Although our Ordinary Shares are listed on Nasdaq, we cannot assure you that we will be able to meet the continued listing standards of Nasdaq in the future. If we fail to comply with the applicable listing standards and Nasdaq delists our Ordinary Shares, we and our Shareholders could face significant material adverse consequences, including:</w:t>
      </w:r>
    </w:p>
    <w:p>
      <w:pPr>
        <w:spacing w:after="0" w:line="169" w:lineRule="exact"/>
        <w:rPr>
          <w:sz w:val="20"/>
          <w:szCs w:val="20"/>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availability of market quotations for our Ordinary Shares;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liquidity for our Ordinary Shares;</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Ordinary Shares are “penny stock”, which would require brokers trading in our Ordinary Shares to adhere to more stringent rules and possibly result in a reduced level of trading activity in the secondary trading market for our Ordinary Shares;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amount of news about us and analyst coverage of us;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decreased ability for us to issue additional equity securities or obtain additional equity or debt financing in the future.</w:t>
      </w:r>
    </w:p>
    <w:p>
      <w:pPr>
        <w:spacing w:after="0" w:line="192" w:lineRule="exact"/>
        <w:rPr>
          <w:sz w:val="20"/>
          <w:szCs w:val="20"/>
          <w:color w:val="auto"/>
        </w:rPr>
      </w:pPr>
    </w:p>
    <w:p>
      <w:pPr>
        <w:jc w:val="both"/>
        <w:ind w:firstLine="404"/>
        <w:spacing w:after="0" w:line="254" w:lineRule="auto"/>
        <w:rPr>
          <w:sz w:val="20"/>
          <w:szCs w:val="20"/>
          <w:color w:val="auto"/>
        </w:rPr>
      </w:pPr>
      <w:r>
        <w:rPr>
          <w:rFonts w:ascii="Times New Roman" w:cs="Times New Roman" w:eastAsia="Times New Roman" w:hAnsi="Times New Roman"/>
          <w:sz w:val="17"/>
          <w:szCs w:val="17"/>
          <w:color w:val="auto"/>
        </w:rPr>
        <w:t>The National Securities Markets Improvement Act of 1996, which is a federal statute, prevents or pre-empts the states from regulating the sale of certain securities, which are referred to as “covered securities.” Because Ordinary Shares are listed on Nasdaq, such securities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regulations in each state in which we offer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w:t>
      </w:r>
    </w:p>
    <w:p>
      <w:pPr>
        <w:spacing w:after="0" w:line="212" w:lineRule="exact"/>
        <w:rPr>
          <w:sz w:val="20"/>
          <w:szCs w:val="20"/>
          <w:color w:val="auto"/>
        </w:rPr>
      </w:pPr>
    </w:p>
    <w:p>
      <w:pPr>
        <w:jc w:val="both"/>
        <w:ind w:firstLine="404"/>
        <w:spacing w:after="0" w:line="274" w:lineRule="auto"/>
        <w:rPr>
          <w:sz w:val="20"/>
          <w:szCs w:val="20"/>
          <w:color w:val="auto"/>
        </w:rPr>
      </w:pPr>
      <w:r>
        <w:rPr>
          <w:rFonts w:ascii="Times New Roman" w:cs="Times New Roman" w:eastAsia="Times New Roman" w:hAnsi="Times New Roman"/>
          <w:sz w:val="17"/>
          <w:szCs w:val="17"/>
          <w:color w:val="auto"/>
        </w:rPr>
        <w:t>We currently intend to retain any future earnings to finance the operations and expansion of our business, and we do not expect to declare or pay any dividends in the foreseeable future. As a result, you may only receive a return on your investment in our Ordinary Shares if the market price of our Ordinary Shares increases.</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 may experience difficulties in effecting service of legal process, enforcing foreign judgments or bringing actions against Diginex Limited or its management named in this Prospectus based on foreign laws.</w:t>
      </w:r>
    </w:p>
    <w:p>
      <w:pPr>
        <w:spacing w:after="0" w:line="15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Diginex Limited is incorporated under the laws of Cayman Islands. Diginex Limited conducts its operations outside the United States and a significant amount of our assets are located outside the United States. In addition, a majority of Diginex Limited’s directors and executive officers named in this Prospectus reside outside the United States, and a significant amount of their assets are located outside the United States. As a result, it may be difficult or impossible for you to bring an action against Diginex Limited or against them in the United States in the event you believe your rights have been infringed under the U.S. federal securities laws or otherwise. Even if you are successful in bringing an action of this kind, the laws of Cayman Islands or other relevant jurisdiction may render you unable to enforce a judgment against Diginex Limited assets or the assets of its directors and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issuance of Diginex Limited’s Ordinary Shares could dilute the interests of existing shareholders.</w:t>
      </w:r>
    </w:p>
    <w:p>
      <w:pPr>
        <w:spacing w:after="0" w:line="212" w:lineRule="exact"/>
        <w:rPr>
          <w:sz w:val="20"/>
          <w:szCs w:val="20"/>
          <w:color w:val="auto"/>
        </w:rPr>
      </w:pPr>
    </w:p>
    <w:p>
      <w:pPr>
        <w:jc w:val="both"/>
        <w:ind w:firstLine="1009"/>
        <w:spacing w:after="0" w:line="254" w:lineRule="auto"/>
        <w:rPr>
          <w:sz w:val="20"/>
          <w:szCs w:val="20"/>
          <w:color w:val="auto"/>
        </w:rPr>
      </w:pPr>
      <w:r>
        <w:rPr>
          <w:rFonts w:ascii="Times New Roman" w:cs="Times New Roman" w:eastAsia="Times New Roman" w:hAnsi="Times New Roman"/>
          <w:sz w:val="17"/>
          <w:szCs w:val="17"/>
          <w:color w:val="auto"/>
        </w:rPr>
        <w:t>Diginex Limited may issue additional Ordinary Shares in the future. The issuance of a substantial number of Ordinary Shares could have the effect of substantially diluting the interests of Diginex Limited’s shareholders. In addition, the sale of a substantial amount of Ordinary Shares in the public market, in a situation in which Diginex Limited acquires a company, a business or an asset and the acquired company or the owner of the business or asset receives Ordinary Shares as consideration and the acquired company or the owner of the business or asset subsequently sells its Ordinary Shares, or by investors who acquired such Ordinary Shares in a private placement, could have an adverse effect on the market price of Diginex Limited’s Ordinary Shares.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Future issuances of debt securities, which would rank senior to Diginex Limited Ordinary Shares upon our bankruptcy or liquidation, and future issuances of preferred shares, which could rank senior to Diginex Limited Ordinary Shares for the purposes of dividends and liquidating distributions, may adversely affect the level of return you may be able to achieve from an investment in Diginex Limited’s Ordinary Shares.</w:t>
      </w:r>
    </w:p>
    <w:p>
      <w:pPr>
        <w:spacing w:after="0" w:line="16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the future, Diginex Limited may attempt to increase capital resources by offering debt securities. Upon bankruptcy or liquidation, holders of Diginex Limited debt securities, and lenders with respect to other borrowings Diginex Limited may make, would receive distributions of Diginex Limited available assets prior to any distributions being made to holders of our Ordinary Shares. Moreover, if Diginex Limited issues Preferred Shares, the holders of such preferred shares could be entitled to preferences over holders of Ordinary Shares in respect of the payment of dividends and the payment of liquidating distributions. Because Diginex Limited’s decision to issue debt or Preferred Shares in any future offering, or borrow money from lenders, will depend in part on market conditions and other factors beyond Diginex Limited’s control, Diginex Limited cannot predict or estimate the amount, timing or nature of any such future offerings or borrowings. Holders of Diginex Limited’s Ordinary Shares must bear the risk that any future offerings Diginex Limited conducts or borrowings Diginex Limited makes may adversely affect the level of return, if any, they may be able to achieve from an investment in Diginex Limited’s Ordinary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Diginex Limited’ Ordinary Shares may be volatile, which could result in substantial losses to investors.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trading price of Diginex Limited’ Ordinary Shares is likely to be volatile and could fluctuate widely due to factors beyond Diginex’s control. This may happen due to broad market and industry factors, such as performance and fluctuation in the market prices or underperformance or deteriorating financial results of other listed companies based in Hong Kong. The securities of some of these companies have experienced significant volatility since their initial public offerings, including, in some cases, substantial price declines in the trading prices of their securities. The trading performances of other Hong Kong companies’ securities after their offerings may affect the attitudes of investors towards Hong Kong-based, U.S.-listed companies, which consequently may affect the trading performance of Diginex Limited’s Ordinary Shares regardless of its actual operating performance. In addition, any negative news or perceptions about inadequate corporate governance practices or fraudulent accounting, corporate structure, or matters of other Hong Kong companies may also negatively affect the attitudes of investors towards Hong Kong companies in general, including Diginex Limited, regardless of whether it has conducted any inappropriate activities. Furthermore, securities markets may from time-to-time experience significant price and volume fluctuations that are not related to Diginex’s operating performance, which may materially and adversely affect the trading price of its Ordinary Shares.</w:t>
      </w:r>
    </w:p>
    <w:p>
      <w:pPr>
        <w:spacing w:after="0" w:line="18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addition to the above factors, the price and trading volume of Diginex Limited’s Ordinary Shares may be highly volatile due to multiple factors, including the following:</w:t>
      </w:r>
    </w:p>
    <w:p>
      <w:pPr>
        <w:spacing w:after="0" w:line="159" w:lineRule="exact"/>
        <w:rPr>
          <w:sz w:val="20"/>
          <w:szCs w:val="20"/>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affecting Diginex or its industry;</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Diginex’s revenue, profit, and cash flow;</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economic performance or market valuations of other related firms;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Diginex’s results of operations and changes or revisions of its expected results;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financial estimates by securities research analysts;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detrimental negative publicity about Diginex, its services, its officers, directors, shareholders, other beneficial owners, its business partners, or its industry;</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Diginex or Diginex competitors of new service offerings, acquisitions, strategic relationships, joint ventures, capital raises, or capital commitments;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regulatory proceedings involving Diginex, its officers, directors, or shareholders;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or perceived potential sales of additional Ordinary Shares.</w:t>
      </w:r>
    </w:p>
    <w:p>
      <w:pPr>
        <w:spacing w:after="0" w:line="19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Any of these factors may result in large and sudden changes in the volume and price at which Diginex Limited’s Ordinary Shares will trade. In the past, shareholders of public companies have often brought securities class action suits against those companies following periods of instability in the market price of their securities. If Diginex were involved in a class action suit, it could divert a significant amount of its management’s attention and other resources from its business and operations and require it to incur significant expenses to defend the suit, which could harm Diginex’s results of operations. Any such class action suit, whether or not successful, could harm Diginex’s reputation and restrict its ability to raise capital in the future. In addition, if a claim is successfully made against Diginex, it may be required to pay significant damages, which could have a material adverse effect on its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insiders beneficially own approximately 70.8% of our total issued and outstanding Ordinary Shares, which may limit your ability to influence our actions.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insiders beneficially own approximately 70.8% of our total issued and outstanding Ordinary Shares and have the power to exert considerable influence over our actions through their ability to effectively control matters requiring shareholder approval, including the determination to enter into a corporate transaction or to prevent a transaction, regardless of whether other shareholders believe that any such transaction is in their or our best interests. We cannot assure you that the interests of our insiders will coincide with the interests of other shareholders. As a result, the market price of our Ordinary Shares could be adversely affected. Additionally, our insiders may effectively control all of our corporate decisions so long as they continue to own a substantial number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 sellers of Diginex Limited’s Ordinary Shares may be manipulative and may drive down the market price of its Ordinary Shares.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Short sellers of Diginex Limited stock may be manipulative and may attempt to drive down the market price of Diginex Limited’s Ordinary Shares. 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as the short seller expects to pay less in the covering purchase than it received in the sale. It is therefore in the short seller’s interest for the price of the stock to decline, and some short sellers publish, or arrange for the publication of, opinions or characterizations regarding the relevant issuer, often involving deliberate misrepresentations of the issuer’s business prospects and similar matters calculated to create negative market momentum.</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a public entity in a highly digital world, Diginex Limited may be the subject of concerted efforts by profiteering short sellers to spread misinformation and misrepresentations in order to gain an illegal market advantage. In addition, the publication of intentional misinformation may also result in lawsuits, the uncertainty and expense of which could adversely impact Diginex’s business, financial condition, and reputation.</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While utilizing all available tools to defend itself and its assets against these short seller efforts, there is limited regulatory control, making such efforts an ongoing concern for any public company. While Diginex moves forward in its business development strategies in good faith, there are no assurances that Diginex will not face these short sellers’ efforts or similar tactics by bad actors in the future, and the market price of its Ordinary Shares may decline as a result of their actions or the action of other short sellers.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i w:val="1"/>
          <w:iCs w:val="1"/>
          <w:color w:val="auto"/>
        </w:rPr>
        <w:t>Volatility in our Ordinary Shares price may subject us to securities litigation.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market for our Ordinary Shares may have, when compared to seasoned issuers, significant price volatility and we expect that our share price may continue to be more volatile than that of a seasoned issuer for the indefinite future.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future sales of Ordinary Shares by existing shareholders, including the sales pursuant to this Prospectus, may adversely affect the market price of our Ordinary Shares.</w:t>
      </w:r>
    </w:p>
    <w:p>
      <w:pPr>
        <w:spacing w:after="0" w:line="155" w:lineRule="exact"/>
        <w:rPr>
          <w:sz w:val="20"/>
          <w:szCs w:val="20"/>
          <w:color w:val="auto"/>
        </w:rPr>
      </w:pPr>
    </w:p>
    <w:p>
      <w:pPr>
        <w:jc w:val="both"/>
        <w:ind w:firstLine="404"/>
        <w:spacing w:after="0" w:line="253" w:lineRule="auto"/>
        <w:rPr>
          <w:sz w:val="20"/>
          <w:szCs w:val="20"/>
          <w:color w:val="auto"/>
        </w:rPr>
      </w:pPr>
      <w:r>
        <w:rPr>
          <w:rFonts w:ascii="Times New Roman" w:cs="Times New Roman" w:eastAsia="Times New Roman" w:hAnsi="Times New Roman"/>
          <w:sz w:val="17"/>
          <w:szCs w:val="17"/>
          <w:color w:val="auto"/>
        </w:rPr>
        <w:t>As a company with relatively small public float we may experience greater stock price volatility, extreme price run-ups, lower trading volume and less liquidity than large public float companies. The sales of a substantial number of registered shares could result in a significant decline in the public trading price of our Ordinary Shares and could impair our ability to raise capital through the sale or issuance of additional Ordinary Shares. We are unable to predict the effect that such sales may have on the prevailing market price of our Ordinary Shares. Despite such a decline in the public trading price, certain Selling Shareholder may still experience a positive rate of return on the Ordinary Shares due to the lower price that they purchased the Ordinary Shares compared to other public investors and may be incentivized to sell their Ordinary Shares when others are not.</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Ordinary Shares are, in addition to the Nasdaq Capital Market, listed to trade on the Frankfurt Stock Exchange (Open Market) and the Tradegate Exchange under the symbol “I0Q.” The cross-listing of our Ordinary Shares may adversely affect the liquidity and value of our Ordinary Shares.</w:t>
      </w:r>
    </w:p>
    <w:p>
      <w:pPr>
        <w:spacing w:after="0" w:line="155" w:lineRule="exact"/>
        <w:rPr>
          <w:sz w:val="20"/>
          <w:szCs w:val="20"/>
          <w:color w:val="auto"/>
        </w:rPr>
      </w:pPr>
    </w:p>
    <w:p>
      <w:pPr>
        <w:jc w:val="both"/>
        <w:ind w:firstLine="404"/>
        <w:spacing w:after="0" w:line="250" w:lineRule="auto"/>
        <w:rPr>
          <w:sz w:val="20"/>
          <w:szCs w:val="20"/>
          <w:color w:val="auto"/>
        </w:rPr>
      </w:pPr>
      <w:r>
        <w:rPr>
          <w:rFonts w:ascii="Times New Roman" w:cs="Times New Roman" w:eastAsia="Times New Roman" w:hAnsi="Times New Roman"/>
          <w:sz w:val="17"/>
          <w:szCs w:val="17"/>
          <w:color w:val="auto"/>
        </w:rPr>
        <w:t>Since February 20, 2025, our Ordinary Shares have, in addition to the Nasdaq Capital Market, been listed to trade on the Frankfurt Stock Exchange (Open Market) and the Tradegate Exchange under the symbol “I0Q.” Cross-listing of securities, also known as interlisting or multi-listing, refers to a company listing its shares on multiple stock exchanges, including its domestic exchange and one or more foreign exchanges. This means our Ordinary Shares can be traded on different exchanges, providing access to a wider range of investors and potentially increasing liquidity. Trading of our Ordinary Shares in these markets will take place in different currencies (U.S. dollars on the Nasdaq Capital Market and Euros on the Frankfurt Stock Exchange and the Tradegate Exchange), and at different times (resulting from different time zones, different trading days and different public holidays in the United States and Germany). Fluctuations in the exchange rate between the currency of the primary listing exchange and the currency of the cross-listing exchange can impact the value of the securities to investors. Changes in exchange rates can affect the value of the investment, regardless of the Company’s underlying performance. The trading prices of our shares on these two markets may differ due to these and other factors, such as the timing of Diginex’s disclosures and press releases. Any decrease in the price of our Ordinary Shares on the Frankfurt Stock Exchange and the Tradegate Exchange could cause a decrease in the trading price of our Ordinary Shares on the Nasdaq Capital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Diginex is unable to successfully identify, hire and retain skilled individuals, it will not be able to implement its growth strategy successfully.</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Diginex’s growth strategy is based, in part, on its ability to attract and retain highly skilled professionals including software engineers. To date, Diginex has been able to locate and engage such employees; however, because of competition from other firms, Diginex may face difficulties in recruiting and retaining professionals of a caliber consistent with its business strategy in the future. If Diginex is unable to successfully identify and retain qualified professionals, it could materially and adversely affect Diginex’s business, financial condition and results of operations.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Diginex’s employee retention plans may not be sufficient to retain key employees, including as it relates to equity compensation plans in place now and in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Competition, including from new market entrants in the future, may cause Diginex’s revenue and earnings to decline.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With the increased importance placed on ESG reporting there could be new market entrants that directly compete with Diginex. Such competitors may have significant competitive advantages, including, the ability to leverage their sales efforts and marketing expenditures across a broader portfolio of services, greater global presence, more established third-party relationships, greater brand recognition, greater financial strength, greater numbers of company and investor clients, larger research and development teams, larger marketing budgets and other advantages over Diginex.</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While Diginex believes its products, services and pricing differentiates it from many such competitors, the business has relatively low barriers to entry and Diginex anticipates that such barriers to entry will become lower in the future. This could lead to fee compression or require Diginex to spend more to modify or adapt its offerings to attract and retain customers and remain competitive with the products and services offered by new competitors in the industry. Increased competition on the basis of any of these factors, including competition leading to fee reductions, could materially and negatively impact Diginex’s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w:t>Diginex’s business lines rely on vendors and third-party service providers.</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Diginex’s operations could be interrupted or disrupted if Diginex’s vendors and third-party service providers, or even the vendors of such vendors and third-party service providers, experience operational or other systems difficulties, terminate their service, fail to comply with regulations, raise their prices or dispute key intellectual property rights sold or licensed to, or developed for, Diginex. Diginex may also suffer the consequences of such vendors and third-party providers’ mistakes. Diginex outsources some of its operational and a large component of its product development and platform maintenance activities and accordingly depends on key relationships with vendors. For example, Diginex relies on vendors and third parties for certain services, including systems development and maintenance and hosting servers. The failure or capacity restraints of vendors and third-party services, a cybersecurity breach involving any third-party service providers or the termination or change in terms or price of a vendors and third-party software license or service agreement on which Diginex relies could interrupt Diginex’s operations. Replacing vendors and third-party service providers or addressing other issues with Diginex’s vendors and third-party service providers could entail significant delay, expense and disruption of service. As a result, if these vendors and third-party service providers experience difficulties, are subject to cybersecurity breaches, terminate their services, dispute the terms intellectual property agreements, or raise their prices, and Diginex is unable to replace them with other vendors and service providers, particularly on a timely basis, Diginex’s operations could be interrupted. If an interruption were to continue for a significant period, Diginex’s business, financial condition and results of operations could be adversely affected. Even if Diginex can replace vendors and third-party providers, it may be at a higher cost to Diginex, which could also adversely affect Diginex’s business, financial condition and results of operations.</w:t>
      </w:r>
    </w:p>
    <w:p>
      <w:pPr>
        <w:spacing w:after="0" w:line="18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Finally, notwithstanding Diginex’s efforts to implement and enforce strong policies and practices regarding third-party service providers, Diginex may not successfully detect and prevent fraud, incompetence or theft by its third-party service providers, which could adversely affect Diginex’s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could be the victim of employee misconduct.</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In recent years, there have been a number of highly publicized cases involving fraud, conflicts of interest, or other misconduct by employees, and there is a risk that an employee of, or contractor to, Diginex or any of its affiliates could engage in misconduct that adversely affects Diginex’s business. It is not always possible to deter such misconduct, and the precautions Diginex takes to detect and prevent such misconduct may not be effective in all cases. Misconduct by an employee of, or contractor to, Diginex or any of its affiliates, or even unsubstantiated allegations of such misconduct, could result in direct financial harm to Diginex.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may not be able to effectively manage its growth.</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Diginex grows its business, its employee headcount and the scope and complexity of its business lines may increase dramatically. Consequently, if Diginex’s business grows at a rapid pace, it may experience difficulties maintaining this growth and building the appropriate processes and controls. Growth may increase the strain on resources, cause operating difficulties, including difficulties in sourcing, logistics, maintaining internal controls, marketing, designing products and services and meeting customer needs.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Diginex currently operates and is seeking to run many business lines and, while these business lines are anticipated to be complimentary, there can be no assurance that Diginex will be able to effectively deliver internal or external resources effectively to each business line as and when needed, particularly when multiple business lines are experiencing high levels of need at the same time.</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Diginex does not adapt to meet these challenges, it could have a material adverse effect on its business, financial condition and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Operational risk may materially and adversely affect Diginex’s performance and results.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Operational risk is the risk of an adverse outcome resulting from inadequate or failed internal processes, people, systems or external events. Diginex’s exposure to operational risk arises from routine processing errors, as well as extraordinary incidents, such as major systems failures or legal matters. Because Diginex’s business lines are reliant on both technology and human expertise and execution, Diginex is exposed to material operational risk arising from a number of factors, including, but not limited to, human error, processing and communication errors, errors of third-party service providers, counterparties or other third parties, failed or inadequate processes, design flaws and technology or system failures and malfunctions.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Operational errors or significant operational delays could have a materially negative impact on Diginex’s ability to conduct its business or service its clients, which could adversely affect results of operations due to potentially higher expenses and lower revenues, create liability for Diginex or its clients or negatively impact its reputation.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may not be effective in mitigating risk.</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Diginex continues to develop risk management and oversight policies and procedures to provide a sound operational environment for the types of risk to which it is subject, including operational risk, credit risk, market risk and liquidity risk. However, as with any risk management framework, there are inherent limitations to Diginex’s current and future risk management strategies, including risks that have not appropriately anticipated or identified and that certain policies may be insufficient. Accurate and timely enterprise-wide risk information is necessary to enhance management’s decision-making in times of crisis. If Diginex’s risk management framework proves ineffective or if Diginex’s enterprise-wide management information is incomplete or inaccurate, it could suffer unexpected losses or fail to generate the expected revenue, which could materially and adversely affect its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CORPORATE HISTORY</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Limited was incorporated as an exempted company with limited liability under the laws of the Cayman Islands on January 26, 2024. Diginex Solutions (HK) Limited (“DSL”) was incorporated under the laws of Hong Kong on January 8, 2018. DSL commenced operations in 2020.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Restructuring</w:t>
      </w:r>
    </w:p>
    <w:p>
      <w:pPr>
        <w:spacing w:after="0" w:line="208"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 (1) 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65"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The warrants will be exercisable for ordinary shares of DSL for a period of three years from the date they are issued and shall be exercisable at a per warrant price of US$2,512. Post the completion of the Restructuring and Share Subdivision (as defined below), the number of warrants of Diginex Limited issued to Rhino Ventures Limited was adjusted to 4,170,520 from 10,172 with an adjusted price per warrant of US$6.13. The warrants, if fully exercised, will result in the issuance of such number of Ordinary Shares equal to 51% of the total issued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of DSL for zero consideration. This increased HBM IV, Inc.’s holding to 3,151 preferred shares of DSL.</w:t>
      </w:r>
    </w:p>
    <w:p>
      <w:pPr>
        <w:spacing w:after="0" w:line="183"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connection with the Exchange, Diginex Limited and security holders of DSL consummated the following transactions (the “Ancillary Transactions”): (i) Diginex Limited issued $4.35 million new convertible loan notes to certain Original Shareholders in consideration for the cancellation of the then existing convertible loan notes issued by DSL and held by such Original Shareholders; (ii) Diginex Limited granted certain share options under the new share option plan that was adopted by Diginex Limited to the holders of the unexercised share options granted by DSL (the “Original Share Options”), in consideration for the cancellation of the Original Share Options held by such holders. At time of the Exchange there were 629,760 vested but unexercised share options and unvested share options exercisable for such number of Ordinary Shares equal to 1.3% of the issued and outstanding shares of the Company at the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automatically converted into Ordinary Shares of Diginex Limited on December 20, 2024 and whilst there is no automatic vesting of any unvested share options upon completion of the IPO the board of directors, at their discretion, do have the ability to accelerate vesting at any point. The board of directors approved and authorized the acceleration of the vesting of the unvested share options to January 23, 2026. The fair value of all unvested ESOP as of the date of this Prospectus is $2.2 million of which $1.0 million has been recognized in the financial statements at March 31, 2025.</w:t>
      </w:r>
    </w:p>
    <w:p>
      <w:pPr>
        <w:spacing w:after="0" w:line="17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Accordingly, upon consummation of the Exchange and the Ancillary Transactions (collectively the “Restructuring”), DSL became a wholly owned subsidiary of Diginex Limited, and the prior shareholders of DSL became shareholders of Diginex Limited. The remaining DSL security holders became security holders of Diginex Limited, in that they held Diginex Limited convertible loan notes, share options and warrants. Following, the closing of the Restructuring there are 6,869,961 Ordinary Shares of Diginex Limited issued and outstanding, 1,291,910 preferred shares of Diginex Limited issued and outstanding, 4,170,520 warrants issued and outstanding, $4.35 million new convertible loan notes issued and outstanding and 629,760 vested but unexercised share options and unvested share options exercisable for such number of Ordinary Shares equal to 1.3% of the issued and outstanding shares capital of the Company at the time of vesting.</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Following the Restructuring, on July 26, 2024, the Company completed a share subdivision (the “Share Subdivision”) such that, the authorized share capital of the Company was revised to be US$50,000 divided into 960,000,000 Ordinary Shares of US$0.00005 par value each and 40,000,000 preferred shares (the “Preferred Shares”), par value US$0.00005 per share. Prior to the Share Subdivision there were 6,869,961 ordinary shares and 1,291,910 preferred shares issued and outstanding, and after the Share Subdivision there are 13,739,922 Ordinary Shares and 2,583,820 Preferred Shares issued and outstanding.</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During the Restructuring, a $1 million loan due from DSL to a related company, Diginex Holdings Limited, a company controlled by Rhino Ventures Limited, was converted into a $1 million convertible loan note of which Rhino Ventures Limited holds $517,535 of the principal amount of the convertible loan note and Working Capital Innovation Fund II L.P. holds $482,465 of the principal amount of the convertible loan note. The loan between DSL and Diginex Holdings Limited charged interest at 8% per annum and had a maturity date of December 31, 2024. The terms of the new convertible loan notes also charge interest at 8% per annum and had a maturity date of December 31, 2024. This $1 million convertible loan note forms part of the $4.35 million loan notes issued by Diginex Limited post the Restructuring.</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August 6, 2024 certain Employee Share Option Plan (“ESOP”) holders exercised their options and converted their options into Ordinary Shares. 501,840 employee share options were converted into 1,003,680 Ordinary Shares whilst 315,700 employee share options lapsed without being exercised. In addition, 368,826 employee share options were issued on July 31, 2024 and on August 21, 2024 employee share options were issued equating to 0.5% of the issued and outstanding shares of the Company at the time of vesting. The remaining employee share options as of the date of this Prospectus are 17,345 vested but not exercised, 368,826 unvested employee share options and unvested employee share options exercisable for such number of Ordinary Shares equal to 1.7% of the issued and outstanding shares of the Company at the time of vesting. Prior to the exercise of 501,840 options on August 6, 2024 there were 13,739,922 Ordinary Shares and 2,583,820 Preferred Shares issued and outstanding, and after such exercise of 501,840 options there are 14,743,602 Ordinary Shares and 2,583,820 Preferred Shares issued and outstanding.</w:t>
      </w:r>
    </w:p>
    <w:p>
      <w:pPr>
        <w:spacing w:after="0" w:line="180" w:lineRule="exact"/>
        <w:rPr>
          <w:sz w:val="20"/>
          <w:szCs w:val="20"/>
          <w:color w:val="auto"/>
        </w:rPr>
      </w:pPr>
    </w:p>
    <w:p>
      <w:pPr>
        <w:jc w:val="both"/>
        <w:ind w:firstLine="605"/>
        <w:spacing w:after="0" w:line="267" w:lineRule="auto"/>
        <w:rPr>
          <w:sz w:val="20"/>
          <w:szCs w:val="20"/>
          <w:color w:val="auto"/>
        </w:rPr>
      </w:pPr>
      <w:r>
        <w:rPr>
          <w:rFonts w:ascii="Times New Roman" w:cs="Times New Roman" w:eastAsia="Times New Roman" w:hAnsi="Times New Roman"/>
          <w:sz w:val="16"/>
          <w:szCs w:val="16"/>
          <w:color w:val="auto"/>
        </w:rPr>
        <w:t>Since 17th November 2023, Rhino Ventures Limited (“RVL”) issued convertible notes (the “Rhino Notes”) to various investors (each a “Rhino Investor” and collectively the “Rhino Investors”). In exchange for a loan from a Rhino Investor, RVL issued the Rhino Investor a Rhino Note. The Rhino Notes are convertible into DSL ordinary shares, or successor securities, that were owned by RVL at a conversion price of between USD2.78 to USD2.99. The Rhino Notes were convertible into RVL’s shares of DSL ordinary shares, or successor securities, (1) at the option of the Rhino Investor or (2) automatically upon F-1 either being effective or having received 2 or below comments. On August 7, 2024, six of the Rhino Investors elected to convert their Rhino Notes and RVL transferred an aggregate amount of 2,992,180 Ordinary Shares of Diginex Limited, the successor securities to the DSL ordinary shares, to the six Rhino Investors as follows: (i) Samantha Dolan received 327,180 Ordinary Shares, (ii) Christopher Lord received 418,200 Ordinary Shares, (iii) Dorota Menard received 400,980 Ordinary Shares, (iv) Gildo Plate received 294,380 Ordinary Shares and (v) Natalia Pelham received 1,049,600 Ordinary Shares and (vi) Benjamin Salter received 501,840 Ordinary Shares. On November 25, 2024, nine additional Rhino Investors elected to convert their Rhino Notes and RVL transferred an aggregate amount of 2,710,707 Ordinary Shares of Diginex Limited, the successor securities to DSL ordinary shares, to the nine Rhino Investors as follows: (i) New Advent Sdn.Bhd received 100,860 Ordinary Shares, (ii) Ayle Ventures Limited received 167,280 Ordinary Shares, (iii) Duvin Limited received 935,407 Ordinary Shares, (iv) Carl Stephen George received 455,100 Ordinary Shares, (v) Ching Kuen Franklin Heng received 83,640 Ordinary Shares, (vi) Harley Street Medical Doctors Limited received 421,480 Ordinary shares, (vii) Chung-</w:t>
      </w:r>
    </w:p>
    <w:p>
      <w:pPr>
        <w:sectPr>
          <w:pgSz w:w="11900" w:h="16838" w:orient="portrait"/>
          <w:cols w:equalWidth="0" w:num="1">
            <w:col w:w="11240"/>
          </w:cols>
          <w:pgMar w:left="320" w:top="623" w:right="339" w:bottom="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7"/>
          <w:szCs w:val="17"/>
          <w:color w:val="auto"/>
        </w:rPr>
        <w:t>Mei Hsu received 67,240 Ordinary Shares, (viii) LVS Capital Partners Limited received 202,540 Ordinary Shares and (ix) David Nicholson received 277,160 Ordinary Shares. As of the date of this Prospectus, RVL has no outstanding Rhino Notes. Other than Natalia Pelham, who is our Chairman’s wife, the Rhino Investors are not related to Mr. Pelham nor are they affiliates to the Company.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Pursuant to a written convertible loan agreement, dated September 30, 2024 (the “RVL Loan”) RVL agreed to loan DSL, Diginex Limited’s wholly owned subsidiary, up to $3 million. Diginex Limited and RVL agreed that RVL would convert the $3 million RVL Loan into Ordinary Shares upon the pricing of the IPO at the IPO offering price and Diginex Limited granted RVL certain registration rights with respect to such converted shares. The RVL Loan is attached to Diginex Limited’s registration statement of which this prospectus forms a part as Exhibit 10.9. On January 6, 2025, DSL and RVL entered into a written agreement to modify and amend the RVL Loan to increase the amount RVL can loan DSL by $500,000 and on January 6, 2025, Diginex Limited and RVL entered into a written loan capitalization agreement whereby RVL agreed to convert a balance of the up to $3.5 million RVL loan to DSL into Ordinary Shares upon the pricing of the IPO at the IPO offering price and Diginex Limited granted RVL certain registration rights with respect to such converted shares (the “Modified RVL Loan”). The Modified RVL Loan is attached to Diginex Limited’s registration statement of which this prospectus forms a part as Exhibit 10.11. Pursuant to the Modified RVL Loan, RVL may loan DSL up to $3.5 million and RVL shall convert up to $3.5 million under the Modified RVL Loan into Ordinary Shares upon the pricing of the IPO at the IPO offering price. Based on the IPO offering price of $4.10 per share, on January 21, 2025, RVL converted $3.0 million of the Modified RVL Loan into 731,707 Ordinary Shares. In exchange for RVL’s conversion of a minimum of $3.0 million of the Modified RVL Loan into Ordinary Shares, Diginex Limited has agreed to provide RVL registration rights with respect to the Ordinary Shares that RVL receives upon conversion of the Modified RVL Loan. The conversion of the Modified RVL Loan is in addition to the conversion of the RVL convertible loan note with a principal balance of $517,535.</w:t>
      </w:r>
    </w:p>
    <w:p>
      <w:pPr>
        <w:spacing w:after="0" w:line="18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December 20, 2024, the Company’s registration statement on Form F-1 was declared effective by the SEC. This resulted in the conversion of all outstanding convertible loan notes into 2,347,134 Ordinary Shares and the outstanding Preferred Shares being converted into 2,583,820 Ordinary Shares on a one to one basis.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completed our initial public offering on January 23, 2025. This resulted in the issuance of 2,250,000 Ordinary Shares for gross proceeds of $9,225,000.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underwriters in our initial public offering exercised the Over-Allotment option, which closed on January 27, 2025.This resulted in the issuance of 337,500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for gross proceeds of $1,383,750.</w:t>
      </w:r>
    </w:p>
    <w:p>
      <w:pPr>
        <w:spacing w:after="0" w:line="19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January 23, 2025, the Company issued Rhino Ventures Limited the warrants identified below (“IPO Warrants”) in recognition of the continuous financial support Rhino Ventures Limited has provided to the Company over previous years that has been critical to sustaining operations and achieving the IPO. There were no goods or services exchanged with Rhino Ventures Limited for the issuance of the IPO warrants. No new direct consideration was received at the time of issuance, as the warrants were granted to acknowledge the historical value provided by Rhino Ventures Limited.</w:t>
      </w:r>
    </w:p>
    <w:p>
      <w:pPr>
        <w:spacing w:after="0" w:line="175" w:lineRule="exact"/>
        <w:rPr>
          <w:sz w:val="20"/>
          <w:szCs w:val="20"/>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600" w:right="520" w:hanging="297"/>
        <w:spacing w:after="0" w:line="515" w:lineRule="auto"/>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 On May 6, 2025, Rhino Ventures Limited conveyed, transferred and assigned the following IPO Warrants to Nomas Global Investments-L.L.C-S.P.C.:</w:t>
      </w:r>
    </w:p>
    <w:p>
      <w:pPr>
        <w:spacing w:after="0" w:line="1"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4 - Warrants to purchase 2,250,000 Ordinary Shares at an exercise price of $8.20 per share, which expire 15 months from January 23, 2025</w:t>
      </w:r>
    </w:p>
    <w:p>
      <w:pPr>
        <w:spacing w:after="0" w:line="33"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5 - Warrants to purchase 2,250,000 Ordinary Shares at an exercise price of $10.25 per share, which expire 18 months from January 23, 2025</w:t>
      </w:r>
    </w:p>
    <w:p>
      <w:pPr>
        <w:spacing w:after="0" w:line="17"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w:t>
      </w:r>
    </w:p>
    <w:p>
      <w:pPr>
        <w:spacing w:after="0" w:line="203"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 Following the acquisition of these Ordinary Shares and at the time of this Prospectus, Rhino Ventures Limited owns 9,890,247 Ordinary Shares, not including the derivative securities of Diginex owned by Rhino Ventures Limited.</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August 22, 2025, the Nomas WPA was rescinded by mutual agreement of Rhino Ventures Limited and Nomas Global Investments-L.L.C-S.P.C and the Nomas Warrants were to Rhino Ventures Limited and the previously issued promissory note from Nomas Global Investments L.L.C-S.P.C to Rhino Ventures Limited in the amount of $50,000,000 as the initial consideration under the Nomas WPA has been cancelled. Accordingly, Rhino Ventures Limited is the owner of 100% of the outstanding IPO Warrants.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August 18, 2025 Diginex announced an eight (8) for one (1) forward stock split to be paid in the form of a bonus share issuance. Each shareholder of the Company of record at the close of business on September 5, 2025 will receive 7 bonus ordinary shares for every one ordinary share held on the record date. The Company expects the bonus shares will be distributed on September 8, 2025.</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Below is a table of the shares exchanged, in July 2024, pursuant to the Share Exchange Agreement and subsequent Share Subdivision: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Post Share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Subdivision</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jc w:val="right"/>
              <w:ind w:right="101"/>
              <w:spacing w:after="0"/>
              <w:rPr>
                <w:sz w:val="20"/>
                <w:szCs w:val="20"/>
                <w:color w:val="auto"/>
              </w:rPr>
            </w:pPr>
            <w:r>
              <w:rPr>
                <w:rFonts w:ascii="Times New Roman" w:cs="Times New Roman" w:eastAsia="Times New Roman" w:hAnsi="Times New Roman"/>
                <w:sz w:val="17"/>
                <w:szCs w:val="17"/>
                <w:color w:val="auto"/>
              </w:rPr>
              <w:t>Number of Diginex</w:t>
            </w:r>
          </w:p>
        </w:tc>
        <w:tc>
          <w:tcPr>
            <w:tcW w:w="38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Number of Diginex</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Name of Shareholder</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Number of DSL Shares</w:t>
            </w:r>
          </w:p>
        </w:tc>
        <w:tc>
          <w:tcPr>
            <w:tcW w:w="380" w:type="dxa"/>
            <w:vAlign w:val="bottom"/>
          </w:tcPr>
          <w:p>
            <w:pPr>
              <w:spacing w:after="0"/>
              <w:rPr>
                <w:sz w:val="18"/>
                <w:szCs w:val="18"/>
                <w:color w:val="auto"/>
              </w:rPr>
            </w:pPr>
          </w:p>
        </w:tc>
        <w:tc>
          <w:tcPr>
            <w:tcW w:w="1660" w:type="dxa"/>
            <w:vAlign w:val="bottom"/>
          </w:tcPr>
          <w:p>
            <w:pPr>
              <w:jc w:val="right"/>
              <w:ind w:right="241"/>
              <w:spacing w:after="0"/>
              <w:rPr>
                <w:sz w:val="20"/>
                <w:szCs w:val="20"/>
                <w:color w:val="auto"/>
              </w:rPr>
            </w:pPr>
            <w:r>
              <w:rPr>
                <w:rFonts w:ascii="Times New Roman" w:cs="Times New Roman" w:eastAsia="Times New Roman" w:hAnsi="Times New Roman"/>
                <w:sz w:val="17"/>
                <w:szCs w:val="17"/>
                <w:color w:val="auto"/>
              </w:rPr>
              <w:t>Limited Shares</w:t>
            </w:r>
          </w:p>
        </w:tc>
        <w:tc>
          <w:tcPr>
            <w:tcW w:w="3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Limited Shares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Borders>
              <w:top w:val="single" w:sz="8" w:color="auto"/>
            </w:tcBorders>
            <w:shd w:val="clear" w:color="auto" w:fill="CCEEFF"/>
          </w:tcPr>
          <w:p>
            <w:pPr>
              <w:spacing w:after="0" w:line="132" w:lineRule="exact"/>
              <w:rPr>
                <w:sz w:val="20"/>
                <w:szCs w:val="20"/>
                <w:color w:val="auto"/>
              </w:rPr>
            </w:pPr>
            <w:r>
              <w:rPr>
                <w:rFonts w:ascii="Times New Roman" w:cs="Times New Roman" w:eastAsia="Times New Roman" w:hAnsi="Times New Roman"/>
                <w:sz w:val="15"/>
                <w:szCs w:val="15"/>
                <w:color w:val="auto"/>
              </w:rPr>
              <w:t>Rhino Ventures Limited</w:t>
            </w:r>
          </w:p>
        </w:tc>
        <w:tc>
          <w:tcPr>
            <w:tcW w:w="22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5"/>
                <w:szCs w:val="15"/>
                <w:color w:val="auto"/>
              </w:rPr>
              <w:t>15,031</w:t>
            </w:r>
          </w:p>
        </w:tc>
        <w:tc>
          <w:tcPr>
            <w:tcW w:w="380" w:type="dxa"/>
            <w:vAlign w:val="bottom"/>
            <w:tcBorders>
              <w:top w:val="single" w:sz="8" w:color="CCEEFF"/>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(1)</w:t>
            </w:r>
          </w:p>
        </w:tc>
        <w:tc>
          <w:tcPr>
            <w:tcW w:w="166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5"/>
                <w:szCs w:val="15"/>
                <w:color w:val="auto"/>
              </w:rPr>
              <w:t>6,162,711</w:t>
            </w:r>
          </w:p>
        </w:tc>
        <w:tc>
          <w:tcPr>
            <w:tcW w:w="380" w:type="dxa"/>
            <w:vAlign w:val="bottom"/>
            <w:tcBorders>
              <w:top w:val="single" w:sz="8" w:color="CCEEFF"/>
            </w:tcBorders>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(3)</w:t>
            </w:r>
          </w:p>
        </w:tc>
        <w:tc>
          <w:tcPr>
            <w:tcW w:w="1660" w:type="dxa"/>
            <w:vAlign w:val="bottom"/>
            <w:tcBorders>
              <w:top w:val="single" w:sz="8" w:color="auto"/>
            </w:tcBorders>
            <w:shd w:val="clear" w:color="auto" w:fill="CCEEFF"/>
          </w:tcPr>
          <w:p>
            <w:pPr>
              <w:jc w:val="right"/>
              <w:spacing w:after="0" w:line="132" w:lineRule="exact"/>
              <w:rPr>
                <w:sz w:val="20"/>
                <w:szCs w:val="20"/>
                <w:color w:val="auto"/>
              </w:rPr>
            </w:pPr>
            <w:r>
              <w:rPr>
                <w:rFonts w:ascii="Times New Roman" w:cs="Times New Roman" w:eastAsia="Times New Roman" w:hAnsi="Times New Roman"/>
                <w:sz w:val="15"/>
                <w:szCs w:val="15"/>
                <w:color w:val="auto"/>
              </w:rPr>
              <w:t>12,325,422</w:t>
            </w:r>
          </w:p>
        </w:tc>
        <w:tc>
          <w:tcPr>
            <w:tcW w:w="1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66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166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16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20" w:type="dxa"/>
            <w:vAlign w:val="bottom"/>
            <w:gridSpan w:val="2"/>
          </w:tcPr>
          <w:p>
            <w:pPr>
              <w:spacing w:after="0" w:line="138" w:lineRule="exact"/>
              <w:rPr>
                <w:sz w:val="20"/>
                <w:szCs w:val="20"/>
                <w:color w:val="auto"/>
              </w:rPr>
            </w:pPr>
            <w:r>
              <w:rPr>
                <w:rFonts w:ascii="Times New Roman" w:cs="Times New Roman" w:eastAsia="Times New Roman" w:hAnsi="Times New Roman"/>
                <w:sz w:val="16"/>
                <w:szCs w:val="16"/>
                <w:color w:val="auto"/>
              </w:rPr>
              <w:t>HBM IV, Inc.</w:t>
            </w:r>
          </w:p>
        </w:tc>
        <w:tc>
          <w:tcPr>
            <w:tcW w:w="1660" w:type="dxa"/>
            <w:vAlign w:val="bottom"/>
          </w:tcPr>
          <w:p>
            <w:pPr>
              <w:jc w:val="right"/>
              <w:spacing w:after="0" w:line="138" w:lineRule="exact"/>
              <w:rPr>
                <w:sz w:val="20"/>
                <w:szCs w:val="20"/>
                <w:color w:val="auto"/>
              </w:rPr>
            </w:pPr>
            <w:r>
              <w:rPr>
                <w:rFonts w:ascii="Times New Roman" w:cs="Times New Roman" w:eastAsia="Times New Roman" w:hAnsi="Times New Roman"/>
                <w:sz w:val="16"/>
                <w:szCs w:val="16"/>
                <w:color w:val="auto"/>
              </w:rPr>
              <w:t>3,151</w:t>
            </w:r>
          </w:p>
        </w:tc>
        <w:tc>
          <w:tcPr>
            <w:tcW w:w="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color w:val="auto"/>
                <w:w w:val="85"/>
              </w:rPr>
              <w:t>(2)</w:t>
            </w:r>
          </w:p>
        </w:tc>
        <w:tc>
          <w:tcPr>
            <w:tcW w:w="1660" w:type="dxa"/>
            <w:vAlign w:val="bottom"/>
          </w:tcPr>
          <w:p>
            <w:pPr>
              <w:jc w:val="right"/>
              <w:spacing w:after="0" w:line="138" w:lineRule="exact"/>
              <w:rPr>
                <w:sz w:val="20"/>
                <w:szCs w:val="20"/>
                <w:color w:val="auto"/>
              </w:rPr>
            </w:pPr>
            <w:r>
              <w:rPr>
                <w:rFonts w:ascii="Times New Roman" w:cs="Times New Roman" w:eastAsia="Times New Roman" w:hAnsi="Times New Roman"/>
                <w:sz w:val="16"/>
                <w:szCs w:val="16"/>
                <w:color w:val="auto"/>
              </w:rPr>
              <w:t>1,291,910</w:t>
            </w:r>
          </w:p>
        </w:tc>
        <w:tc>
          <w:tcPr>
            <w:tcW w:w="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color w:val="auto"/>
                <w:w w:val="85"/>
              </w:rPr>
              <w:t>(4)</w:t>
            </w:r>
          </w:p>
        </w:tc>
        <w:tc>
          <w:tcPr>
            <w:tcW w:w="1660" w:type="dxa"/>
            <w:vAlign w:val="bottom"/>
          </w:tcPr>
          <w:p>
            <w:pPr>
              <w:jc w:val="right"/>
              <w:spacing w:after="0" w:line="138" w:lineRule="exact"/>
              <w:rPr>
                <w:sz w:val="20"/>
                <w:szCs w:val="20"/>
                <w:color w:val="auto"/>
              </w:rPr>
            </w:pPr>
            <w:r>
              <w:rPr>
                <w:rFonts w:ascii="Times New Roman" w:cs="Times New Roman" w:eastAsia="Times New Roman" w:hAnsi="Times New Roman"/>
                <w:sz w:val="16"/>
                <w:szCs w:val="16"/>
                <w:color w:val="auto"/>
              </w:rPr>
              <w:t>2,583,820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5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3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6"/>
                <w:szCs w:val="16"/>
                <w:color w:val="auto"/>
              </w:rPr>
              <w:t>Nalimz Holding Limited</w:t>
            </w:r>
          </w:p>
        </w:tc>
        <w:tc>
          <w:tcPr>
            <w:tcW w:w="1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6"/>
                <w:szCs w:val="16"/>
                <w:color w:val="auto"/>
              </w:rPr>
              <w:t>1,111</w:t>
            </w:r>
          </w:p>
        </w:tc>
        <w:tc>
          <w:tcPr>
            <w:tcW w:w="3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(1)</w:t>
            </w:r>
          </w:p>
        </w:tc>
        <w:tc>
          <w:tcPr>
            <w:tcW w:w="1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6"/>
                <w:szCs w:val="16"/>
                <w:color w:val="auto"/>
              </w:rPr>
              <w:t>455,510</w:t>
            </w:r>
          </w:p>
        </w:tc>
        <w:tc>
          <w:tcPr>
            <w:tcW w:w="3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(3)</w:t>
            </w:r>
          </w:p>
        </w:tc>
        <w:tc>
          <w:tcPr>
            <w:tcW w:w="1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6"/>
                <w:szCs w:val="16"/>
                <w:color w:val="auto"/>
              </w:rPr>
              <w:t>911,020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66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166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16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20" w:type="dxa"/>
            <w:vAlign w:val="bottom"/>
            <w:gridSpan w:val="2"/>
          </w:tcPr>
          <w:p>
            <w:pPr>
              <w:spacing w:after="0" w:line="138" w:lineRule="exact"/>
              <w:rPr>
                <w:sz w:val="20"/>
                <w:szCs w:val="20"/>
                <w:color w:val="auto"/>
              </w:rPr>
            </w:pPr>
            <w:r>
              <w:rPr>
                <w:rFonts w:ascii="Times New Roman" w:cs="Times New Roman" w:eastAsia="Times New Roman" w:hAnsi="Times New Roman"/>
                <w:sz w:val="16"/>
                <w:szCs w:val="16"/>
                <w:color w:val="auto"/>
              </w:rPr>
              <w:t>Working Capital Innovation Fund II, L.P.</w:t>
            </w:r>
          </w:p>
        </w:tc>
        <w:tc>
          <w:tcPr>
            <w:tcW w:w="1660" w:type="dxa"/>
            <w:vAlign w:val="bottom"/>
          </w:tcPr>
          <w:p>
            <w:pPr>
              <w:jc w:val="right"/>
              <w:spacing w:after="0" w:line="138" w:lineRule="exact"/>
              <w:rPr>
                <w:sz w:val="20"/>
                <w:szCs w:val="20"/>
                <w:color w:val="auto"/>
              </w:rPr>
            </w:pPr>
            <w:r>
              <w:rPr>
                <w:rFonts w:ascii="Times New Roman" w:cs="Times New Roman" w:eastAsia="Times New Roman" w:hAnsi="Times New Roman"/>
                <w:sz w:val="16"/>
                <w:szCs w:val="16"/>
                <w:color w:val="auto"/>
              </w:rPr>
              <w:t>369</w:t>
            </w:r>
          </w:p>
        </w:tc>
        <w:tc>
          <w:tcPr>
            <w:tcW w:w="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color w:val="auto"/>
                <w:w w:val="85"/>
              </w:rPr>
              <w:t>(1)</w:t>
            </w:r>
          </w:p>
        </w:tc>
        <w:tc>
          <w:tcPr>
            <w:tcW w:w="1660" w:type="dxa"/>
            <w:vAlign w:val="bottom"/>
          </w:tcPr>
          <w:p>
            <w:pPr>
              <w:jc w:val="right"/>
              <w:spacing w:after="0" w:line="138" w:lineRule="exact"/>
              <w:rPr>
                <w:sz w:val="20"/>
                <w:szCs w:val="20"/>
                <w:color w:val="auto"/>
              </w:rPr>
            </w:pPr>
            <w:r>
              <w:rPr>
                <w:rFonts w:ascii="Times New Roman" w:cs="Times New Roman" w:eastAsia="Times New Roman" w:hAnsi="Times New Roman"/>
                <w:sz w:val="16"/>
                <w:szCs w:val="16"/>
                <w:color w:val="auto"/>
              </w:rPr>
              <w:t>151,290</w:t>
            </w:r>
          </w:p>
        </w:tc>
        <w:tc>
          <w:tcPr>
            <w:tcW w:w="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color w:val="auto"/>
                <w:w w:val="85"/>
              </w:rPr>
              <w:t>(3)</w:t>
            </w:r>
          </w:p>
        </w:tc>
        <w:tc>
          <w:tcPr>
            <w:tcW w:w="1660" w:type="dxa"/>
            <w:vAlign w:val="bottom"/>
          </w:tcPr>
          <w:p>
            <w:pPr>
              <w:jc w:val="right"/>
              <w:spacing w:after="0" w:line="138" w:lineRule="exact"/>
              <w:rPr>
                <w:sz w:val="20"/>
                <w:szCs w:val="20"/>
                <w:color w:val="auto"/>
              </w:rPr>
            </w:pPr>
            <w:r>
              <w:rPr>
                <w:rFonts w:ascii="Times New Roman" w:cs="Times New Roman" w:eastAsia="Times New Roman" w:hAnsi="Times New Roman"/>
                <w:sz w:val="16"/>
                <w:szCs w:val="16"/>
                <w:color w:val="auto"/>
              </w:rPr>
              <w:t>302,580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5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3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6"/>
                <w:szCs w:val="16"/>
                <w:color w:val="auto"/>
              </w:rPr>
              <w:t>Hafnia SG Pte Ltd</w:t>
            </w:r>
          </w:p>
        </w:tc>
        <w:tc>
          <w:tcPr>
            <w:tcW w:w="1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6"/>
                <w:szCs w:val="16"/>
                <w:color w:val="auto"/>
              </w:rPr>
              <w:t>157</w:t>
            </w:r>
          </w:p>
        </w:tc>
        <w:tc>
          <w:tcPr>
            <w:tcW w:w="3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(1)</w:t>
            </w:r>
          </w:p>
        </w:tc>
        <w:tc>
          <w:tcPr>
            <w:tcW w:w="1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6"/>
                <w:szCs w:val="16"/>
                <w:color w:val="auto"/>
              </w:rPr>
              <w:t>64,370</w:t>
            </w:r>
          </w:p>
        </w:tc>
        <w:tc>
          <w:tcPr>
            <w:tcW w:w="3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(3)</w:t>
            </w:r>
          </w:p>
        </w:tc>
        <w:tc>
          <w:tcPr>
            <w:tcW w:w="1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6"/>
                <w:szCs w:val="16"/>
                <w:color w:val="auto"/>
              </w:rPr>
              <w:t>128,740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66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166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vMerge w:val="continue"/>
            <w:shd w:val="clear" w:color="auto" w:fill="CCEEFF"/>
          </w:tcPr>
          <w:p>
            <w:pPr>
              <w:spacing w:after="0"/>
              <w:rPr>
                <w:sz w:val="5"/>
                <w:szCs w:val="5"/>
                <w:color w:val="auto"/>
              </w:rPr>
            </w:pPr>
          </w:p>
        </w:tc>
        <w:tc>
          <w:tcPr>
            <w:tcW w:w="16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20" w:type="dxa"/>
            <w:vAlign w:val="bottom"/>
            <w:gridSpan w:val="2"/>
          </w:tcPr>
          <w:p>
            <w:pPr>
              <w:spacing w:after="0" w:line="138" w:lineRule="exact"/>
              <w:rPr>
                <w:sz w:val="20"/>
                <w:szCs w:val="20"/>
                <w:color w:val="auto"/>
              </w:rPr>
            </w:pPr>
            <w:r>
              <w:rPr>
                <w:rFonts w:ascii="Times New Roman" w:cs="Times New Roman" w:eastAsia="Times New Roman" w:hAnsi="Times New Roman"/>
                <w:sz w:val="16"/>
                <w:szCs w:val="16"/>
                <w:color w:val="auto"/>
              </w:rPr>
              <w:t>Loretta Wong</w:t>
            </w:r>
          </w:p>
        </w:tc>
        <w:tc>
          <w:tcPr>
            <w:tcW w:w="1660" w:type="dxa"/>
            <w:vAlign w:val="bottom"/>
          </w:tcPr>
          <w:p>
            <w:pPr>
              <w:jc w:val="right"/>
              <w:spacing w:after="0" w:line="138" w:lineRule="exact"/>
              <w:rPr>
                <w:sz w:val="20"/>
                <w:szCs w:val="20"/>
                <w:color w:val="auto"/>
              </w:rPr>
            </w:pPr>
            <w:r>
              <w:rPr>
                <w:rFonts w:ascii="Times New Roman" w:cs="Times New Roman" w:eastAsia="Times New Roman" w:hAnsi="Times New Roman"/>
                <w:sz w:val="16"/>
                <w:szCs w:val="16"/>
                <w:color w:val="auto"/>
              </w:rPr>
              <w:t>44</w:t>
            </w:r>
          </w:p>
        </w:tc>
        <w:tc>
          <w:tcPr>
            <w:tcW w:w="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color w:val="auto"/>
                <w:w w:val="85"/>
              </w:rPr>
              <w:t>(1)</w:t>
            </w:r>
          </w:p>
        </w:tc>
        <w:tc>
          <w:tcPr>
            <w:tcW w:w="1660" w:type="dxa"/>
            <w:vAlign w:val="bottom"/>
          </w:tcPr>
          <w:p>
            <w:pPr>
              <w:jc w:val="right"/>
              <w:spacing w:after="0" w:line="138" w:lineRule="exact"/>
              <w:rPr>
                <w:sz w:val="20"/>
                <w:szCs w:val="20"/>
                <w:color w:val="auto"/>
              </w:rPr>
            </w:pPr>
            <w:r>
              <w:rPr>
                <w:rFonts w:ascii="Times New Roman" w:cs="Times New Roman" w:eastAsia="Times New Roman" w:hAnsi="Times New Roman"/>
                <w:sz w:val="16"/>
                <w:szCs w:val="16"/>
                <w:color w:val="auto"/>
              </w:rPr>
              <w:t>18,040</w:t>
            </w:r>
          </w:p>
        </w:tc>
        <w:tc>
          <w:tcPr>
            <w:tcW w:w="38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color w:val="auto"/>
                <w:w w:val="85"/>
              </w:rPr>
              <w:t>(3)</w:t>
            </w:r>
          </w:p>
        </w:tc>
        <w:tc>
          <w:tcPr>
            <w:tcW w:w="1660" w:type="dxa"/>
            <w:vAlign w:val="bottom"/>
          </w:tcPr>
          <w:p>
            <w:pPr>
              <w:jc w:val="right"/>
              <w:spacing w:after="0" w:line="138" w:lineRule="exact"/>
              <w:rPr>
                <w:sz w:val="20"/>
                <w:szCs w:val="20"/>
                <w:color w:val="auto"/>
              </w:rPr>
            </w:pPr>
            <w:r>
              <w:rPr>
                <w:rFonts w:ascii="Times New Roman" w:cs="Times New Roman" w:eastAsia="Times New Roman" w:hAnsi="Times New Roman"/>
                <w:sz w:val="16"/>
                <w:szCs w:val="16"/>
                <w:color w:val="auto"/>
              </w:rPr>
              <w:t>36,080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5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20" w:type="dxa"/>
            <w:vAlign w:val="bottom"/>
            <w:vMerge w:val="continue"/>
          </w:tcPr>
          <w:p>
            <w:pPr>
              <w:spacing w:after="0"/>
              <w:rPr>
                <w:sz w:val="12"/>
                <w:szCs w:val="12"/>
                <w:color w:val="auto"/>
              </w:rPr>
            </w:pPr>
          </w:p>
        </w:tc>
        <w:tc>
          <w:tcPr>
            <w:tcW w:w="53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6"/>
                <w:szCs w:val="16"/>
                <w:color w:val="auto"/>
              </w:rPr>
              <w:t>Gerard Coenen Gajardo</w:t>
            </w:r>
          </w:p>
        </w:tc>
        <w:tc>
          <w:tcPr>
            <w:tcW w:w="1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6"/>
                <w:szCs w:val="16"/>
                <w:color w:val="auto"/>
              </w:rPr>
              <w:t>44</w:t>
            </w:r>
          </w:p>
        </w:tc>
        <w:tc>
          <w:tcPr>
            <w:tcW w:w="3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(1)</w:t>
            </w:r>
          </w:p>
        </w:tc>
        <w:tc>
          <w:tcPr>
            <w:tcW w:w="1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6"/>
                <w:szCs w:val="16"/>
                <w:color w:val="auto"/>
              </w:rPr>
              <w:t>18,040</w:t>
            </w:r>
          </w:p>
        </w:tc>
        <w:tc>
          <w:tcPr>
            <w:tcW w:w="38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(3)</w:t>
            </w:r>
          </w:p>
        </w:tc>
        <w:tc>
          <w:tcPr>
            <w:tcW w:w="166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6"/>
                <w:szCs w:val="16"/>
                <w:color w:val="auto"/>
              </w:rPr>
              <w:t>36,080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(3)</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380" w:type="dxa"/>
            <w:vAlign w:val="bottom"/>
            <w:vMerge w:val="continue"/>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380" w:type="dxa"/>
            <w:vAlign w:val="bottom"/>
            <w:vMerge w:val="continue"/>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6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1785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74" w:lineRule="exact"/>
        <w:rPr>
          <w:sz w:val="20"/>
          <w:szCs w:val="20"/>
          <w:color w:val="auto"/>
        </w:rPr>
      </w:pPr>
    </w:p>
    <w:p>
      <w:pPr>
        <w:ind w:left="580" w:hanging="579"/>
        <w:spacing w:after="0"/>
        <w:tabs>
          <w:tab w:leader="none" w:pos="580"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These are DSL Ordinary Shares.</w:t>
      </w:r>
    </w:p>
    <w:p>
      <w:pPr>
        <w:spacing w:after="0" w:line="1" w:lineRule="exact"/>
        <w:rPr>
          <w:rFonts w:ascii="Times New Roman" w:cs="Times New Roman" w:eastAsia="Times New Roman" w:hAnsi="Times New Roman"/>
          <w:sz w:val="28"/>
          <w:szCs w:val="28"/>
          <w:color w:val="auto"/>
          <w:vertAlign w:val="superscript"/>
        </w:rPr>
      </w:pPr>
    </w:p>
    <w:p>
      <w:pPr>
        <w:ind w:left="580" w:hanging="579"/>
        <w:spacing w:after="0" w:line="181" w:lineRule="auto"/>
        <w:tabs>
          <w:tab w:leader="none" w:pos="58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These are DSL Preferred Shares.</w:t>
      </w:r>
    </w:p>
    <w:p>
      <w:pPr>
        <w:spacing w:after="0" w:line="2" w:lineRule="exact"/>
        <w:rPr>
          <w:rFonts w:ascii="Times New Roman" w:cs="Times New Roman" w:eastAsia="Times New Roman" w:hAnsi="Times New Roman"/>
          <w:sz w:val="23"/>
          <w:szCs w:val="23"/>
          <w:color w:val="auto"/>
          <w:vertAlign w:val="superscript"/>
        </w:rPr>
      </w:pPr>
    </w:p>
    <w:p>
      <w:pPr>
        <w:ind w:left="580" w:hanging="579"/>
        <w:spacing w:after="0" w:line="181" w:lineRule="auto"/>
        <w:tabs>
          <w:tab w:leader="none" w:pos="58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These are Diginex Limited Ordinary Shares.</w:t>
      </w:r>
    </w:p>
    <w:p>
      <w:pPr>
        <w:spacing w:after="0" w:line="2" w:lineRule="exact"/>
        <w:rPr>
          <w:rFonts w:ascii="Times New Roman" w:cs="Times New Roman" w:eastAsia="Times New Roman" w:hAnsi="Times New Roman"/>
          <w:sz w:val="23"/>
          <w:szCs w:val="23"/>
          <w:color w:val="auto"/>
          <w:vertAlign w:val="superscript"/>
        </w:rPr>
      </w:pPr>
    </w:p>
    <w:p>
      <w:pPr>
        <w:ind w:left="580" w:hanging="579"/>
        <w:spacing w:after="0" w:line="181" w:lineRule="auto"/>
        <w:tabs>
          <w:tab w:leader="none" w:pos="58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These are Diginex Limited Preferred Shares.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523" w:gutter="0" w:footer="0" w:header="0"/>
        </w:sectPr>
      </w:pPr>
    </w:p>
    <w:bookmarkStart w:id="42" w:name="page43"/>
    <w:bookmarkEnd w:id="42"/>
    <w:p>
      <w:pPr>
        <w:ind w:left="600"/>
        <w:spacing w:after="0"/>
        <w:rPr>
          <w:sz w:val="20"/>
          <w:szCs w:val="20"/>
          <w:color w:val="auto"/>
        </w:rPr>
      </w:pPr>
      <w:r>
        <w:rPr>
          <w:rFonts w:ascii="Times New Roman" w:cs="Times New Roman" w:eastAsia="Times New Roman" w:hAnsi="Times New Roman"/>
          <w:sz w:val="17"/>
          <w:szCs w:val="17"/>
          <w:color w:val="auto"/>
        </w:rPr>
        <w:t>In connection with Restructuring and following the Share Exchange Agreement, Diginex Limited consummated the following transactions also occurred:</w:t>
      </w:r>
    </w:p>
    <w:p>
      <w:pPr>
        <w:spacing w:after="0" w:line="208" w:lineRule="exact"/>
        <w:rPr>
          <w:sz w:val="20"/>
          <w:szCs w:val="20"/>
          <w:color w:val="auto"/>
        </w:rPr>
      </w:pPr>
    </w:p>
    <w:p>
      <w:pPr>
        <w:jc w:val="both"/>
        <w:ind w:firstLine="606"/>
        <w:spacing w:after="0" w:line="253" w:lineRule="auto"/>
        <w:tabs>
          <w:tab w:leader="none" w:pos="81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and Issuance of Convertible Notes. Diginex Limited issued new convertible loan notes to certain Original Shareholders in consideration for the cancellation of the then existing convertible loan notes issued by DSL held by such Original Shareholder. The new convertible loan notes (the “New Convertible Notes”) provide that the New Convertible Notes provide for the payment of interest at a rate of 8% per annum and automatically converted into Ordinary Shares on December 20, 2024 at a conversion price equal to US$2.17. Except the New Convertible Notes issued to HBM IV, Inc. provides for the payment of interest at a rate of 8% per annum. All New Convertible Loan Notes converted into 2,347,134 Ordinary Shares upon the registration statement being declared effective by the SEC on December 20,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Below is a table of the Cancellation and Issuance of Convertible Notes:</w:t>
            </w: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7"/>
        </w:trPr>
        <w:tc>
          <w:tcPr>
            <w:tcW w:w="5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Amount of Diginex</w:t>
            </w:r>
          </w:p>
        </w:tc>
      </w:tr>
      <w:tr>
        <w:trPr>
          <w:trHeight w:val="202"/>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9"/>
              </w:rPr>
              <w:t>Amount of DSL</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Limited Convertible</w:t>
            </w:r>
          </w:p>
        </w:tc>
      </w:tr>
      <w:tr>
        <w:trPr>
          <w:trHeight w:val="21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 of Noteholder</w:t>
            </w:r>
          </w:p>
        </w:tc>
        <w:tc>
          <w:tcPr>
            <w:tcW w:w="2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Convertible Notes</w:t>
            </w:r>
          </w:p>
        </w:tc>
        <w:tc>
          <w:tcPr>
            <w:tcW w:w="3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Note</w:t>
            </w:r>
          </w:p>
        </w:tc>
        <w:tc>
          <w:tcPr>
            <w:tcW w:w="100" w:type="dxa"/>
            <w:vAlign w:val="bottom"/>
            <w:tcBorders>
              <w:bottom w:val="single" w:sz="8" w:color="CCEEFF"/>
            </w:tcBorders>
          </w:tcPr>
          <w:p>
            <w:pPr>
              <w:spacing w:after="0"/>
              <w:rPr>
                <w:sz w:val="18"/>
                <w:szCs w:val="18"/>
                <w:color w:val="auto"/>
              </w:rPr>
            </w:pPr>
          </w:p>
        </w:tc>
      </w:tr>
      <w:tr>
        <w:trPr>
          <w:trHeight w:val="233"/>
        </w:trPr>
        <w:tc>
          <w:tcPr>
            <w:tcW w:w="5400" w:type="dxa"/>
            <w:vAlign w:val="bottom"/>
            <w:shd w:val="clear" w:color="auto" w:fill="CCEEFF"/>
          </w:tcPr>
          <w:p>
            <w:pPr>
              <w:spacing w:after="0" w:line="232" w:lineRule="exact"/>
              <w:rPr>
                <w:sz w:val="20"/>
                <w:szCs w:val="20"/>
                <w:color w:val="auto"/>
              </w:rPr>
            </w:pPr>
            <w:r>
              <w:rPr>
                <w:rFonts w:ascii="Times New Roman" w:cs="Times New Roman" w:eastAsia="Times New Roman" w:hAnsi="Times New Roman"/>
                <w:sz w:val="16"/>
                <w:szCs w:val="16"/>
                <w:color w:val="auto"/>
              </w:rPr>
              <w:t xml:space="preserve">HBM IV, Inc. </w:t>
            </w:r>
            <w:r>
              <w:rPr>
                <w:rFonts w:ascii="Times New Roman" w:cs="Times New Roman" w:eastAsia="Times New Roman" w:hAnsi="Times New Roman"/>
                <w:sz w:val="26"/>
                <w:szCs w:val="26"/>
                <w:color w:val="auto"/>
                <w:vertAlign w:val="superscript"/>
              </w:rPr>
              <w:t>(1)</w:t>
            </w:r>
          </w:p>
        </w:tc>
        <w:tc>
          <w:tcPr>
            <w:tcW w:w="2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7"/>
                <w:szCs w:val="17"/>
                <w:color w:val="auto"/>
                <w:w w:val="99"/>
              </w:rPr>
              <w:t>US$2,000,000</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7"/>
              </w:rPr>
              <w:t>US$2,000,000</w:t>
            </w:r>
          </w:p>
        </w:tc>
      </w:tr>
      <w:tr>
        <w:trPr>
          <w:trHeight w:val="240"/>
        </w:trPr>
        <w:tc>
          <w:tcPr>
            <w:tcW w:w="56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Nalimz Holdings Limited</w:t>
            </w:r>
            <w:r>
              <w:rPr>
                <w:rFonts w:ascii="Times New Roman" w:cs="Times New Roman" w:eastAsia="Times New Roman" w:hAnsi="Times New Roman"/>
                <w:sz w:val="27"/>
                <w:szCs w:val="27"/>
                <w:color w:val="auto"/>
                <w:vertAlign w:val="superscript"/>
              </w:rPr>
              <w:t>(2)</w:t>
            </w:r>
          </w:p>
        </w:tc>
        <w:tc>
          <w:tcPr>
            <w:tcW w:w="17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9"/>
              </w:rPr>
              <w:t>US$1,000,000</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US$1,000,000</w:t>
            </w:r>
          </w:p>
        </w:tc>
      </w:tr>
      <w:tr>
        <w:trPr>
          <w:trHeight w:val="240"/>
        </w:trPr>
        <w:tc>
          <w:tcPr>
            <w:tcW w:w="56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Working Capital Innovation Fund II, L.P. </w:t>
            </w:r>
            <w:r>
              <w:rPr>
                <w:rFonts w:ascii="Times New Roman" w:cs="Times New Roman" w:eastAsia="Times New Roman" w:hAnsi="Times New Roman"/>
                <w:sz w:val="27"/>
                <w:szCs w:val="27"/>
                <w:color w:val="auto"/>
                <w:vertAlign w:val="superscript"/>
              </w:rPr>
              <w:t>(3)</w:t>
            </w:r>
          </w:p>
        </w:tc>
        <w:tc>
          <w:tcPr>
            <w:tcW w:w="17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color w:val="auto"/>
                <w:w w:val="98"/>
              </w:rPr>
              <w:t>US$582,465</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US$582,465</w:t>
            </w:r>
          </w:p>
        </w:tc>
      </w:tr>
      <w:tr>
        <w:trPr>
          <w:trHeight w:val="240"/>
        </w:trPr>
        <w:tc>
          <w:tcPr>
            <w:tcW w:w="5680" w:type="dxa"/>
            <w:vAlign w:val="bottom"/>
            <w:gridSpan w:val="2"/>
          </w:tcPr>
          <w:p>
            <w:pPr>
              <w:spacing w:after="0" w:line="240" w:lineRule="exact"/>
              <w:rPr>
                <w:sz w:val="20"/>
                <w:szCs w:val="20"/>
                <w:color w:val="auto"/>
              </w:rPr>
            </w:pPr>
            <w:r>
              <w:rPr>
                <w:rFonts w:ascii="Times New Roman" w:cs="Times New Roman" w:eastAsia="Times New Roman" w:hAnsi="Times New Roman"/>
                <w:sz w:val="16"/>
                <w:szCs w:val="16"/>
                <w:color w:val="auto"/>
              </w:rPr>
              <w:t>Rhino Ventures Limited</w:t>
            </w:r>
            <w:r>
              <w:rPr>
                <w:rFonts w:ascii="Times New Roman" w:cs="Times New Roman" w:eastAsia="Times New Roman" w:hAnsi="Times New Roman"/>
                <w:sz w:val="27"/>
                <w:szCs w:val="27"/>
                <w:color w:val="auto"/>
                <w:vertAlign w:val="superscript"/>
              </w:rPr>
              <w:t>(4)</w:t>
            </w:r>
          </w:p>
        </w:tc>
        <w:tc>
          <w:tcPr>
            <w:tcW w:w="17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US$517,535</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US$517,535</w:t>
            </w:r>
          </w:p>
        </w:tc>
      </w:tr>
      <w:tr>
        <w:trPr>
          <w:trHeight w:val="240"/>
        </w:trPr>
        <w:tc>
          <w:tcPr>
            <w:tcW w:w="5680" w:type="dxa"/>
            <w:vAlign w:val="bottom"/>
            <w:gridSpan w:val="2"/>
            <w:shd w:val="clear" w:color="auto" w:fill="CCEEFF"/>
          </w:tcPr>
          <w:p>
            <w:pPr>
              <w:spacing w:after="0" w:line="240" w:lineRule="exact"/>
              <w:rPr>
                <w:sz w:val="20"/>
                <w:szCs w:val="20"/>
                <w:color w:val="auto"/>
              </w:rPr>
            </w:pPr>
            <w:r>
              <w:rPr>
                <w:rFonts w:ascii="Times New Roman" w:cs="Times New Roman" w:eastAsia="Times New Roman" w:hAnsi="Times New Roman"/>
                <w:sz w:val="16"/>
                <w:szCs w:val="16"/>
                <w:color w:val="auto"/>
              </w:rPr>
              <w:t xml:space="preserve">Hafnia SG Pte Ltd. </w:t>
            </w:r>
            <w:r>
              <w:rPr>
                <w:rFonts w:ascii="Times New Roman" w:cs="Times New Roman" w:eastAsia="Times New Roman" w:hAnsi="Times New Roman"/>
                <w:sz w:val="27"/>
                <w:szCs w:val="27"/>
                <w:color w:val="auto"/>
                <w:vertAlign w:val="superscript"/>
              </w:rPr>
              <w:t>(5)</w:t>
            </w:r>
          </w:p>
        </w:tc>
        <w:tc>
          <w:tcPr>
            <w:tcW w:w="17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7"/>
                <w:szCs w:val="17"/>
                <w:color w:val="auto"/>
                <w:w w:val="98"/>
              </w:rPr>
              <w:t>US$250,000</w:t>
            </w:r>
          </w:p>
        </w:tc>
        <w:tc>
          <w:tcPr>
            <w:tcW w:w="1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US$250,000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17856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28" w:lineRule="exact"/>
        <w:rPr>
          <w:sz w:val="20"/>
          <w:szCs w:val="20"/>
          <w:color w:val="auto"/>
        </w:rPr>
      </w:pPr>
    </w:p>
    <w:p>
      <w:pPr>
        <w:ind w:firstLine="1"/>
        <w:spacing w:after="0"/>
        <w:tabs>
          <w:tab w:leader="none" w:pos="198"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New Convertible Note between Diginex Limited and HBM IV, Inc. is attached to Diginex Limited’s registration statement of which this prospectus forms a part as Exhibit 10.2.</w:t>
      </w:r>
    </w:p>
    <w:p>
      <w:pPr>
        <w:spacing w:after="0" w:line="153" w:lineRule="exact"/>
        <w:rPr>
          <w:rFonts w:ascii="Times New Roman" w:cs="Times New Roman" w:eastAsia="Times New Roman" w:hAnsi="Times New Roman"/>
          <w:sz w:val="25"/>
          <w:szCs w:val="25"/>
          <w:color w:val="auto"/>
          <w:vertAlign w:val="superscript"/>
        </w:rPr>
      </w:pPr>
    </w:p>
    <w:p>
      <w:pPr>
        <w:ind w:firstLine="1"/>
        <w:spacing w:after="0" w:line="203" w:lineRule="auto"/>
        <w:tabs>
          <w:tab w:leader="none" w:pos="211"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New Convertible Note between Diginex Limited and Nalimz Holdings Limited is attached to Diginex Limited’s registration statement of which this prospectus forms a part as Exhibit 10.3.</w:t>
      </w:r>
    </w:p>
    <w:p>
      <w:pPr>
        <w:spacing w:after="0" w:line="23" w:lineRule="exact"/>
        <w:rPr>
          <w:rFonts w:ascii="Times New Roman" w:cs="Times New Roman" w:eastAsia="Times New Roman" w:hAnsi="Times New Roman"/>
          <w:sz w:val="27"/>
          <w:szCs w:val="27"/>
          <w:color w:val="auto"/>
          <w:vertAlign w:val="superscript"/>
        </w:rPr>
      </w:pPr>
    </w:p>
    <w:p>
      <w:pPr>
        <w:ind w:firstLine="1"/>
        <w:spacing w:after="0" w:line="218" w:lineRule="auto"/>
        <w:tabs>
          <w:tab w:leader="none" w:pos="198"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New Convertible Note between Diginex Limited and Working Capital Innovation Fund II, L.P. is attached to Diginex Limited’s registration statement of which this prospectus forms a part as Exhibit 10.4.</w:t>
      </w:r>
    </w:p>
    <w:p>
      <w:pPr>
        <w:spacing w:after="0" w:line="23" w:lineRule="exact"/>
        <w:rPr>
          <w:rFonts w:ascii="Times New Roman" w:cs="Times New Roman" w:eastAsia="Times New Roman" w:hAnsi="Times New Roman"/>
          <w:sz w:val="25"/>
          <w:szCs w:val="25"/>
          <w:color w:val="auto"/>
          <w:vertAlign w:val="superscript"/>
        </w:rPr>
      </w:pPr>
    </w:p>
    <w:p>
      <w:pPr>
        <w:ind w:firstLine="1"/>
        <w:spacing w:after="0" w:line="218" w:lineRule="auto"/>
        <w:tabs>
          <w:tab w:leader="none" w:pos="198"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New Convertible Note between Diginex Limited and Rhino Ventures Limited is attached to Diginex Limited’s registration statement of which this prospectus forms a part as Exhibit 10.5.</w:t>
      </w:r>
    </w:p>
    <w:p>
      <w:pPr>
        <w:spacing w:after="0" w:line="23" w:lineRule="exact"/>
        <w:rPr>
          <w:rFonts w:ascii="Times New Roman" w:cs="Times New Roman" w:eastAsia="Times New Roman" w:hAnsi="Times New Roman"/>
          <w:sz w:val="25"/>
          <w:szCs w:val="25"/>
          <w:color w:val="auto"/>
          <w:vertAlign w:val="superscript"/>
        </w:rPr>
      </w:pPr>
    </w:p>
    <w:p>
      <w:pPr>
        <w:ind w:firstLine="1"/>
        <w:spacing w:after="0"/>
        <w:tabs>
          <w:tab w:leader="none" w:pos="198"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New Convertible Note between Diginex Limited and Hafnia SG Pte Ltd. is attached to Diginex Limited’s registration statement of which this Prospectus forms a part as Exhibit 10.6.</w:t>
      </w:r>
    </w:p>
    <w:p>
      <w:pPr>
        <w:spacing w:after="0" w:line="317" w:lineRule="exact"/>
        <w:rPr>
          <w:rFonts w:ascii="Times New Roman" w:cs="Times New Roman" w:eastAsia="Times New Roman" w:hAnsi="Times New Roman"/>
          <w:sz w:val="25"/>
          <w:szCs w:val="25"/>
          <w:color w:val="auto"/>
          <w:vertAlign w:val="superscript"/>
        </w:rPr>
      </w:pPr>
    </w:p>
    <w:p>
      <w:pPr>
        <w:jc w:val="both"/>
        <w:ind w:firstLine="606"/>
        <w:spacing w:after="0" w:line="277" w:lineRule="auto"/>
        <w:tabs>
          <w:tab w:leader="none" w:pos="873"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Cancellation and Issuance of Share Options. Diginex Limited granted certain share options (the “New Options”) under the new option plan that was adopted by Diginex Limited to the holders of the unexercised share options granted by DSL (the “Original Share Options”), in consideration for the cancellation of the Original Share Options held by such holders. A copy of the form of the cancellation and issuance agreements for the Original Share Options and the New Options (the “Option Cancellation and Issuance Agreement”) is attached to Diginex Limited’s registration statement of which this Prospectus forms a part as Exhibit 10.7</w:t>
      </w:r>
    </w:p>
    <w:p>
      <w:pPr>
        <w:spacing w:after="0" w:line="159" w:lineRule="exact"/>
        <w:rPr>
          <w:rFonts w:ascii="Times New Roman" w:cs="Times New Roman" w:eastAsia="Times New Roman" w:hAnsi="Times New Roman"/>
          <w:sz w:val="16"/>
          <w:szCs w:val="16"/>
          <w:color w:val="auto"/>
        </w:rPr>
      </w:pPr>
    </w:p>
    <w:p>
      <w:pPr>
        <w:jc w:val="both"/>
        <w:ind w:firstLine="606"/>
        <w:spacing w:after="0" w:line="256" w:lineRule="auto"/>
        <w:tabs>
          <w:tab w:leader="none" w:pos="90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and Issuance of Warrants. Diginex Limited granted certain warrants (the “New Warrants”) to purchase Ordinary Shares of Diginex Limited to the holders of the then existing warrants to purchase ordinary shares of DSL (the “Original Warrants”), in consideration for the cancellation of the Original Warrants held by such holders. There is no automatic conversion associated with the warrants. The New Warrants entitle the holder to acquire 51% of the outstanding Ordinary Shares of the Company at the time of exercise and are exercisable at a price of US$6.13 per warrant for a term of 3 years from May 27,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Below is a table of the Cancellation and Issuance of Warrants:</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7"/>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Number of DSL</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Number of Diginex</w:t>
            </w:r>
          </w:p>
        </w:tc>
      </w:tr>
      <w:tr>
        <w:trPr>
          <w:trHeight w:val="218"/>
        </w:trPr>
        <w:tc>
          <w:tcPr>
            <w:tcW w:w="5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of Warrant holder</w:t>
            </w: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6"/>
              </w:rPr>
              <w:t>Warrant</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Limited Warrants</w:t>
            </w:r>
          </w:p>
        </w:tc>
      </w:tr>
      <w:tr>
        <w:trPr>
          <w:trHeight w:val="195"/>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Rhino Ventures Limited</w:t>
            </w:r>
          </w:p>
        </w:tc>
        <w:tc>
          <w:tcPr>
            <w:tcW w:w="18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10,172</w:t>
            </w:r>
          </w:p>
        </w:tc>
        <w:tc>
          <w:tcPr>
            <w:tcW w:w="2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4,170,520</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Following the consummation of the Restructuring, DSL became a wholly owned subsidiary of Diginex Limited, and the former shareholders and securityholders of DSL became shareholders and securityholders of Diginex Limited. Following the Restructuring, Diginex Limited has subsidiaries located in Hong Kong, United Kingdom and United States of America. Diginex Limited is the sole owner of DSL, and through DSL the sole owner of (i) Diginex Services Limited, a corporation formed in the United Kingdom and (ii) Diginex USA LLC, a limited liability company formed in the State of Delaware.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INDUSTRY OVERVIEW</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“ESG” is a recent evolution in corporate sustainability thinking, and it encapsulates a series of Environmental, Social, and Governance-related criteria to measure and evaluate both business impacts as well as risks and opportunities.</w:t>
      </w:r>
    </w:p>
    <w:p>
      <w:pPr>
        <w:spacing w:after="0" w:line="159" w:lineRule="exact"/>
        <w:rPr>
          <w:sz w:val="20"/>
          <w:szCs w:val="20"/>
          <w:color w:val="auto"/>
        </w:rPr>
      </w:pPr>
    </w:p>
    <w:p>
      <w:pPr>
        <w:jc w:val="both"/>
        <w:ind w:left="600" w:hanging="297"/>
        <w:spacing w:after="0" w:line="261"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(E): This pillar focuses on a company’s impact on the natural environment as well as how it manages environmental risks and opportunities. It includes considerations like carbon emissions, energy use, waste management, water conservation, biodiversity loss, and compliance with environmental regulations.</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Social (S): This dimension focuses on a company’s impact on society and how it treats different groups of people, including employees, suppliers, customers, and the communities where it operates. It also addresses people-related risks and opportunities for the company. Key issues include workplace health &amp; safety, diversity &amp; inclusion, human rights and forced labor, data protection, and community engagement.</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Governance (G): This component refers to the structures, processes and internal controls a company uses to guide its operations. Internally, it encompasses leadership structures, executive pay, ethical and corporate guidelines, and decision-making processes. Externally, it involves stakeholder engagement, compliance with regulations, and transparent disclosure practices.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the modern business landscape, ESG considerations have emerged as paramount. Corporate governance, sustainability and the consideration of environmental and social concerns are not new to the business world. But as global ESG-related challenges like climate change, societal inequalities, and corporate scandals become more pronounced and understood, the importance of ESG factors has soared. Key stakeholders, including consumers, investors, and regulators, now increasingly demand transparency and accountability on these fronts. With the introduction of mandated sustainability and supply chain due diligence reporting requirements, regulators are seeking for a balanced approach, in Europe and elsewhere, to avoid overregulation in favor of an approach where sustainability supports the competitiveness of companies and industries.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differing needs for ESG disclosures:</w:t>
      </w:r>
    </w:p>
    <w:p>
      <w:pPr>
        <w:spacing w:after="0" w:line="208" w:lineRule="exact"/>
        <w:rPr>
          <w:sz w:val="20"/>
          <w:szCs w:val="20"/>
          <w:color w:val="auto"/>
        </w:rPr>
      </w:pPr>
    </w:p>
    <w:p>
      <w:pPr>
        <w:jc w:val="both"/>
        <w:ind w:left="600" w:hanging="297"/>
        <w:spacing w:after="0" w:line="277" w:lineRule="auto"/>
        <w:tabs>
          <w:tab w:leader="none" w:pos="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disclosure and ESG-related regulations are on the rise globally, with regulators increasingly mandating standardized and transparent reporting of companies’ ESG performance to ensure stakeholders, particularly investors, have access to comprehensive, comparable, and reliable information. The European Union and others, such as the United Kingdom and Singapore are moving to mandatory ESG disclosure requirements from their previous voluntary stance. Whilst the European Union regulations have had a reduction in scope and a delay in implementing it will still result in mandatory reporting.</w:t>
      </w:r>
    </w:p>
    <w:p>
      <w:pPr>
        <w:spacing w:after="0" w:line="159" w:lineRule="exact"/>
        <w:rPr>
          <w:rFonts w:ascii="Times New Roman" w:cs="Times New Roman" w:eastAsia="Times New Roman" w:hAnsi="Times New Roman"/>
          <w:sz w:val="16"/>
          <w:szCs w:val="16"/>
          <w:color w:val="auto"/>
        </w:rPr>
      </w:pPr>
    </w:p>
    <w:p>
      <w:pPr>
        <w:jc w:val="both"/>
        <w:ind w:left="600" w:hanging="297"/>
        <w:spacing w:after="0" w:line="256"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interest in ESG is rising exponentially, reshaping the financial landscape and putting increased pressure on corporates to disclose ESG performance data. The ESG investment industry currently represents somewhere between $30 and $40 trillion in assets under management globally, and despite some recent performance wobbles and drawdowns, that number is expected to grow to between $35 and $50 trillion by 2030. In turn, the global sustainable lending and bond market size has multiplied in the last years and is expected to keep its pace.</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Consumer demands are putting additional pressure on transparency and ESG performance. Growing concerns about environmental challenges as well as greater expectations around societal issues have brought sustainability into the mainstream. As a result, consumers increasingly prioritize environmental and social responsibility in their purchasing decisions with a growing demand for sustainable products and companies.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key characteristic of the ESG movement is its reliance on data and measurable metrics. In contrast to previous corporate sustainability movements (e.g., Corporate Social Responsibility “CRS”) which often involved self-regulated practices and policies, ESG is grounded on quantifiable and comparable data based on specific metrics to validate outcomes and performance. As such, regulatory pressures, investor interest and changing consumer demands are putting significant pressure on corporates to produce, manage and disclosure ESG performance data, relating to both their own business as well as their supply chain.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7"/>
          <w:szCs w:val="17"/>
          <w:color w:val="auto"/>
        </w:rPr>
        <w:t>As ESG becomes integral to business strategies, investor criteria, and regulatory compliance, there is a growing need for specialized tools to handle ESG data. As the volume and complexity of ESG data, disclosure and performance requirements increase, tools that can gather, analyze, and present this information in a cohesive manner that adheres to key requirements become indispensable. In an environment where ESG performance and disclosure can directly influence investor decisions, brand reputation, and regulatory compliance, having precise and comprehensive ESG software tools is crucial for businesses. Three prominent examples of ESG software include:</w:t>
      </w:r>
    </w:p>
    <w:p>
      <w:pPr>
        <w:spacing w:after="0" w:line="176" w:lineRule="exact"/>
        <w:rPr>
          <w:sz w:val="20"/>
          <w:szCs w:val="20"/>
          <w:color w:val="auto"/>
        </w:rPr>
      </w:pPr>
    </w:p>
    <w:p>
      <w:pPr>
        <w:jc w:val="both"/>
        <w:ind w:left="600" w:hanging="297"/>
        <w:spacing w:after="0" w:line="256"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ESG reporting and data management software, which generally facilitates the systematic collection, organization, and presentation of a company’s ESG performance data. It provides a structured platform for businesses to document and report their sustainability and ethical initiatives, ensuring transparency and adherence to established standards. Such software is instrumental in meeting the increasing demands of stakeholders, regulators, and investors for comprehensive and verifiable ESG disclosures.</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Carbon management software, which generally helps businesses to quantify, monitor, and manage their Greenhouse Gas (GHG) emissions. By providing insights into carbon-producing activities and their implications, this type of software typically aids in the formulation of strategies to reduce carbon footprints. Companies use these tools to align with environmental standards, regulatory requirements, and sustainability goals.</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sustainability software, which generally assists companies in overseeing the sustainability practices within their supply chain, providing tools to evaluate and ensure that suppliers and partners adhere to prescribed ethical, environmental, and social standards. By providing a holistic view of the supply chain’s sustainability performance, this type of software supports companies in maintaining integrity throughout their operations, mitigating risks and reinforcing commitment to responsible sourcing and production.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market for ESG software is already experiencing rapid growth and is expected to keep its pace over the coming years.</w:t>
      </w:r>
    </w:p>
    <w:p>
      <w:pPr>
        <w:spacing w:after="0" w:line="208" w:lineRule="exact"/>
        <w:rPr>
          <w:sz w:val="20"/>
          <w:szCs w:val="20"/>
          <w:color w:val="auto"/>
        </w:rPr>
      </w:pPr>
    </w:p>
    <w:p>
      <w:pPr>
        <w:jc w:val="both"/>
        <w:ind w:left="600" w:hanging="297"/>
        <w:spacing w:after="0" w:line="268"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global market spends on ESG reporting software is expected to grow from over $1.3 billion in 2023 to over $5.6 billion in 2029, at a compound annual growth rate (“CAGR”) of 26%. Industries with complex supply chains – particularly manufacturing, and wholesale and retail trade – are expected to have the highest growth rates between 2023 and 2029. </w:t>
      </w:r>
      <w:r>
        <w:rPr>
          <w:rFonts w:ascii="Times New Roman" w:cs="Times New Roman" w:eastAsia="Times New Roman" w:hAnsi="Times New Roman"/>
          <w:sz w:val="28"/>
          <w:szCs w:val="28"/>
          <w:color w:val="auto"/>
          <w:vertAlign w:val="superscript"/>
        </w:rPr>
        <w:t>1</w:t>
      </w:r>
    </w:p>
    <w:p>
      <w:pPr>
        <w:spacing w:after="0" w:line="48" w:lineRule="exact"/>
        <w:rPr>
          <w:rFonts w:ascii="Times New Roman" w:cs="Times New Roman" w:eastAsia="Times New Roman" w:hAnsi="Times New Roman"/>
          <w:sz w:val="17"/>
          <w:szCs w:val="17"/>
          <w:color w:val="auto"/>
        </w:rPr>
      </w:pPr>
    </w:p>
    <w:p>
      <w:pPr>
        <w:ind w:left="600" w:hanging="297"/>
        <w:spacing w:after="0" w:line="281"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carbon management software market grew from USD 13.08 billion in 2024 to USD 14.98 billion in 2025. It is expected to continue growing at a CAGR of 13.93%, reaching USD 28.63 billion by 2030. </w:t>
      </w:r>
      <w:r>
        <w:rPr>
          <w:rFonts w:ascii="Times New Roman" w:cs="Times New Roman" w:eastAsia="Times New Roman" w:hAnsi="Times New Roman"/>
          <w:sz w:val="28"/>
          <w:szCs w:val="28"/>
          <w:color w:val="auto"/>
          <w:vertAlign w:val="superscript"/>
        </w:rPr>
        <w:t>2</w:t>
      </w:r>
    </w:p>
    <w:p>
      <w:pPr>
        <w:spacing w:after="0" w:line="37" w:lineRule="exact"/>
        <w:rPr>
          <w:rFonts w:ascii="Times New Roman" w:cs="Times New Roman" w:eastAsia="Times New Roman" w:hAnsi="Times New Roman"/>
          <w:sz w:val="17"/>
          <w:szCs w:val="17"/>
          <w:color w:val="auto"/>
        </w:rPr>
      </w:pPr>
    </w:p>
    <w:p>
      <w:pPr>
        <w:ind w:left="600" w:hanging="297"/>
        <w:spacing w:after="0" w:line="281"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global supply chain sustainability software market was valued at approximately USD 1.7 billion in 2023 and is projected to grow to USD 6.8 billion by 2028, reflecting a CAGR of 32% </w:t>
      </w:r>
      <w:r>
        <w:rPr>
          <w:rFonts w:ascii="Times New Roman" w:cs="Times New Roman" w:eastAsia="Times New Roman" w:hAnsi="Times New Roman"/>
          <w:sz w:val="28"/>
          <w:szCs w:val="28"/>
          <w:color w:val="auto"/>
          <w:vertAlign w:val="superscript"/>
        </w:rPr>
        <w:t>3</w:t>
      </w:r>
    </w:p>
    <w:p>
      <w:pPr>
        <w:spacing w:after="0" w:line="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As ESG becomes increasingly important, companies are not only looking for software to gain operational efficiencies and streamline their reporting, data management, and compliance processes. Corporates are also increasingly relying on consulting services to support them in their sustainability and ESG programs. ESG consulting covers a wide range of services, including support for ESG and sustainability corporate strategy, digital transformation, corporate reporting and disclosures, operational transformation, product stewardship and supply chain sustainability, among others. In par with the software market, investment in ESG and sustainability consulting reached USD 11.5 billion in 2022, expected to grow to USD 48 billion by 2028 at a CAGR of 27%. </w:t>
      </w:r>
      <w:r>
        <w:rPr>
          <w:rFonts w:ascii="Times New Roman" w:cs="Times New Roman" w:eastAsia="Times New Roman" w:hAnsi="Times New Roman"/>
          <w:sz w:val="28"/>
          <w:szCs w:val="28"/>
          <w:color w:val="auto"/>
          <w:vertAlign w:val="superscript"/>
        </w:rPr>
        <w:t>1</w:t>
      </w:r>
    </w:p>
    <w:p>
      <w:pPr>
        <w:spacing w:after="0" w:line="5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Going forward, technological innovations like AI are expected to keep driving market growth, making data collection and analysis more nuanced. Additionally, as ESG becomes a global standard, emerging markets will also substantially contribute to the growth, requiring businesses worldwide to adopt ESG reporting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17856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08" w:lineRule="exact"/>
        <w:rPr>
          <w:sz w:val="20"/>
          <w:szCs w:val="20"/>
          <w:color w:val="auto"/>
        </w:rPr>
      </w:pPr>
    </w:p>
    <w:p>
      <w:pPr>
        <w:ind w:left="100" w:hanging="99"/>
        <w:spacing w:after="0"/>
        <w:tabs>
          <w:tab w:leader="none" w:pos="100" w:val="left"/>
        </w:tabs>
        <w:numPr>
          <w:ilvl w:val="0"/>
          <w:numId w:val="2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Verdantix Market Size And Forecast: ESG Reporting Software 2023-2029 (Global)</w:t>
      </w:r>
    </w:p>
    <w:p>
      <w:pPr>
        <w:spacing w:after="0" w:line="18" w:lineRule="exact"/>
        <w:rPr>
          <w:sz w:val="20"/>
          <w:szCs w:val="20"/>
          <w:color w:val="auto"/>
        </w:rPr>
      </w:pPr>
    </w:p>
    <w:p>
      <w:pPr>
        <w:ind w:firstLine="1"/>
        <w:spacing w:after="0" w:line="196" w:lineRule="auto"/>
        <w:tabs>
          <w:tab w:leader="none" w:pos="105" w:val="left"/>
        </w:tabs>
        <w:numPr>
          <w:ilvl w:val="0"/>
          <w:numId w:val="2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Carbon Management Software Market by Component, Deployment Mode, Enterprise Size, Organization Type, Application, End User Industry - Global Forecast to 2030</w:t>
      </w: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i w:val="1"/>
          <w:iCs w:val="1"/>
          <w:color w:val="auto"/>
        </w:rPr>
        <w:t xml:space="preserve"> Verdantix Green Quadrant: Supply Chain Sustainability Software 2024</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There will be no dilution as a result of the sale of the Ordinary Shares by the Selling Shareholder named in this Resale Prospectus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will not receive any of the proceeds from the sale of 2,250,000 the Ordinary Shares or the sale of the 2,250,000 the Ordinary Shares underlying the IPO Warrants held by the Selling Shareholder named in this Resale Prospectus, however in the event the warrants are exercised then the Company will receive the exercise price of the warrants that are exercised. If all of the 2,250,000 the Ordinary Shares underlying the IPO Warrants held by the Selling Shareholder are exercised, we will receive an aggregate amount of $13,837,500. We plan to use such proceeds from the exercise of the IPO Warrants for working capital purposes.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2" w:lineRule="exact"/>
        <w:rPr>
          <w:sz w:val="20"/>
          <w:szCs w:val="20"/>
          <w:color w:val="auto"/>
        </w:rPr>
      </w:pPr>
    </w:p>
    <w:p>
      <w:pPr>
        <w:jc w:val="both"/>
        <w:ind w:firstLine="404"/>
        <w:spacing w:after="0" w:line="261" w:lineRule="auto"/>
        <w:rPr>
          <w:sz w:val="20"/>
          <w:szCs w:val="20"/>
          <w:color w:val="auto"/>
        </w:rPr>
      </w:pPr>
      <w:r>
        <w:rPr>
          <w:rFonts w:ascii="Times New Roman" w:cs="Times New Roman" w:eastAsia="Times New Roman" w:hAnsi="Times New Roman"/>
          <w:sz w:val="17"/>
          <w:szCs w:val="17"/>
          <w:color w:val="auto"/>
        </w:rPr>
        <w:t>We intend to keep all future earnings to finance the expansion of our business, and we do not anticipate that any cash dividends will be paid in the foreseeable future. As a holding company, our ability to pay and declare dividends will depend on a number of factors, including our receipt of funds from our subsidiaries. Cash dividends, if any, on our Ordinary Shares will be paid in U.S. dollars.</w:t>
      </w:r>
    </w:p>
    <w:p>
      <w:pPr>
        <w:spacing w:after="0" w:line="169" w:lineRule="exact"/>
        <w:rPr>
          <w:sz w:val="20"/>
          <w:szCs w:val="20"/>
          <w:color w:val="auto"/>
        </w:rPr>
      </w:pPr>
    </w:p>
    <w:p>
      <w:pPr>
        <w:jc w:val="both"/>
        <w:ind w:firstLine="404"/>
        <w:spacing w:after="0" w:line="271" w:lineRule="auto"/>
        <w:rPr>
          <w:sz w:val="20"/>
          <w:szCs w:val="20"/>
          <w:color w:val="auto"/>
        </w:rPr>
      </w:pPr>
      <w:r>
        <w:rPr>
          <w:rFonts w:ascii="Times New Roman" w:cs="Times New Roman" w:eastAsia="Times New Roman" w:hAnsi="Times New Roman"/>
          <w:sz w:val="16"/>
          <w:szCs w:val="16"/>
          <w:color w:val="auto"/>
        </w:rPr>
        <w:t>Our board of directors has complete discretion in deciding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w:t>
      </w:r>
    </w:p>
    <w:p>
      <w:pPr>
        <w:spacing w:after="0" w:line="1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Under the current practice of the Inland Revenue Department of Hong Kong, no tax is payable in Hong Kong in respect of dividends paid by us.</w:t>
      </w:r>
    </w:p>
    <w:p>
      <w:pPr>
        <w:spacing w:after="0" w:line="208" w:lineRule="exact"/>
        <w:rPr>
          <w:sz w:val="20"/>
          <w:szCs w:val="20"/>
          <w:color w:val="auto"/>
        </w:rPr>
      </w:pPr>
    </w:p>
    <w:p>
      <w:pPr>
        <w:jc w:val="both"/>
        <w:ind w:firstLine="404"/>
        <w:spacing w:after="0" w:line="274" w:lineRule="auto"/>
        <w:rPr>
          <w:sz w:val="20"/>
          <w:szCs w:val="20"/>
          <w:color w:val="auto"/>
        </w:rPr>
      </w:pPr>
      <w:r>
        <w:rPr>
          <w:rFonts w:ascii="Times New Roman" w:cs="Times New Roman" w:eastAsia="Times New Roman" w:hAnsi="Times New Roman"/>
          <w:sz w:val="17"/>
          <w:szCs w:val="17"/>
          <w:color w:val="auto"/>
        </w:rPr>
        <w:t>Any dividends to be paid by us are not subject to taxation in the Cayman Islands under current laws and regulations. See “Taxation — Cayman Islands Taxation.”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MARCH 31, 2025, 2024 AND 2023</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of our financial condition and results of operations of Diginex Limited in conjunction with its consolidated financial statements and the related notes included elsewhere in this prospectus. The discussion in this prospectus contains forward-looking statements that involve risks and uncertainties, such as statements of our plans, objectives, expectations and intentions. The cautionary statements made in this prospectus should be read as applying to all related forward-looking statements wherever they appear in this prospectus. Our actual results could differ materially from those discussed in these forward-looking statements. Factors that could cause or contribute to these differences include those discussed below and elsewhere in this prospectus, particularly those set forth in the section entitled “Risk Factors.”</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The following Management Discussion and Analysis should be read in conjunction with its consolidated financial statements and the related notes of Diginex Limited for the year ended March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 Operating Results</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5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Comparison of the Years Ended March 31, 2025, 2024 and 2023</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Borders>
              <w:bottom w:val="single" w:sz="8" w:color="auto"/>
            </w:tcBorders>
            <w:gridSpan w:val="5"/>
          </w:tcPr>
          <w:p>
            <w:pPr>
              <w:jc w:val="center"/>
              <w:ind w:left="936"/>
              <w:spacing w:after="0"/>
              <w:rPr>
                <w:sz w:val="20"/>
                <w:szCs w:val="20"/>
                <w:color w:val="auto"/>
              </w:rPr>
            </w:pPr>
            <w:r>
              <w:rPr>
                <w:rFonts w:ascii="Times New Roman" w:cs="Times New Roman" w:eastAsia="Times New Roman" w:hAnsi="Times New Roman"/>
                <w:sz w:val="17"/>
                <w:szCs w:val="17"/>
                <w:b w:val="1"/>
                <w:bCs w:val="1"/>
                <w:color w:val="auto"/>
                <w:w w:val="98"/>
              </w:rPr>
              <w:t>For the year ended March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60" w:type="dxa"/>
            <w:vAlign w:val="bottom"/>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in USD millions</w:t>
            </w:r>
          </w:p>
        </w:tc>
        <w:tc>
          <w:tcPr>
            <w:tcW w:w="1360" w:type="dxa"/>
            <w:vAlign w:val="bottom"/>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vMerge w:val="restart"/>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(10.3)</w:t>
            </w:r>
          </w:p>
        </w:tc>
        <w:tc>
          <w:tcPr>
            <w:tcW w:w="16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color w:val="auto"/>
              </w:rPr>
              <w:t>(9.4)</w:t>
            </w: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(8.3)</w:t>
            </w:r>
          </w:p>
        </w:tc>
        <w:tc>
          <w:tcPr>
            <w:tcW w:w="16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b w:val="1"/>
                <w:bCs w:val="1"/>
                <w:color w:val="auto"/>
              </w:rPr>
              <w:t>(8.1)</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gains or (losses)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costs, net</w:t>
            </w: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(0.4)</w:t>
            </w:r>
          </w:p>
        </w:tc>
        <w:tc>
          <w:tcPr>
            <w:tcW w:w="16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(0.6)</w:t>
            </w:r>
          </w:p>
        </w:tc>
        <w:tc>
          <w:tcPr>
            <w:tcW w:w="3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before tax</w:t>
            </w: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(5.2)</w:t>
            </w:r>
          </w:p>
        </w:tc>
        <w:tc>
          <w:tcPr>
            <w:tcW w:w="1600" w:type="dxa"/>
            <w:vAlign w:val="bottom"/>
            <w:gridSpan w:val="2"/>
          </w:tcPr>
          <w:p>
            <w:pPr>
              <w:jc w:val="right"/>
              <w:ind w:right="178"/>
              <w:spacing w:after="0"/>
              <w:rPr>
                <w:sz w:val="20"/>
                <w:szCs w:val="20"/>
                <w:color w:val="auto"/>
              </w:rPr>
            </w:pPr>
            <w:r>
              <w:rPr>
                <w:rFonts w:ascii="Times New Roman" w:cs="Times New Roman" w:eastAsia="Times New Roman" w:hAnsi="Times New Roman"/>
                <w:sz w:val="17"/>
                <w:szCs w:val="17"/>
                <w:b w:val="1"/>
                <w:bCs w:val="1"/>
                <w:color w:val="auto"/>
              </w:rPr>
              <w:t>(4.9)</w:t>
            </w:r>
          </w:p>
        </w:tc>
        <w:tc>
          <w:tcPr>
            <w:tcW w:w="3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for the year</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(4.9</w:t>
            </w:r>
          </w:p>
        </w:tc>
        <w:tc>
          <w:tcPr>
            <w:tcW w:w="260" w:type="dxa"/>
            <w:vAlign w:val="bottom"/>
          </w:tcPr>
          <w:p>
            <w:pPr>
              <w:jc w:val="right"/>
              <w:ind w:right="17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46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Borders>
              <w:bottom w:val="single" w:sz="8" w:color="auto"/>
            </w:tcBorders>
            <w:gridSpan w:val="5"/>
          </w:tcPr>
          <w:p>
            <w:pPr>
              <w:jc w:val="center"/>
              <w:ind w:left="936"/>
              <w:spacing w:after="0"/>
              <w:rPr>
                <w:sz w:val="20"/>
                <w:szCs w:val="20"/>
                <w:color w:val="auto"/>
              </w:rPr>
            </w:pPr>
            <w:r>
              <w:rPr>
                <w:rFonts w:ascii="Times New Roman" w:cs="Times New Roman" w:eastAsia="Times New Roman" w:hAnsi="Times New Roman"/>
                <w:sz w:val="17"/>
                <w:szCs w:val="17"/>
                <w:b w:val="1"/>
                <w:bCs w:val="1"/>
                <w:color w:val="auto"/>
                <w:w w:val="98"/>
              </w:rPr>
              <w:t>For the year ended March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60" w:type="dxa"/>
            <w:vAlign w:val="bottom"/>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in USD millions</w:t>
            </w:r>
          </w:p>
        </w:tc>
        <w:tc>
          <w:tcPr>
            <w:tcW w:w="1360" w:type="dxa"/>
            <w:vAlign w:val="bottom"/>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vMerge w:val="restart"/>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 Subscriptions and License fees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Advisory fees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Customization fees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28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Revenue increased by $0.7 million to $2.0 million for the year ended March 31, 2025 from $1.3 million for the year ended March 31, 2024, primarily driven by a $0.9 million increase in revenue from software subscriptions and licenses. This increase was partially offset by a $0.3 million decrease in revenue from Customization.</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During the year ended March 31, 2025, the Group recognized revenues of $0.9 million by granting a non-exclusive right to use a white label version of diginexESG for distribution in Malaysia. This was a one-off fee but if revenues generated by the client exceed $0.9 million then Diginex will receive 50% of any future revenues earned above $0.9 million. Excluding the impact of this sale, the software subscription fees of diginexESG and diginexLUMEN remained broadly flat at $0.4 million for both the year ended March 31, 2025 and the year ended March 31, 2024. Revenues from software subscriptions and licenses for the year ended March 31, 2023 was also $0.4 million.</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Advisory revenue is generated by providing services such as developing ESG strategies, conducting ESG materiality assessments and conducting training sessions on a range of ESG topics. There was a marginal increase in revenues to $0.3 million for the year ended March 31, 2025 when compared to $0.2 million generated in the year ended March 31, 2024 and $0.2 million generated in the year ended March 31, 2023.</w:t>
      </w:r>
    </w:p>
    <w:p>
      <w:pPr>
        <w:spacing w:after="0" w:line="169"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Customization revenue relates to the development of tailored features for diginexESG or diginexLUMEN to meet specific client needs. Revenue fell by $0.3 million to $0.4 million for the year ended March 31, 2025 when compared to March 31, 2024. Diginex made a strategic decision to allocate more resources to the growth of diginexESG and diginexLUMEN which has been a factor behind the reduced revenue. The revenue for the year ended March 31, 2023 was $1.0 million.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7"/>
                <w:szCs w:val="17"/>
                <w:b w:val="1"/>
                <w:bCs w:val="1"/>
                <w:color w:val="auto"/>
              </w:rPr>
              <w:t>For the year ended March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60" w:type="dxa"/>
            <w:vAlign w:val="bottom"/>
            <w:gridSpan w:val="3"/>
          </w:tcPr>
          <w:p>
            <w:pPr>
              <w:ind w:left="1120"/>
              <w:spacing w:after="0"/>
              <w:rPr>
                <w:sz w:val="20"/>
                <w:szCs w:val="20"/>
                <w:color w:val="auto"/>
              </w:rPr>
            </w:pPr>
            <w:r>
              <w:rPr>
                <w:rFonts w:ascii="Times New Roman" w:cs="Times New Roman" w:eastAsia="Times New Roman" w:hAnsi="Times New Roman"/>
                <w:sz w:val="17"/>
                <w:szCs w:val="17"/>
                <w:b w:val="1"/>
                <w:bCs w:val="1"/>
                <w:color w:val="auto"/>
              </w:rPr>
              <w:t>in USD millions</w:t>
            </w:r>
          </w:p>
        </w:tc>
        <w:tc>
          <w:tcPr>
            <w:tcW w:w="1360" w:type="dxa"/>
            <w:vAlign w:val="bottom"/>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18"/>
                <w:szCs w:val="18"/>
                <w:color w:val="auto"/>
              </w:rPr>
            </w:pPr>
          </w:p>
        </w:tc>
        <w:tc>
          <w:tcPr>
            <w:tcW w:w="1340" w:type="dxa"/>
            <w:vAlign w:val="bottom"/>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vMerge w:val="restart"/>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benefits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 development and maintenance support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Travel and entertainment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 based payments (non-employee related)</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and depreciation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Borders>
              <w:bottom w:val="single" w:sz="8" w:color="CCEEFF"/>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4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10.3</w:t>
            </w:r>
          </w:p>
        </w:tc>
        <w:tc>
          <w:tcPr>
            <w:tcW w:w="2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9.4</w:t>
            </w:r>
          </w:p>
        </w:tc>
        <w:tc>
          <w:tcPr>
            <w:tcW w:w="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8.9</w:t>
            </w:r>
          </w:p>
        </w:tc>
        <w:tc>
          <w:tcPr>
            <w:tcW w:w="80" w:type="dxa"/>
            <w:vAlign w:val="bottom"/>
            <w:tcBorders>
              <w:bottom w:val="single" w:sz="8" w:color="CCEEFF"/>
            </w:tcBorders>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1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7"/>
                <w:szCs w:val="17"/>
                <w:color w:val="auto"/>
              </w:rPr>
              <w:t>39</w:t>
            </w: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0" w:gutter="0" w:footer="0" w:header="0"/>
        </w:sectPr>
      </w:pPr>
    </w:p>
    <w:bookmarkStart w:id="47" w:name="page48"/>
    <w:bookmarkEnd w:id="47"/>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General and administrative expenses increased by $1.0 million for the year ended March 31, 2025 to $10.3 million, compared to $9.3 million for the year ended March 31, 2024, and increased $0.4 million in the year ended March 31,2024 when compared to $8.9 million for the year ended March 31, 2023. The increase in the year ended March 31, 2025 was primarily due to higher professional fees incurred in connection with the Company’s IPO, as well as a share-based payment expense related to preferred shares issued under an anti-dilution clause, which was triggered upon the completion of the $8 million capital raise from Rhino Ventures Limited in May 2024. The increase was partially offset by the reductions in costs related to employee benefits, IT development and maintenance support whilst not impacting on the product roadmap, audit fees, and travel and entertainment.</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increase in general and administrative expenses for the year ended March 31, 2024 compared to the year ended March 31, 2023 was due, in part, to higher audit fees and professional fees, both related to the Company’s IPO, and an increase in travel and entertainment. These increases were partially offset by reduced spending on IT development, and advertising and marketing expenses (classified within Other).</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Employee benefits decreased by $0.2 million to $4.8 million for the year ended March 31, 2025, compared to $5.0 million in both years ended March 31, 2024 and 2023. Employee benefits mainly comprise salaries and share-based payments expenses. The decrease in the year ended March 31, 2025 was primarily driven by the decrease in share-based payments expenses of $0.5 million, partially offset by $0.3 million increase in salaries.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the year ended March 31, 2025, salaries and other benefits, which also included costs associated with contractors, increased by $0.3 million to $4.0 million when compared to the expense of $3.7 million for the year ended March 31,2024. Post the IPO in January 2025, Diginex paid bonuses equivalent to half a month’s salary amounting to $0.2 million. As of March 31, 2025, the Group had 23 employees and 9 contractors, compared to 22 employees and 7 contractors as of March 31, 2024. The average headcount (including contractors) during the year ended March 31, 2025 was 30, the same for the year ended March 31, 2024.</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the year ended March 31, 2024, salaries and other benefits decreased by $0.7 million to $3.7 million, compared to $4.4 million for the year ended March 31, 2023. This decrease was primarily the result of a cost-saving initiative that led to a reduction in headcount. As of March 31, 2024 the Group had 22 employees and 7 contractors, compared to 26 employees and 10 contractors at March 31, 2023. The average headcount (including contractors) in 2024 was 30, a reduction from 39 in 2023.</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Company have had an employee share option plan in place since 2020 and during the year ended March 31,2025 replaced the then existing plan and adopted the Diginex Limited 2024 Omnibus Incentive Plan which outlines the grant of share option award (the “Award”) to selected employees and/or consultants of the Group to subscribe for ordinary shares of the Company. The Board may grant ordinary shares under the Scheme not exceeding 5,400,000 ordinary shares. The Awards are fair valued at each grant date using an equity allocation model and are recognized as an expense over the applicable vesting period. The Group recognized share-based payments expenses of $0.9 million during the year ended March 31 2025, $1.3 million in the year ended March 31, 2024 and $0.6 million in year ended March 31, 2023.</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IT Development and maintenance support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IT development and maintenance support costs decreased by $0.6 million to $1.5 million for the year ended March 31, 2025, following a $0.6 million decrease to $2.1 million for the year ended March 31,2024, compared to $2.7 million for the year ended March 31, 2023. These expenses consist primarily of costs associated with the engagement of third party IT engineers to drive the performance and feature enhancement of the diginexESG and diginexLUMEN platforms. The cost reduction, in part, has been a result of the decision not to focus on Customization projects but focus on feature and functionality enhancements to the software solutions. At March 31, 2025, the Group engaged 21 engineers, compared to 39 engineers at March 31, 2024 and 47 at March 31, 2023.</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Included in IT development and maintenance support are research and development expenses of $0.8 million for the year ended March 31,2025, $1.3 million for year ended March 31, 2024, and $2.1 million for the year ended March 31, 2023.</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Audit fees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Audit fees decreased by $0.2 million to $0.4 million for the year ended March 31, 2025, following a $0.6 million increase to $0.6 million for the year ended March 31, 2024 when compared to the year ended March 31, 2023. The amounts for years ended March 31, 2025 and 2024 primarily related to the audits of the Group’s consolidated financial statements in accordance with the standards of the Public Company Accounting Oversight Board (“PCAOB”) in connection with the Company’s IPO. The audit fees incurred in 2025 were mainly attributable to the audit of the financial year ended March 31, 2025, while the fees incurred during the year ended March 31, 2024 covered the audits of the financial years ended March 31, 2022, 2023, and 2024 as Diginex prepared for IPO</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Professional fees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Professional fees increased by $1.6 million to $2.1 million for the year ended March 31, 2025, following a $0.2 million increase to $0.5 million during the year ended March 31, 2024, when compared to $0.3 million expense for the year ended March 31, 2023. The increases in costs across the years were primarily driven by professional service fees related to the engagement of necessary external experts to assist the Company to complete a successful IPO. Upon the successful closing of the IPO, $1.4 million IPO related costs were capitalized against the share premium account with $1.7 million recorded as an expense in the statement of profit or loss during the year ended March 31, 2025.</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Travel and entertainment</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Travel and entertainment decreased by $0.1 million to $0.4 million for the year ended March 31 2025, following a $0.5 million increase to $0.5 million for the year ended March 31, 2024 when compared to the spend during the year ended March 31, 2023. During the year end March 31, 2024, travel expenses increased as the Group actively engaged in investor meetings and pursued new business development opportunities. This activity continued during the year ended March 31, 2025.</w:t>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Share-based payments (non-employee related)</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Group incurred a share-based payment expense of $0.4 million during the year ended March 31, 2025, compared to no such expense in the years ended March 31, 2024 and 2023. In May 2024, the Group completed an $8.0 million capital raise which triggered an anti-dilution clause in the Articles of Association and resulted in 151 preferred shares being issued to a preferred share holder. This award was fair valued at $0.4 million.</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Other expenses remained flat at $0.6 million for the year ended March 31, 2025, following a $0.4 million decrease in the year ended March 31 2024, compared to $0.9 million in year ended March 31, 2023. Other expenses include costs such as expenses related to investor relations activities, office rent, recruitment fees, insurance premiums, marketing and general office expenses. The increase in the year ended March 31, 2025 was mainly driven by investor relations fees following the completion of the IPO.</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expenses in the year ended March 31, 2023 include marketing related fees of $0.5 million which were associated to a digital marketing campaign that was not repeated in either of the years ended March 31, 2025 and 2024.</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222"/>
        </w:trPr>
        <w:tc>
          <w:tcPr>
            <w:tcW w:w="5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Other losses and expenses, net</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16"/>
        </w:trPr>
        <w:tc>
          <w:tcPr>
            <w:tcW w:w="8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For the year ended March 31,</w:t>
            </w:r>
          </w:p>
        </w:tc>
        <w:tc>
          <w:tcPr>
            <w:tcW w:w="1040" w:type="dxa"/>
            <w:vAlign w:val="bottom"/>
            <w:tcBorders>
              <w:bottom w:val="single" w:sz="8" w:color="auto"/>
            </w:tcBorders>
          </w:tcPr>
          <w:p>
            <w:pPr>
              <w:spacing w:after="0"/>
              <w:rPr>
                <w:sz w:val="24"/>
                <w:szCs w:val="24"/>
                <w:color w:val="auto"/>
              </w:rPr>
            </w:pPr>
          </w:p>
        </w:tc>
      </w:tr>
      <w:tr>
        <w:trPr>
          <w:trHeight w:val="207"/>
        </w:trPr>
        <w:tc>
          <w:tcPr>
            <w:tcW w:w="5160" w:type="dxa"/>
            <w:vAlign w:val="bottom"/>
            <w:gridSpan w:val="3"/>
          </w:tcPr>
          <w:p>
            <w:pPr>
              <w:ind w:left="820"/>
              <w:spacing w:after="0"/>
              <w:rPr>
                <w:sz w:val="20"/>
                <w:szCs w:val="20"/>
                <w:color w:val="auto"/>
              </w:rPr>
            </w:pPr>
            <w:r>
              <w:rPr>
                <w:rFonts w:ascii="Times New Roman" w:cs="Times New Roman" w:eastAsia="Times New Roman" w:hAnsi="Times New Roman"/>
                <w:sz w:val="17"/>
                <w:szCs w:val="17"/>
                <w:b w:val="1"/>
                <w:bCs w:val="1"/>
                <w:color w:val="auto"/>
              </w:rPr>
              <w:t>in USD millions</w:t>
            </w: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2025</w:t>
            </w:r>
          </w:p>
        </w:tc>
        <w:tc>
          <w:tcPr>
            <w:tcW w:w="196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0"/>
        </w:trPr>
        <w:tc>
          <w:tcPr>
            <w:tcW w:w="84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623" w:right="339" w:bottom="1440" w:gutter="0" w:footer="0" w:header="0"/>
        </w:sectPr>
      </w:pPr>
    </w:p>
    <w:p>
      <w:pPr>
        <w:ind w:left="1120" w:right="960"/>
        <w:spacing w:after="0" w:line="274" w:lineRule="auto"/>
        <w:rPr>
          <w:sz w:val="20"/>
          <w:szCs w:val="20"/>
          <w:color w:val="auto"/>
        </w:rPr>
      </w:pPr>
      <w:r>
        <w:rPr>
          <w:rFonts w:ascii="Times New Roman" w:cs="Times New Roman" w:eastAsia="Times New Roman" w:hAnsi="Times New Roman"/>
          <w:sz w:val="17"/>
          <w:szCs w:val="17"/>
          <w:color w:val="auto"/>
        </w:rPr>
        <w:t>Net fair value gains/(losses) of financial liabilities at fair value through profit and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-272415</wp:posOffset>
            </wp:positionV>
            <wp:extent cx="5708015" cy="255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8015" cy="255905"/>
                    </a:xfrm>
                    <a:prstGeom prst="rect">
                      <a:avLst/>
                    </a:prstGeom>
                    <a:noFill/>
                  </pic:spPr>
                </pic:pic>
              </a:graphicData>
            </a:graphic>
          </wp:anchor>
        </w:drawing>
      </w:r>
    </w:p>
    <w:p>
      <w:pPr>
        <w:spacing w:after="0" w:line="13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-113030</wp:posOffset>
            </wp:positionV>
            <wp:extent cx="5708015" cy="135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8015" cy="135890"/>
                    </a:xfrm>
                    <a:prstGeom prst="rect">
                      <a:avLst/>
                    </a:prstGeom>
                    <a:noFill/>
                  </pic:spPr>
                </pic:pic>
              </a:graphicData>
            </a:graphic>
          </wp:anchor>
        </w:drawing>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b w:val="1"/>
          <w:bCs w:val="1"/>
          <w:color w:val="auto"/>
        </w:rPr>
        <w:t>Total other gains/(losses) and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3467100</wp:posOffset>
            </wp:positionH>
            <wp:positionV relativeFrom="paragraph">
              <wp:posOffset>27940</wp:posOffset>
            </wp:positionV>
            <wp:extent cx="864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4870" cy="825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44450</wp:posOffset>
            </wp:positionV>
            <wp:extent cx="864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4870" cy="8255"/>
                    </a:xfrm>
                    <a:prstGeom prst="rect">
                      <a:avLst/>
                    </a:prstGeom>
                    <a:noFill/>
                  </pic:spPr>
                </pic:pic>
              </a:graphicData>
            </a:graphic>
          </wp:anchor>
        </w:drawing>
        <w:drawing>
          <wp:anchor simplePos="0" relativeHeight="251657728" behindDoc="1" locked="0" layoutInCell="0" allowOverlap="1">
            <wp:simplePos x="0" y="0"/>
            <wp:positionH relativeFrom="column">
              <wp:posOffset>3467100</wp:posOffset>
            </wp:positionH>
            <wp:positionV relativeFrom="paragraph">
              <wp:posOffset>-114935</wp:posOffset>
            </wp:positionV>
            <wp:extent cx="864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spacing w:after="0" w:line="248"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5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3.5</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416"/>
        </w:trPr>
        <w:tc>
          <w:tcPr>
            <w:tcW w:w="5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0.0</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6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7"/>
        </w:trPr>
        <w:tc>
          <w:tcPr>
            <w:tcW w:w="50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93"/>
              </w:rPr>
              <w:t>3.5</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880" w:space="720"/>
            <w:col w:w="4640"/>
          </w:cols>
          <w:pgMar w:left="320" w:top="623" w:right="339" w:bottom="1440" w:gutter="0" w:footer="0" w:header="0"/>
          <w:type w:val="continuous"/>
        </w:sectPr>
      </w:pPr>
    </w:p>
    <w:bookmarkStart w:id="49" w:name="page50"/>
    <w:bookmarkEnd w:id="49"/>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Group recognized total other gains of $3.5 million for the year ended March 31, 2025, a reduction of $0.3 million when compared to other gains of $3.8 million for the year ended March 31, 2024, while the Group incurred other losses of $1.8 million recognized in the year ended March 31,2023.</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gains and losses incurred in all the years were, primarily, due to the fair value measurement of preferred shares and convertible loan notes.</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Net Fair Value gains/(losses) of Financial Liabilities at Fair Value Through Profit and Loss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July 2021, the Group raised $6.0 million capital via the issuance of redeemable preferred shares. At the end of each reporting period, the preferred shares were fair valued using an equity allocation model, which resulted in a gain of $4.1 million in year ended March 31, 2025, a gain of $4.1 million in the year ended March 2024 and a loss of $1.8 million in the year ended March 31, 2023. No preferred shares were outstanding as of March 31, 2025 following the conversion of preferred shares to ordinary shares on December 20, 2024.</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Group raised $3.25 million via the issuance of 8% convertible loan notes during the year ended March 31, 2023 and a further $0.1 million during the year ended March 31, 2024. During the year ended March 31, 2025 a $1.0 million loan with a related company was converted into a convertible loan note bearing 8% interest. This resulted in a total issuance of $4.35 million 8% convertible loan notes. At the end of each reporting period, the convertible loan notes were fair valued using a binomial option pricing model, which resulted in a loss of $0.6 million in the year ended March 31, 2025, a loss of $0.4 million in the year ended March 31, 2024 and minimal loss of $19,000 in the year ended March 31, 2023. No convertible loan notes were outstanding as of March 31, 2025 following the conversion of convertible loan notes to ordinary shares on December 20, 2024.</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Finance Costs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Finance costs decreased by $0.2 million to $0.4 million for the year ended March 31, 2025, following an increase of $0.4 million to $0.6 million in the year ended March 31, 2024, when compared to $0.2 million expense in year ended March 31 2023.</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During the year ended March 31, 2025, $0.2 million of the finance cost related to the 8% convertible loan notes which compared to $0.3 million during the year ended March 31, 2024 and $0.1 million for the year ended March 31, 2023. The loan from the immediate holding company which bore an 8% coupon resulted in a finance cost of $0.1 million for the year ended March 31, 2025, $0.2 million for the year ended March 31, 2024 and $0.1m for the year ended March 31, 2023. There was also a finance charge on a loan from a related company of $0.1 million for the year ended March 31, 2024, with a lessor amount charged for the years ended March 31, 2025 and 2023. The related company loan charged interest at 8%.</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convertible loan notes, loan from immediate holding company (aside from a $0.5 million cash repayment) and related party loan were all converted into ordinary shares during the year ended March 31, 2025 with no outstanding balances at March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operating activities of the Group in the years ended March 31, 2025, 2024 and 2023 did not generate a taxable charge due to operating losses incurred.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Diginex USA did generate a taxable profit in 2022 with the resulting tax charge being recognized as an under provision in the year ended March 31, 2024.</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Although the Group had operations in United Kingdom and USA during the reporting periods, the majority of its operations have been in Hong Kong. The Group’s Hong Kong operation is subject to Hong Kong Profits Tax under a two-tiered profit tax rates regime, i.e. the first HK$2 million (c.$250,000) of profits of the qualifying group entity will be taxed at 8.25%, and profits above HK$2 million (c.$250,000) will be taxed at 16.5%.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Since commencing operations, the Group has not been materially impacted by changes in inflation.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Impact of Foreign Currency Fluctuations on Results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Group’s main operating currencies have historically been the US Dollar and Hong Kong Dollar. As the Hong Kong Dollar is pegged to the US Dollar, the Group has not been overly exposed to material foreign currency fluctuations in prior years. As the business grows, the Group will be exposed to more foreign currencies and their fluctuations, such as the British Pound and Euro.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Significant Accounting Policies, Judgments and Estimates</w:t>
      </w:r>
    </w:p>
    <w:p>
      <w:pPr>
        <w:spacing w:after="0" w:line="212" w:lineRule="exact"/>
        <w:rPr>
          <w:sz w:val="20"/>
          <w:szCs w:val="20"/>
          <w:color w:val="auto"/>
        </w:rPr>
      </w:pPr>
    </w:p>
    <w:p>
      <w:pPr>
        <w:jc w:val="both"/>
        <w:ind w:firstLine="404"/>
        <w:spacing w:after="0" w:line="254" w:lineRule="auto"/>
        <w:rPr>
          <w:sz w:val="20"/>
          <w:szCs w:val="20"/>
          <w:color w:val="auto"/>
        </w:rPr>
      </w:pPr>
      <w:r>
        <w:rPr>
          <w:rFonts w:ascii="Times New Roman" w:cs="Times New Roman" w:eastAsia="Times New Roman" w:hAnsi="Times New Roman"/>
          <w:sz w:val="17"/>
          <w:szCs w:val="17"/>
          <w:color w:val="auto"/>
        </w:rPr>
        <w:t>The Company prepares consolidated financial statements in accordance with IFRS, which requires it to make judgments, estimates, and assumptions. The Company continually evaluates these judgements, estimates and assumptions based on the most recently available information, its own historical experience, and various other assumptions that the Company believes to be reasonable under the circumstances. Since the use of estimates is an integral component of the financial reporting process, actual results could differ from the Company’s expectations as a result of changes in its estimates. Some of the Company’s accounting policies require a higher degree of judgment than others in their application and require it to make significant accounting estimates.</w:t>
      </w:r>
    </w:p>
    <w:p>
      <w:pPr>
        <w:spacing w:after="0" w:line="176" w:lineRule="exact"/>
        <w:rPr>
          <w:sz w:val="20"/>
          <w:szCs w:val="20"/>
          <w:color w:val="auto"/>
        </w:rPr>
      </w:pPr>
    </w:p>
    <w:p>
      <w:pPr>
        <w:jc w:val="both"/>
        <w:ind w:firstLine="404"/>
        <w:spacing w:after="0" w:line="256" w:lineRule="auto"/>
        <w:rPr>
          <w:sz w:val="20"/>
          <w:szCs w:val="20"/>
          <w:color w:val="auto"/>
        </w:rPr>
      </w:pPr>
      <w:r>
        <w:rPr>
          <w:rFonts w:ascii="Times New Roman" w:cs="Times New Roman" w:eastAsia="Times New Roman" w:hAnsi="Times New Roman"/>
          <w:sz w:val="17"/>
          <w:szCs w:val="17"/>
          <w:color w:val="auto"/>
        </w:rPr>
        <w:t>The following descriptions of significant accounting policies, judgments, and estimates should be read in conjunction with the Company’s consolidated financial statements and other disclosures included in this Prospectus . When reviewing the Company’s consolidated financial statements, you should consider (i) its selection of significant accounting policies, (ii) the judgments and other uncertainties affecting the application of such policies, and (iii) the sensitivity of reported results to changes in conditions and assumptions.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Deemed reverse acquisition</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With respect to the Transaction, management determined that DSL is the operating company while the Company is considered as a shell company and the Company accounted for the Transaction as a deemed reverse acquisition, using the acquisition method of accounting, where in substance an operating company is acquired by a shell company where the shareholders of the operating company obtain control of the shell company. The Group identified DSL (the legal acquiree) as the accounting acquirer, and the Company (the legal acquirer) as the accounting acquiree. This judgment influences how the Transaction is presented in the consolidated financial statements, including (i) the recognition of DSL’s assets and liabilities at their historical carrying amounts; (ii) the presentation of comparative financial information as a continuation of DSL; and (iii) the legal capital structure being that of the legal parent, with share capital adjusted retrospectively as a recapitalization for the equivalent number of shares received and on a pro rata basis, together with the impact of the Share Subdivision for prior reporting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recognizes revenue when (or as) a performance obligation is satisfied, i.e. when “control” of the services underlying the particular performance obligation is transferred to the customer.</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Software subscription fees and certain advisory service income are recognized over time by reference to the progress towards complete satisfaction of the relevant performance obligation if one of the following criteria is met:</w:t>
      </w:r>
    </w:p>
    <w:p>
      <w:pPr>
        <w:spacing w:after="0" w:line="159" w:lineRule="exact"/>
        <w:rPr>
          <w:sz w:val="20"/>
          <w:szCs w:val="20"/>
          <w:color w:val="auto"/>
        </w:rPr>
      </w:pPr>
    </w:p>
    <w:p>
      <w:pPr>
        <w:ind w:left="300" w:hanging="299"/>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customer simultaneously receives and consumes the benefits provided by the Group’s performance as the Group performs;</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performance creates or enhances an asset that the customer controls as the Group performs; or</w:t>
      </w:r>
    </w:p>
    <w:p>
      <w:pPr>
        <w:spacing w:after="0" w:line="6"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performance does not create an asset with an alternative use to the Group and the Group has an enforceable right to payment for performance completed to date.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color w:val="auto"/>
        </w:rPr>
        <w:t>Customization revenues and certain advisory service income recognized at a point in time when the customer obtains control of the distinct service.</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software license fees, the nature of the Group’s promise in granting a license is a promise to provide a right to use the Group’s intellectual property with all of the following criteria met:</w:t>
      </w:r>
    </w:p>
    <w:p>
      <w:pPr>
        <w:spacing w:after="0" w:line="159" w:lineRule="exact"/>
        <w:rPr>
          <w:sz w:val="20"/>
          <w:szCs w:val="20"/>
          <w:color w:val="auto"/>
        </w:rPr>
      </w:pPr>
    </w:p>
    <w:p>
      <w:pPr>
        <w:ind w:left="300" w:hanging="299"/>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does not require that the Group will undertake activities that significantly affect the intellectual property to which the customer has rights;</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granted by the license directly do not expose the customer to any positive or negative effects of the Group’s activities; and</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activities result in the transfer of a good or a service to the customer as those activities occur.</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Accordingly, the Group considers the grant of license as providing the customers the right to use the Group’s intellectual property and the performance obligation is satisfied at a point in time at which the license is granted.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payments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Group has had an employee share option plan in place since 2020 and during the year ended March 31, 2025 replaced the then existing plan and adopted the Diginex Limited 2024 Omnibus Incentive Plan which outlines the grant of share option awards to selected employees and/or consultants of the Group to subscribe to the ordinary shares of the Company. The awards are measured at the fair value at the grant date. The fair value determined at the grant date without taking into consideration all non-market vesting conditions is expensed on a straight-line basis over the vesting period, based on the Group’s estimate of share option awards that will eventually vest, with a corresponding increase in equity (share option reserve).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At the end of each reporting period, the Group revises its estimate of the number of share option awards expected to vest based on assessment of all relevant non-market vesting conditions. The impact of the revision of the original estimates, if any, is recognized in the statement of profit or loss such that the cumulative expense reflects the revised estimate, with a corresponding adjustment to the share option reserve. For share options awards that vest immediately at the date of grant, the fair value of the share option awards granted is expensed immediately to the statement of profit or loss.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Private Warrants and IPO Warrants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May 2024 and January 2025, the Group issued Private Warrants and IPO Warrants to Rhino Ventures respectively. In the process of classifying Private Warrants and IPO Warrants, management considered the detailed criteria and related guidance for the classification of financial instruments as set out in IAS 32 and has made various judgments on whether the Private Warrants and IPO Warrants on initial recognition are classified as a financial liability or an equity instrument in accordance with the substance of the contractual arrangement and the definitions of a financial liability and an equity instrument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Private Warrants and IPO Warrants are classified as an equity instrument on the basis that the instruments do not include contractual obligation to deliver cash to the warrant holder, and the instruments meet the fixed-for-fixed condition by preserving the relative economic interests of the warrant holder and the Company’s shareholders.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 of financial instruments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Certain of the Group’s financial liabilities, including preferred shares, and convertible loan notes, are designated as at fair value through profit or loss with both the debt component and derivative components recognized at fair value and are measured at fair value, at the date of issue and at the end of each reporting period, with fair value being determined based on significant unobservable inputs using valuation techniques. Judgement and estimation are required in establishing the relevant valuation techniques and the relevant inputs thereof. Changes in assumptions relating to these factors could result in material adjustments to the fair value of these instruments. Changes in fair value are recognized in profit or loss as fair value gain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Discount rate used for initial measurement of lease liability</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connection with the long term lease in Monaco, the Group, as a lessee, measures the lease liability at the present value of the unpaid lease payments at the commencement date. The lease payments are discounted using the Group’s incremental borrowing rate. Incremental borrowing rate is the rate of interest that the Group would have to pay to borrow over a similar term, and with a similar security, the funds necessary to obtain an asset of a similar value to the right-of-use assets in similar economic environment.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color w:val="auto"/>
        </w:rPr>
        <w:t>Recently Released Accounting Standards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 description of recently issued accounting pronouncements that may potentially impact the Company’s consolidated balance sheet and consolidated results of operations is disclosed in Note 2 to the Company’s audited consolidated financial statements included elsewhere in this Prospectus.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Liquidity and Capital Resources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Group’s ability to fund its operations is based on its ability to generate revenue, its ability to attract investors and its ability to borrow funds on reasonable economic terms. During the year ended March 31, 2025 the Group completed an IPO and generated gross proceeds of $10.6 million. The Group also received funding, via a loan from the immediate holding company, Rhino Ventures which reached a balance of $3.5 million of which $0.5 million was repaid post the IPO and $3.0 million converted into ordinary shares upon IPO at the listing price of $4.10. The Group also completed a capital raise and issued ordinary shares to the value of $8.0 million in May 2024. This capital raise was funded by the capitalization of advanced funding and loans from Rhino Ventures Limited that was received by Diginex over the years ended March 31, 2023, 2024 and 2025. During the year ended March 31, 2024, the Group also raised capital via the issuance of a convertible loan note bearing an 8% coupon for $0.1 million that converted into Ordinary Shares on December 20, 2024. The total amount of convertible loan notes converted into Ordinary Shares on December 20, 2024 amounted to $4.35 million.</w:t>
      </w:r>
    </w:p>
    <w:p>
      <w:pPr>
        <w:spacing w:after="0" w:line="180"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Management is of the opinion that the capital of the Group is sufficient to meet present requirements. The Group has four out of six tranches of IPO warrants that reach maturity between July 2025 and April 2026. Should all four tranches be fully exercised the Group will receive proceeds upon exercise of $60 million.</w:t>
      </w:r>
    </w:p>
    <w:p>
      <w:pPr>
        <w:spacing w:after="0" w:line="134"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Limited is not aware of any legal or economic restrictions on the ability of its subsidiaries to transfer funds to Diginex Limited in the form of cash dividends, loans or advances. Diginex Limited is also not aware of any material restrictions that impact the transfer of funds between subsidiaries to enable the operating of the business in various jurisdictions.</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At March 31, 2025, the Group held cash and cash equivalents of $3.1 million. The majority was held in USD. The Group held all balances in bank accounts and had not hedged any foreign exchange exposures given the dominant use of USD and Hong Kong dollars. However, given the increased use of British Pounds for salaries, the Group is looking to implement a Treasury Policy to manage foreign exchange requirements going forward. The group also held $0.4 million of cash in an escrow account at March 31, 2025. The funds are held in relation to a MOU signed on March 17, 2025 with Nomas Global Investments -L.L.C-S.P.C and Al Noor Legal Consultants FZE to provide strategic support in the United Arab Emirates, including a possible capital raise in UAE and dual listing on the Abu Dhabi Exchange (ADX).</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March 31, 2025, 2024 and 2023, the Group had cash and cash equivalents of $3.1 million, $0.1 million and $1.2 million respectively, as detailed below:</w:t>
      </w:r>
    </w:p>
    <w:p>
      <w:pPr>
        <w:spacing w:after="0" w:line="215" w:lineRule="exact"/>
        <w:rPr>
          <w:sz w:val="20"/>
          <w:szCs w:val="20"/>
          <w:color w:val="auto"/>
        </w:rPr>
      </w:pPr>
    </w:p>
    <w:tbl>
      <w:tblPr>
        <w:tblLayout w:type="fixed"/>
        <w:tblInd w:w="112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As of</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As of</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7"/>
                <w:szCs w:val="17"/>
                <w:color w:val="auto"/>
              </w:rPr>
              <w:t>in USD Millions</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March 31, 2025</w:t>
            </w: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March 31, 2024</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March 31, 2023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20" w:type="dxa"/>
            <w:vAlign w:val="bottom"/>
            <w:gridSpan w:val="2"/>
            <w:vMerge w:val="continue"/>
          </w:tcPr>
          <w:p>
            <w:pPr>
              <w:spacing w:after="0"/>
              <w:rPr>
                <w:sz w:val="16"/>
                <w:szCs w:val="16"/>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280" w:type="dxa"/>
            <w:vAlign w:val="bottom"/>
          </w:tcPr>
          <w:p>
            <w:pPr>
              <w:spacing w:after="0"/>
              <w:rPr>
                <w:sz w:val="16"/>
                <w:szCs w:val="16"/>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260" w:type="dxa"/>
            <w:vAlign w:val="bottom"/>
          </w:tcPr>
          <w:p>
            <w:pPr>
              <w:spacing w:after="0"/>
              <w:rPr>
                <w:sz w:val="16"/>
                <w:szCs w:val="16"/>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(7.7)</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(5.8)</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80" w:type="dxa"/>
            <w:vAlign w:val="bottom"/>
          </w:tcPr>
          <w:p>
            <w:pPr>
              <w:spacing w:after="0"/>
              <w:rPr>
                <w:sz w:val="17"/>
                <w:szCs w:val="17"/>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beginning of year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end of year</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Cash outflows from operating activities were $7.7 million in the year ended March 31, 2025, an outflow of $5.8 million in the year ended March 31, 2024 and an outflow of $6.6 million for the year ended March 31, 2023. Of the operating expenditure incurred in the year ended March 31, 2025, $4.0 million related to employees and contractors and $1.5 million on third party IT engineers. In the year ended March 31, 2024 $3.7 million related to employees and contractors and $2.1 million on third party IT engineers. In the year ended March 31, 2023, $4.4 million of spend related to employees and contractors and $2.7 million on third party IT engineers.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was no material cash flow from investing activities during the years ended March 31, 2025, 2024 and 2023.</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Total cash inflows from financing activities were $10.7 million in the year ended March 31, 2025, $4.7 million in the year ended March 31, 2024, and $6.5 million for the year ended March 31, 2023.</w:t>
      </w:r>
    </w:p>
    <w:p>
      <w:pPr>
        <w:spacing w:after="0" w:line="15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During the year ended March 31, 2025, the Company closed its IPO and the underwriter’s exercise of their over-allotment option, resulting in the sale of 2,587,500 ordinary shares of the Company. Gross proceeds from the IPO amounted to $10.6 million, offset by $2.9 million associated transaction costs. The Group also received $3.4 million in 8% interest-bearing loans and $0.7 million in non-interest-bearing advances both from the immediate holding company, while repaying $0.5 million in loans to the immediate holding company following the conversion of $3.0 million of the outstanding loan balance into ordinary shares upon IPO. This conversion upon IPO was in addition to a conversion of amounts due to the immediate holding company of $8 million in May 2024. Additionally, following the signing of a binding memorandum of understanding with Nomas Global Investments -L.L.C – S.P.C to provide strategic support in the United Arab Emirates, the Group paid $0.4 million deferred fund raising, fixed non-refundable fees, with $0.4 million held under escrow and recognized as a restricted bank balance to cover future fees based on the accomplishment of milestones.</w:t>
      </w:r>
    </w:p>
    <w:p>
      <w:pPr>
        <w:spacing w:after="0" w:line="18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During the year ended March 31, 2024, the Group received $5.3 million as an advance payment towards an $8.0 million capital raise from Rhino Ventures Limited, which was completed in May 2024. The capital raise included the conversion of $1.9 million of debt into equity. The Group also issued a fixed-rate 8% convertible loan note, raising $0.1 million. The notes had a maturity of two years from the effective date and would convert at the lower of a 20% discount to the listing share price or $60 million. The convertible loan notes were all converted into ordinary shares on December 20, 2024. Additionally, Rhino Ventures Limited advanced $0.6 million in shareholder loans during the year, while the Group repaid $1.2 million to Rhino Ventures Limited, resulting in a net outflow of $0.6 million.</w:t>
      </w:r>
    </w:p>
    <w:p>
      <w:pPr>
        <w:spacing w:after="0" w:line="160"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During the year ended March 31, 2023, the Group raised $3.3 million through the issuance of an 8% convertible loan note. Rhino Ventures Limited advanced $2.3 million in shareholder loans while the Group repaid $0.6 million, resulting in a net inflow of $1.7 million. The Group also borrowed $1.0 million from a related company, Diginex (Holdings) Limited, at a fixed interest rate of 8%. While Diginex Holdings Limited is owned by Rhino Ventures Limited, it is not a subsidiary of the Group.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Expenditure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March 31, 2025 Diginex has not capitalized any expenditure. Capital expenditure would typically relate to the purchase of computing equipment such as laptops which are expensed as they fall under our capitalization policy. Diginex has not recognized any research and development expenditure as an internally generated intangible asset.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Indebtedness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of March 31, 2025 Diginex had no debt outstanding following the conversion and partial repayment during the year of a loan from Rhino Ventures Limited and the conversion of redeemable preferred shares and convertible loan notes into ordinary shares on December 20, 2024.</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of March 31, 2024, the Group had a loan balance of $1.9 million outstanding with Rhino Ventures Limited which was repayable by September 30, 2024, $1.1 million loan with a related company which was repayable by December 31, 2024, outstanding convertible loan notes of $3.35 million with repayable terms on the second anniversary of their effective date and redeemable preference shares of $6 million, with a five year maturity. The preferred shares were fair valued at $9.4 million using an equity allocation model at March 31, 2024.</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Group has a long term lease in Monaco with outstanding liabilities due out to 2027 of $0.2 million (March 31, 2024: $0.3 million).</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Other outstanding payables relate primarily to accounts payable and accruals that have accumulated in the ordinary course of business.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When customers subscribe for a diginexESG or diginexLUMEN they typically pay for an annual subscription in advance with revenues recognized on a straight line basis over the life of the subscription. For advisory and customizations projects, the clients will typically pay during the course of the project with revenue being recognized upon completion. As such, the Group accounts for deferred revenues which relate to the balances of invoices raised that have yet to be recognized as revenue. At March 31, 2025 the Group accounted for $0.5 million of deferred revenue and $0.3 million at March 31, 2024.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4" w:name="page55"/>
    <w:bookmarkEnd w:id="54"/>
    <w:p>
      <w:pPr>
        <w:ind w:left="600"/>
        <w:spacing w:after="0"/>
        <w:rPr>
          <w:sz w:val="20"/>
          <w:szCs w:val="20"/>
          <w:color w:val="auto"/>
        </w:rPr>
      </w:pPr>
      <w:r>
        <w:rPr>
          <w:rFonts w:ascii="Times New Roman" w:cs="Times New Roman" w:eastAsia="Times New Roman" w:hAnsi="Times New Roman"/>
          <w:sz w:val="17"/>
          <w:szCs w:val="17"/>
          <w:color w:val="auto"/>
        </w:rPr>
        <w:t>At March 31, 2025 the Group contracted the below office leases: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Long term lease:</w:t>
      </w:r>
    </w:p>
    <w:p>
      <w:pPr>
        <w:spacing w:after="0" w:line="208" w:lineRule="exact"/>
        <w:rPr>
          <w:sz w:val="20"/>
          <w:szCs w:val="20"/>
          <w:color w:val="auto"/>
        </w:rPr>
      </w:pPr>
    </w:p>
    <w:p>
      <w:pPr>
        <w:ind w:left="600" w:right="1400" w:hanging="297"/>
        <w:spacing w:after="0" w:line="495" w:lineRule="auto"/>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Monaco, France: lease with an annual break clause that expires on January 31, 2027. The quarterly rent is 32,328 Euros (c. USD 33,917). On 1 April 2025 Diginex entered into an 18 month lease in the United Kingdom, The monthly rent is GBP 3,782.</w:t>
      </w: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term:</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Hong Kong: 12 month lease at a monthly rent of HKD 26,680 (c. USD 3,420).</w:t>
      </w:r>
    </w:p>
    <w:p>
      <w:pPr>
        <w:spacing w:after="0" w:line="207" w:lineRule="exact"/>
        <w:rPr>
          <w:rFonts w:ascii="Times New Roman" w:cs="Times New Roman" w:eastAsia="Times New Roman" w:hAnsi="Times New Roman"/>
          <w:sz w:val="17"/>
          <w:szCs w:val="17"/>
          <w:color w:val="auto"/>
        </w:rPr>
      </w:pPr>
    </w:p>
    <w:p>
      <w:pPr>
        <w:ind w:left="60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1 June 2025 Diginex entered into a 12 month lease in Hong Kong. The monthly rent is HK$52,000 but a one month rent free period was agreed. On 31 May 2025, Diginex terminated its prior lease in Hong Kong.</w:t>
      </w:r>
    </w:p>
    <w:p>
      <w:pPr>
        <w:spacing w:after="0" w:line="158"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table below illustrates the indebtedness as at March 31, 2025 and 2024:</w:t>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7"/>
                <w:szCs w:val="17"/>
                <w:b w:val="1"/>
                <w:bCs w:val="1"/>
                <w:color w:val="auto"/>
              </w:rPr>
              <w:t>As of March 31,</w:t>
            </w: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 USD millions</w:t>
            </w:r>
          </w:p>
        </w:tc>
        <w:tc>
          <w:tcPr>
            <w:tcW w:w="1580" w:type="dxa"/>
            <w:vAlign w:val="bottom"/>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Shareholder loans</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Advance of equity subscription</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to related company</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Preference shares</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0.5</w:t>
            </w:r>
          </w:p>
        </w:tc>
        <w:tc>
          <w:tcPr>
            <w:tcW w:w="5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0.2</w:t>
            </w: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0.2</w:t>
            </w:r>
          </w:p>
        </w:tc>
        <w:tc>
          <w:tcPr>
            <w:tcW w:w="5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payables</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0.8</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debt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30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has no off-balance sheet arrangements.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table below illustrates a summary of the Group’s contractual obligations and commitments as at March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tcPr>
          <w:p>
            <w:pPr>
              <w:jc w:val="right"/>
              <w:ind w:right="1120"/>
              <w:spacing w:after="0"/>
              <w:rPr>
                <w:sz w:val="20"/>
                <w:szCs w:val="20"/>
                <w:color w:val="auto"/>
              </w:rPr>
            </w:pPr>
            <w:r>
              <w:rPr>
                <w:rFonts w:ascii="Times New Roman" w:cs="Times New Roman" w:eastAsia="Times New Roman" w:hAnsi="Times New Roman"/>
                <w:sz w:val="17"/>
                <w:szCs w:val="17"/>
                <w:b w:val="1"/>
                <w:bCs w:val="1"/>
                <w:color w:val="auto"/>
              </w:rPr>
              <w:t>Payments due by period</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100" w:type="dxa"/>
            <w:vAlign w:val="bottom"/>
          </w:tcPr>
          <w:p>
            <w:pPr>
              <w:ind w:left="5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less than 1 year</w:t>
            </w: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1-3 years</w:t>
            </w:r>
          </w:p>
        </w:tc>
        <w:tc>
          <w:tcPr>
            <w:tcW w:w="144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3-5 years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26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Capitalized lease obligations</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0.2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0.1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w:t>
            </w:r>
          </w:p>
        </w:tc>
        <w:tc>
          <w:tcPr>
            <w:tcW w:w="3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3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3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to the above table and pursuant to the Nomas MOU, Diginex has agreed pay fixed non-refundable fees in an aggregate amount of $800,000, with the initial payment of $400,000 paid upon signing of the Nomas MOU and the remaining balance of $400,000, as held under escrow and recognized as a restricted bank balance, to be released in equal installments upon the occurrence of three defined milestones via an escrow arrangement. The Nomas MOU also provides that the Company shall pay success fees upon achieving certain capital raise targets and the successful listing of the Company’s securities on the ADX.</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Al Noor MOU, Diginex has agreed to fees in an aggregate amount of $650,000, with the initial payment of $250,000 paid upon signing of the Al Noor MOU, an additional amount of $150,000 was paid in June 2025 and the remaining fees in equal installments upon the occurrence of three defined milestones. The Al Noor MOU also provides that the Company shall pay success fees upon achieving certain capital raise targets and the successful listing the Company s securities on the ADX.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shown above we did not have any significant capital and other commitments, long obligations or other commitments as of March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Research and Developments, Patents and Licenses, Etc.</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own and control a variety of intellectual property, including but not limited to trademarks, know-how and proprietary software and applications that, in the aggregate, are material to our business.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Diginex Limited is a Cayman Islands exempted company with subsidiaries located in Hong Kong, United Kingdom and United States of America. Diginex Limited is the sole owner of Diginex Solutions (HK) Limited, a Hong Kong corporation (“DSL”) and DSL is the sole owner of (i) Diginex Services Limited, a corporation formed in the United Kingdom and (ii) Diginex USA LLC, a limited liability company formed in the State of Delaware. Prior to the Restructuring, DSL was the parent entity and remains the main operating subsidiary. DSL is a Hong Kong domiciled technology company that builds end to end SaaS solutions for the future of ESG reporting and supply chain due diligence. The demands for companies to report on ESG components of their business and perform extensive due diligence on their supply chain is increasing at pace. DSL has built products to address those demands. As well as offering SaaS solution, DSL also offers advisory services to support overall ESG strategies. Such advisory services can range from advising on credible reporting solutions to training plus providing a managed service to, for example, help collate and consolidate data throughout a supply chain.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History</w:t>
      </w:r>
    </w:p>
    <w:p>
      <w:pPr>
        <w:spacing w:after="0" w:line="212"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On May 15, 2020, Diginex Limited (“Diginex HK”), a company incorporated in Hong Kong, together with Diginex Solutions Limited, sold the legal entities of Diginex Solutions (HK) Limited (referred to herein as “DSL”) and Diginex USA LLC, together with the trademarks associated with the “Diginex” name, to a related party, Rhino Ventures Limited, an entity controlled, via 100% shareholding, by Miles Pelham, the founder and former chairman of Diginex HK and founder of DSL and the Company (the “DSL 2020 Acquisition Agreement”). A copy of the DSL 2020 Acquisition Agreement is attached to Diginex Limited’s registration statement of which this Prospectus forms a part as Exhibit 10.1. The consideration of $6.0 million, that was paid by Rhino Ventures Limited (“RVL”) for Diginex Solutions (HK) Limited and Diginex USA LLC, was netted against the shareholder loan of $10.5 million between Diginex HK and Pelham Limited, another entity controlled by Miles Pelham. In addition, Diginex HK agreed to fund the business of DSL for six months following the sale at a 25% discount to the projected costs. Such funding amounted to $1.0 million. Pelham Limited remained a shareholder of Diginex HK after this transaction but is no longer a shareholder of Diginex HK.</w:t>
      </w:r>
    </w:p>
    <w:p>
      <w:pPr>
        <w:spacing w:after="0" w:line="16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Following the sale of DSL and Diginex USA, Diginex HK underwent a restructuring in September 2020, which resulted in a share for share exchange with its newly incorporated parent company, Eqonex Limited. Eqonex Limited and its subsidiaries were active in the cryptocurrency industry but DSL and Diginex USA had no involvement in cryptocurrency. DSL focused on ESG reporting and Diginex USA employed individuals to support the DSL operations. Also in September 2020, Eqonex Limited completed a transaction with a special purpose acquisition company, 8i Enterprises Acquisition Corp and started to list on Nasdaq under the ticker code ‘EQOS’ on 1 October 2022. Eqonex Limited subsequently filed for Judicial Management in Singapore in November 2022 and Diginex HK was placed into liquidation at the same time. Judicial Management is a method of debt restructuring where an independent judicial manager is appointed to manage the affairs of a company under financial distress. The Judicial Management and liquidation process is still ongoing at the time of filing this document and the stock has been delisted from Nasdaq, Neither DSL, Rhino Ventures or Miles Pelham have any affiliated interest with either business nor do they have any assets at risk as a result of the Judicial Management and liquidation processes.</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With the exception of Paul Ewing, the Company CFO, who still sits on the board of certain subsidiaries of Eqonex Limited, no other officer or director of the Company has an existing relationship with Eqonex Limited and its subsidiaries including Diginex HK and Diginex Solutions Limited.</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acquisition of DSL included a 100% owned subsidiary, Diginex USA, LLC, a Delaware limited liability company. In September 2021, DSL acquired, Diginex Services Limited, a United Kingdom corporation, for zero consideration from RVL. Diginex Services Limited is a 100% owned subsidiary of DSL.</w:t>
      </w:r>
    </w:p>
    <w:p>
      <w:pPr>
        <w:spacing w:after="0" w:line="159"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Diginex Limited is a Cayman Islands exempted company, incorporated under the laws of the Cayman Islands on January 26, 2024.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w:t>
      </w:r>
    </w:p>
    <w:p>
      <w:pPr>
        <w:spacing w:after="0" w:line="3" w:lineRule="exact"/>
        <w:rPr>
          <w:sz w:val="20"/>
          <w:szCs w:val="20"/>
          <w:color w:val="auto"/>
        </w:rPr>
      </w:pPr>
    </w:p>
    <w:p>
      <w:pPr>
        <w:ind w:firstLine="1"/>
        <w:spacing w:after="0" w:line="255" w:lineRule="auto"/>
        <w:tabs>
          <w:tab w:leader="none" w:pos="23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74"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The warrants will be exercisable for ordinary shares of DSL for a period of three years from the date they are issued and shall be exercisable at a per warrant price of US$2,512. Post the completion of the Restructuring and Share Subdivision (as defined below), the number of warrants of Diginex Limited issued to Rhino Ventures Limited was adjusted to 4,170,520 from 10,172 with an adjusted price per warrant of US$6.13. The warrants, if fully exercised, will result in the issuance of such number of Ordinary Shares equal to 51% of the total issued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of DSL for zero consideration. This increased HBM IV, Inc.’s holding to 3,151 preferred shares of DSL.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6" w:name="page57"/>
    <w:bookmarkEnd w:id="56"/>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connection with the Exchange, Diginex Limited and security holders of DSL consummated the following transactions (the “Ancillary Transactions”): (i) Diginex Limited issued $4.35 million new convertible loan notes to certain Original Shareholders in consideration for the cancellation of the then existing convertible loan notes issued by DSL and held by such Original Shareholders; (ii) Diginex Limited granted certain share options under the new share option plan that was adopted by Diginex Limited to the holders of the unexercised share options granted by DSL (the “Original Share Options”), in consideration for the cancellation of the Original Share Options held by such holders. At time of the Exchange there were 629,760 vested but unexercised share options and unvested share options exercisable for such number of Ordinary Shares equal to 1.3% of the issued and outstanding shares of the Company at the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automatically converted into Ordinary Shares of Diginex Limited on December 20, 2024 and whilst there is no automatic vesting of any unvested share options upon completion of the IPO the board of directors do have the ability to accelerate vesting at any point. The board of directors approved and authorized the acceleration of the vesting of the unvested share options to January 23, 2026. The fair value of all unvested ESOP as of the date of this Prospectus is $2.2 million of which $1.0 million has been recognized in the financial statements at March 31, 2025.</w:t>
      </w:r>
    </w:p>
    <w:p>
      <w:pPr>
        <w:spacing w:after="0" w:line="17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Accordingly, upon consummation of the Exchange and the Ancillary Transactions (collectively the “Restructuring”), DSL became a wholly owned subsidiary of Diginex Limited, and the prior shareholders of DSL became shareholders of Diginex Limited. The remaining DSL security holders became security holders of Diginex Limited, in that they held Diginex Limited convertible loan notes, share options and warrants. Following, the closing of the Restructuring there are 6,869,961 Ordinary Shares of Diginex Limited issued and outstanding, 1,291,910 preferred shares of Diginex Limited issued and outstanding, 4,170,520 warrants issued and outstanding, $4.35 million new convertible loan notes issued and outstanding and 629,760 vested but unexercised share options and unvested share options exercisable for such number of Ordinary Shares equal to 1.3% of the issued and outstanding shares of the Company at the time of vesting.</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Following the Restructuring, on July 26, 2024, the Company completed a share subdivision (the “Share Subdivision”) such that, the authorized share capital of the Company was revised to be US$50,000 divided into 960,000,000 Ordinary Shares of US$0.00005 par value each and 40,000,000 preferred shares (the “Preferred Shares”), par value US$0.00005 per share. Prior to the Share Subdivision there were 6,869,961 ordinary shares and 1,291,910 preferred shares issued and outstanding, and after the Share Subdivision there are 13,739,922 Ordinary Shares and 2,583,820 Preferred Shares issued and outstanding.</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During the Restructuring, a $1 million loan due from DSL to a related company, Diginex Holdings Limited, a company controlled by Rhino Ventures Limited, was converted into a $1 million convertible loan note of which Rhino Ventures Limited holds $517,535 of the principal amount of the convertible loan note and Working Capital Innovation Fund II L.P. holds $482,465 of the principal amount of the convertible loan note. The loan between DSL and Diginex Holdings Limited charged interest at 8% per annum and had a maturity date of December 31, 2024. The terms of the new convertible loan notes also charge interest at 8% per annum and had a maturity date of December 31, 2024. This $1 million convertible loan note forms part of the $4.35 million loan notes issued by Diginex Limited post the Restructuring.</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August 6, 2024 certain Employee Share Option Plan (“ESOP”) holders exercised their options and converted their options into Ordinary Shares. 501,840 employee share options were converted into 1,003,680 Ordinary Shares whilst 315,700 employee share options lapsed without being exercised. In addition, 368,826 employee share options were issued on July 31, 2024 and on August 21, 2024 employee share options were issued equating to 0.5% of the issued and outstanding shares of the Company at the time of vesting. The remaining employee share options as of the date of this Prospectus are 17,345 vested but not exercised, 368,826 unvested employee share options and unvested employee share options exercisable for such number of Ordinary Shares equal to 1.7% of the issued and outstanding shares of the Company at the time of vesting. Prior to the exercise of 501,840 options on August 6, 2024 there were 13,739,922 Ordinary Shares and 2,583,820 Preferred Shares issued and outstanding, and after such exercise of 501,840 options there were 14,743,602 Ordinary Shares and 2,583,820 Preferred Shares issued and outstanding.</w:t>
      </w:r>
    </w:p>
    <w:p>
      <w:pPr>
        <w:spacing w:after="0" w:line="180"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Since 17th November 2023, Rhino Ventures Limited (“RVL”) issued convertible notes (the “Rhino Notes”) to various investors (each a “Rhino Investor” and collectively the “Rhino Investors”). In exchange for a loan from a Rhino Investor, RVL issued the Rhino Investor a Rhino Note. The Rhino Notes are convertible into DSL ordinary shares, or successor securities, that were owned by RVL at a conversion price of between USD2.78 to USD2.99. The Rhino Notes were convertible into RVL’s shares of DSL ordinary shares, or successor securities, (1) at the option of the Rhino Investor or (2) automatically upon F-1 either being effective or having received 2 or below comments. On August 7, 2024, six of the Rhino Investors elected to convert their Rhino Notes and RVL transferred an aggregate amount of 2,992,180 Ordinary Shares of Diginex Limited, the successor securities to the DSL ordinary shares, to the six Rhino Investors as follows: (i) Samantha Dolan received 327,180 Ordinary Shares, (ii) Christopher Lord received 418,200 Ordinary Shares, (iii) Dorota Menard received 400,980 Ordinary Shares, (iv) Gildo Plate received 294,380 Ordinary Shares and (v) Natalia Pelham received 1,049,600 Ordinary Shares and (vi) Benjamin Salter received 501,840 Ordinary Shares. On November 25, 2024, nine additional Rhino Investors elected to convert their Rhino Notes and RVL transferred an aggregate amount of 2,710,707 Ordinary Shares of Diginex Limited, the successor securities to DSL ordinary shares, to the nine Rhino Investors as follows: (i) New Advent Sdn.Bhd received 100,860 Ordinary Shares, (ii) Ayle Ventures Limited received 167,280 Ordinary Shares, (iii) Duvin Limited received 935,407 Ordinary Shares, (iv) Carl Stephen George received 455,100 Ordinary Shares, (v) Ching Kuen Franklin Heng received 83,640 Ordinary Shares, (vi) Harley Street Medical Doctors Limited received 421,480 Ordinary shares, (vii) Chung-Mei Hsu received 67,240 Ordinary Shares, (viii) LVS Capital Partners Limited received 202,540 Ordinary Shares and (ix) David Nicholson received 277,160 Ordinary Shares. As of the date of this Prospectus, RVL has no outstanding Rhino Notes. Other than Natalia Pelham, who is our Chairman’s wife, the Rhino Investors are not related to Mr. Pelham nor are they affiliates to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7" w:name="page58"/>
    <w:bookmarkEnd w:id="57"/>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Pursuant to a written convertible loan agreement, dated September 30, 2024 (the “RVL Loan”) RVL agreed to loan DSL, Diginex Limited’s wholly owned subsidiary, up to $3 million. Diginex Limited and RVL agreed that RVL would convert the $3 million RVL Loan into Ordinary Shares upon the pricing of the IPO at the IPO offering price and Diginex Limited granted RVL certain registration rights with respect to such converted shares. The RVL Loan is attached to Diginex Limited’s registration statement of which this Prospectus forms a part as Exhibit 10.9. On January 6, 2025, DSL and RVL entered into a written agreement to modify and amend the RVL Loan to increase the amount RVL can loan DSL by $500,000 and on January 6, 2025, Diginex Limited and RVL entered into a written loan capitalization agreement whereby RVL agreed to convert a balance of the up to $3.5 million RVL loan to DSL into Ordinary Shares upon the pricing of the IPO at the IPO offering price and Diginex Limited granted RVL certain registration rights with respect to such converted shares (the “Modified RVL Loan”). The Modified RVL Loan is attached to Diginex Limited’s registration statement of which this Prospectus forms a part as Exhibit 10.11. Pursuant to the Modified RVL Loan, RVL may loan DSL up to $3.5 million and RVL shall convert up to $3.5 million under the Modified RVL Loan into Ordinary Shares upon the pricing of the IPO at the IPO offering price. Based on the IPO offering price of $4.10 per share, on January 21, 2025, RVL converted $3.0 million of the Modified RVL Loan into 731,707 Ordinary Shares. In exchange for RVL’s conversion of a minimum of $3.0 million of the Modified RVL Loan into Ordinary Shares, Diginex Limited has agreed to provide RVL registration rights with respect to the Ordinary Shares that RVL receives upon conversion of the Modified RVL Loan. The conversion of the Modified RVL Loan is in addition to the conversion of the RVL convertible loan note with a principal balance of $517,535.</w:t>
      </w:r>
    </w:p>
    <w:p>
      <w:pPr>
        <w:spacing w:after="0" w:line="18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December 20, 2024, the Company registration statement on Form F-1 was declared effective by the SEC. This resulted in the conversion of all outstanding convertible loan notes into 2,347,134 Ordinary Shares and the outstanding Preferred Shares being converted into 2,583,820 Ordinary Shares on a one to one basis.</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completed our initial public offering, 2025. This resulted in the issuance of 2,250,000 Ordinary Shares for gross proceeds of $9,225,000. The underwriters in our initial public offering exercised the Over-Allotment option, which closed on January 27, 2025. This resulted in the issuance of 337,500 Ordinary Shares for gross proceeds of $1,383,750.</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January 23, 2025, the Company issued Rhino Ventures Limited the warrants identified below (“IPO Warrants”) in recognition of the continuous financial support Rhino Ventures Limited has provided to the Company over previous years that has been critical to sustaining operations and achieving the IPO. There were no goods or services exchanged with Rhino Ventures Limited for the issuance of the IPO warrants. No new direct consideration was received at the time of issuance, as the warrants were granted to acknowledge the historical value provided by Rhino Ventures Limited.</w:t>
      </w:r>
    </w:p>
    <w:p>
      <w:pPr>
        <w:spacing w:after="0" w:line="175" w:lineRule="exact"/>
        <w:rPr>
          <w:sz w:val="20"/>
          <w:szCs w:val="20"/>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600" w:right="520" w:hanging="297"/>
        <w:spacing w:after="0" w:line="515" w:lineRule="auto"/>
        <w:tabs>
          <w:tab w:leader="none" w:pos="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 On May 6, 2025, Rhino Ventures Limited conveyed, transferred and assigned the following IPO Warrants to Nomas Global Investments-L.L.C-S.P.C.:</w:t>
      </w:r>
    </w:p>
    <w:p>
      <w:pPr>
        <w:spacing w:after="0" w:line="1"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4 - Warrants to purchase 2,250,000 Ordinary Shares at an exercise price of $8.20 per share, which expire 15 months from January 23, 2025</w:t>
      </w:r>
    </w:p>
    <w:p>
      <w:pPr>
        <w:spacing w:after="0" w:line="33"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5 - Warrants to purchase 2,250,000 Ordinary Shares at an exercise price of $10.25 per share, which expire 18 months from January 23, 2025</w:t>
      </w:r>
    </w:p>
    <w:p>
      <w:pPr>
        <w:spacing w:after="0" w:line="17"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w:t>
      </w:r>
    </w:p>
    <w:p>
      <w:pPr>
        <w:spacing w:after="0" w:line="203"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 Following the acquisition of these Ordinary Shares and at the time of this Prospectus, Rhino Ventures Limited owns 9,890,247 Ordinary Shares, not including the derivative securities of Diginex owned by Rhino Ventures Limited.</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August 22, 2025, the Nomas WPA was rescinded by mutual agreement of Rhino Ventures Limited and Nomas Global Investments-L.L.C-S.P.C and the Nomas Warrants were returned to Rhino Ventures Limited and the previously issued promissory note from Nomas Global Investments L.L.C-S.P.C to Rhino Ventures Limited in the amount of $50,000,000 as the initial consideration under the Nomas WPA has been cancelled. Accordingly, Rhino Ventures Limited is the owner of 100% of the outstanding IPO Warrants.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August 18, 2025 Diginex announced an eight (8) for one (1) forward stock split to be paid in the form of a bonus share issuance. Each shareholder of the Company of record at the close of business on September 5, 2025 will receive 7 bonus ordinary shares for every one ordinary share held on the record date. The Company expects the bonus shares will be distributed on September 8, 2025.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8" w:name="page59"/>
    <w:bookmarkEnd w:id="58"/>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the business side, Diginex launched diginexESG in 2020 and diginexLumen in 2022, Over the same period Diginex has engaged with multiple clients for both advisory and customization work, including offering diginexESG and diginexLumen as a white label solution. Diginex has engaged and retained some high profile clients such as Coca Cola, HSBC and Unilever.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Background</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“ESG” is a recent evolution in corporate sustainability thinking, and it encapsulates a series of Environmental, Social, and Governance-related criteria to measure and evaluate both business impacts as well as risks and opportunities.</w:t>
      </w:r>
    </w:p>
    <w:p>
      <w:pPr>
        <w:spacing w:after="0" w:line="155" w:lineRule="exact"/>
        <w:rPr>
          <w:sz w:val="20"/>
          <w:szCs w:val="20"/>
          <w:color w:val="auto"/>
        </w:rPr>
      </w:pPr>
    </w:p>
    <w:p>
      <w:pPr>
        <w:ind w:firstLine="1"/>
        <w:spacing w:after="0" w:line="312" w:lineRule="auto"/>
        <w:tabs>
          <w:tab w:leader="none" w:pos="16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Environmental </w:t>
      </w:r>
      <w:r>
        <w:rPr>
          <w:rFonts w:ascii="Times New Roman" w:cs="Times New Roman" w:eastAsia="Times New Roman" w:hAnsi="Times New Roman"/>
          <w:sz w:val="16"/>
          <w:szCs w:val="16"/>
          <w:color w:val="auto"/>
        </w:rPr>
        <w:t>(E): This pillar focuses on a company’s impact on the natural environment as well as how it manages environmental risks and opportunities. 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includes considerations like carbon emissions, energy use, waste management, water conservation, biodiversity loss, and compliance with environmental regulations.</w:t>
      </w:r>
    </w:p>
    <w:p>
      <w:pPr>
        <w:spacing w:after="0" w:line="126" w:lineRule="exact"/>
        <w:rPr>
          <w:rFonts w:ascii="Times New Roman" w:cs="Times New Roman" w:eastAsia="Times New Roman" w:hAnsi="Times New Roman"/>
          <w:sz w:val="16"/>
          <w:szCs w:val="16"/>
          <w:color w:val="auto"/>
        </w:rPr>
      </w:pPr>
    </w:p>
    <w:p>
      <w:pPr>
        <w:jc w:val="both"/>
        <w:ind w:firstLine="1"/>
        <w:spacing w:after="0" w:line="263" w:lineRule="auto"/>
        <w:tabs>
          <w:tab w:leader="none" w:pos="15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Social </w:t>
      </w:r>
      <w:r>
        <w:rPr>
          <w:rFonts w:ascii="Times New Roman" w:cs="Times New Roman" w:eastAsia="Times New Roman" w:hAnsi="Times New Roman"/>
          <w:sz w:val="17"/>
          <w:szCs w:val="17"/>
          <w:color w:val="auto"/>
        </w:rPr>
        <w:t>(S): This dimension focuses on a company’s impact on society and how it treats different groups of people, including employees, suppliers, customers,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communities where it operates. It also addresses people-related risks and opportunities for the company. Key issues include workplace health &amp; safety, diversity &amp; inclusion, human rights and forced labor, data protection, and community engagement.</w:t>
      </w:r>
    </w:p>
    <w:p>
      <w:pPr>
        <w:spacing w:after="0" w:line="164" w:lineRule="exact"/>
        <w:rPr>
          <w:rFonts w:ascii="Times New Roman" w:cs="Times New Roman" w:eastAsia="Times New Roman" w:hAnsi="Times New Roman"/>
          <w:sz w:val="17"/>
          <w:szCs w:val="17"/>
          <w:color w:val="auto"/>
        </w:rPr>
      </w:pPr>
    </w:p>
    <w:p>
      <w:pPr>
        <w:jc w:val="both"/>
        <w:ind w:firstLine="1"/>
        <w:spacing w:after="0" w:line="263" w:lineRule="auto"/>
        <w:tabs>
          <w:tab w:leader="none" w:pos="19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Governance </w:t>
      </w:r>
      <w:r>
        <w:rPr>
          <w:rFonts w:ascii="Times New Roman" w:cs="Times New Roman" w:eastAsia="Times New Roman" w:hAnsi="Times New Roman"/>
          <w:sz w:val="17"/>
          <w:szCs w:val="17"/>
          <w:color w:val="auto"/>
        </w:rPr>
        <w:t>(G): This component refers to the structures, processes and internal controls a company uses to guide its operations. Internally, it encompasses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leadership structures, executive pay, ethical and corporate guidelines, and decision-making processes. Externally, it involves stakeholder engagement, compliance with regulations, and transparent disclosure practices.</w:t>
      </w:r>
    </w:p>
    <w:p>
      <w:pPr>
        <w:spacing w:after="0" w:line="16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the modern business landscape, ESG considerations have emerged as paramount. Corporate governance, sustainability, and the consideration of environmental and social concerns are not new to the business world. But as global ESG-related challenges like climate change, societal inequalities, and corporate scandals become more pronounced and understood, the importance of ESG factors has soared. Key stakeholders, including regulators, investors, and customers, now increasingly demand transparency and accountability on these fronts.</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the regulatory side, corporate disclosure and ESG-related disclosure mandates are on the rise globally, with regulators increasingly mandating standardized and transparent reporting of companies’ ESG performance to ensure stakeholders, particularly investors, have access to comprehensive, comparable, and reliable information. The European Union and the US currently lead in regulatory developments, starting with a focus on financial market participants, large corporations and climate-related disclosures. As demand for ESG transparency grows, regulators worldwide are tightening policies to standardize disclosures and practices. Governments and financial bodies are developing frameworks to ensure consistent, reliable, and comparable ESG data, empowering investors and holding companies accountable for their environmental and social impacts. The regulatory landscape is dynamic, with varying approaches across regions driven by local market needs, creating a complex environment where companies must navigate stricter rules while maintaining their competitive edge in an increasingly volatile market. Some of the most relevant regulatory developments around the world are:</w:t>
      </w:r>
    </w:p>
    <w:p>
      <w:pPr>
        <w:spacing w:after="0" w:line="176" w:lineRule="exact"/>
        <w:rPr>
          <w:sz w:val="20"/>
          <w:szCs w:val="20"/>
          <w:color w:val="auto"/>
        </w:rPr>
      </w:pPr>
    </w:p>
    <w:p>
      <w:pPr>
        <w:jc w:val="both"/>
        <w:ind w:firstLine="1"/>
        <w:spacing w:after="0" w:line="252" w:lineRule="auto"/>
        <w:tabs>
          <w:tab w:leader="none" w:pos="14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EU CSRD, the EU Taxonomy and EU CSDDD: </w:t>
      </w:r>
      <w:r>
        <w:rPr>
          <w:rFonts w:ascii="Times New Roman" w:cs="Times New Roman" w:eastAsia="Times New Roman" w:hAnsi="Times New Roman"/>
          <w:sz w:val="17"/>
          <w:szCs w:val="17"/>
          <w:color w:val="auto"/>
        </w:rPr>
        <w:t>The European Union has introduced significant updates to its sustainability frameworks, including the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Sustainability Reporting Directive (CSRD), EU Taxonomy, and Corporate Sustainability Due Diligence Directive (CSDDD), through the Omnibus Simplification Package proposed on February 26, 2025. The CSRD, effective for large companies from 2024 (reports due in 2025), now focuses on reporting obligations on firms with over 1,000 employees to reduce administrative burdens, with simplified European Sustainability Reporting Standards (ESRS). The EU Taxonomy’s reporting is proposed to be voluntary for smaller firms, with only large companies (over 1,000 employees and €450 million turnover) required to disclose alignment. The CSDDD, effective July 25, 2024, mandates human rights and environmental due diligence for large companies, but its scope has been narrowed to direct suppliers, with implementation delayed to 2028–2029 and civil liability provisions softened. These changes aim to streamline compliance while maintaining EU Green Deal ambitions, though concerns remain about reduced transparency and weakened accountability.</w:t>
      </w:r>
    </w:p>
    <w:p>
      <w:pPr>
        <w:spacing w:after="0" w:line="173" w:lineRule="exact"/>
        <w:rPr>
          <w:rFonts w:ascii="Times New Roman" w:cs="Times New Roman" w:eastAsia="Times New Roman" w:hAnsi="Times New Roman"/>
          <w:sz w:val="17"/>
          <w:szCs w:val="17"/>
          <w:color w:val="auto"/>
        </w:rPr>
      </w:pPr>
    </w:p>
    <w:p>
      <w:pPr>
        <w:jc w:val="both"/>
        <w:ind w:firstLine="1"/>
        <w:spacing w:after="0" w:line="254" w:lineRule="auto"/>
        <w:tabs>
          <w:tab w:leader="none" w:pos="15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EU SFDR: </w:t>
      </w:r>
      <w:r>
        <w:rPr>
          <w:rFonts w:ascii="Times New Roman" w:cs="Times New Roman" w:eastAsia="Times New Roman" w:hAnsi="Times New Roman"/>
          <w:sz w:val="17"/>
          <w:szCs w:val="17"/>
          <w:color w:val="auto"/>
        </w:rPr>
        <w:t>The EU Sustainable Finance Disclosure Regulation (SFDR), effective since March 2021, is undergoing a significant review to address challenges like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legal ambiguity, data availability, and greenwashing risks. In December 2024, the EU Platform on Sustainable Finance proposed a new categorization scheme with three product labels: “Sustainable,” “Transition,” and “ESG Collection,” each with minimum criteria to enhance clarity and investor trust. The European Commission launched a Call for Evidence in May 2025, with a deadline of May 30, 2025, to gather feedback on refining SFDR, aiming for alignment with the Corporate Sustainability Reporting Directive (CSRD) and other regulations. A revised SFDR proposal is expected in Q4 2025, focusing on simplifying requirements, improving transparency, and potentially introducing a formal labeling system.</w:t>
      </w:r>
    </w:p>
    <w:p>
      <w:pPr>
        <w:spacing w:after="0" w:line="170" w:lineRule="exact"/>
        <w:rPr>
          <w:rFonts w:ascii="Times New Roman" w:cs="Times New Roman" w:eastAsia="Times New Roman" w:hAnsi="Times New Roman"/>
          <w:sz w:val="17"/>
          <w:szCs w:val="17"/>
          <w:color w:val="auto"/>
        </w:rPr>
      </w:pPr>
    </w:p>
    <w:p>
      <w:pPr>
        <w:jc w:val="both"/>
        <w:ind w:firstLine="1"/>
        <w:spacing w:after="0" w:line="251" w:lineRule="auto"/>
        <w:tabs>
          <w:tab w:leader="none" w:pos="15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Stock Exchange ESG disclosure mandates: </w:t>
      </w:r>
      <w:r>
        <w:rPr>
          <w:rFonts w:ascii="Times New Roman" w:cs="Times New Roman" w:eastAsia="Times New Roman" w:hAnsi="Times New Roman"/>
          <w:sz w:val="17"/>
          <w:szCs w:val="17"/>
          <w:color w:val="auto"/>
        </w:rPr>
        <w:t>As of January 2025, the global landscape of Environmental, Social, and Governance (ESG) disclosure requirements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has continued to evolve significantly. Currently, 38 stock exchanges mandate ESG disclosure as a listing requirement, while 72 others provide guidance on ESG reporting, highlighting a clear trend towards increasing mandatory ESG reporting across financial markets. Countries with stock exchanges requiring ESG disclosure now include Argentina, Austria, Belgium, Croatia, Egypt, France, Greece, India (with ongoing discussions around ESG disclosure regulations), Indonesia, Ireland, Italy, Jordan, Kazakhstan, Kenya, Kyrgyzstan, Luxembourg, Malaysia, Morocco, Namibia, Netherlands, Nigeria, Peru, Philippines, Portugal, Singapore, South Africa, Spain, Switzerland (with amendments to climate disclosure laws under consultation), Thailand, Turkey, the United Arab Emirates (with emissions disclosure mandates taking effect in May 2025), the United Kingdom, the United States (where the SEC’s climate-related disclosure rule is delayed due to legal challenges), Vietnam, and Zimbabwe. Notably, Hong Kong will require all Main Board issuers to disclose Scope 1 and Scope 2 greenhouse gas emissions starting January 1, 2025, with Scope 3 disclosures mandatory for large-cap issuers beginning in 2026. This expanding global shift towards mandatory ESG disclosure reflects the increasing importance of sustainability considerations in investment decision-making and corporate governance practices.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9" w:name="page60"/>
    <w:bookmarkEnd w:id="59"/>
    <w:p>
      <w:pPr>
        <w:jc w:val="both"/>
        <w:ind w:firstLine="1"/>
        <w:spacing w:after="0" w:line="253" w:lineRule="auto"/>
        <w:tabs>
          <w:tab w:leader="none" w:pos="14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ISSB</w:t>
      </w:r>
      <w:r>
        <w:rPr>
          <w:rFonts w:ascii="Times New Roman" w:cs="Times New Roman" w:eastAsia="Times New Roman" w:hAnsi="Times New Roman"/>
          <w:sz w:val="17"/>
          <w:szCs w:val="17"/>
          <w:color w:val="auto"/>
        </w:rPr>
        <w:t>: In November 2021, the International Financial Reporting Standards (IFRS) Foundation established the International Sustainability Standards Board (ISSB)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become the global standard-setter for sustainability disclosures in financial markets. The ISSB consolidates the work of various initiatives into a single entity and has received strong endorsements from the G7, G20, and the International Organization of Securities Commissions (IOSCO), with regulatory bodies worldwide adopting and aligning their regulations with the ISSB’s framework. In 2023, the ISSB issued its inaugural global sustainability standards, aiming to unify sustainability reporting and improve transparency, consistency, and accountability across global markets. Countries and regions around the world are adopting the ISSB standards, though the integration process varies. Different jurisdictions are adopting the standards at different rates, influenced by factors such as market size, economic conditions, and existing reporting frameworks. The implementation timelines also differ based on the unique needs of each region.</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Asia-Pacific (APAC) region is leading the way in adopting ISSB standards. Countries such as Australia, China, Japan, Hong Kong, India, New Zealand, Singapore, and Taiwan are either aligning their regulations with the ISSB standards or have already incorporated them. For example, Australia is aligning with the ISSB through the Australian Securities and Investments Commission (ASIC) and the Australian Stock Exchange (ASX), with mandatory climate-related reporting set to begin in 2025. In Hong Kong, Main Board issuers will be required to disclose climate-related impacts in line with ISSB standards starting in 2025. Japan has adopted the ISSB guidelines as part of its sustainability reporting framework, and China is gradually integrating these standards, with certain sectors expected to align soon. Singapore plans to introduce mandatory climate-related reporting by 2025, starting with listed companies, which will report on Scope 1 and Scope 2 emissions, with Scope 3 reporting phased in. Large non-listed companies will follow in 2027. In Europe, the European Union (EU) is aligning its Corporate Sustainability Reporting Directive (CSRD) with ISSB standards. Countries such as France and Germany have already enacted regulations that reflect these global guidelines. The United Kingdom has also aligned its reporting framework with ISSB standards post-Brexit, ensuring UK-listed companies meet global sustainability reporting requirements. The United States is still in the process of aligning its regulations with the ISSB standards, as the SEC’s rules have faced legal challenges and delays, meaning the adoption timeline has been slower compared to other jurisdictions that have embraced ISSB standards. In Africa, countries like South Africa and Kenya are adopting the ISSB standards to enhance corporate accountability. South Africa has already aligned its reporting regulations with ISSB, positioning itself as a leader in ESG disclosure on the continent.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global adoption of ISSB standards is expected to improve the reliability and comparability of ESG disclosures, making it easier for investors and other stakeholders to evaluate companies’ sustainability practices. As more regions adopt these standards, the ISSB will play a key role in standardizing global corporate reporting and enabling better investment decisions aligned with sustainable development goals.</w:t>
      </w:r>
    </w:p>
    <w:p>
      <w:pPr>
        <w:spacing w:after="0" w:line="165" w:lineRule="exact"/>
        <w:rPr>
          <w:sz w:val="20"/>
          <w:szCs w:val="20"/>
          <w:color w:val="auto"/>
        </w:rPr>
      </w:pPr>
    </w:p>
    <w:p>
      <w:pPr>
        <w:jc w:val="both"/>
        <w:ind w:firstLine="1"/>
        <w:spacing w:after="0" w:line="255" w:lineRule="auto"/>
        <w:tabs>
          <w:tab w:leader="none" w:pos="15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 Climate Disclosure Rules</w:t>
      </w:r>
      <w:r>
        <w:rPr>
          <w:rFonts w:ascii="Times New Roman" w:cs="Times New Roman" w:eastAsia="Times New Roman" w:hAnsi="Times New Roman"/>
          <w:sz w:val="17"/>
          <w:szCs w:val="17"/>
          <w:color w:val="auto"/>
        </w:rPr>
        <w:t>: As of May 2025, SEC climate disclosure rules are effectively on hold. Initially adopted in March 2024, these rules mandated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public companies disclose climate-related risks and greenhouse gas emissions. However, they faced immediate legal challenges and were temporarily stayed by federal courts. In March 2025, the SEC voted to cease defending the rules in court, citing concerns over their cost and intrusiveness. Subsequently, in April 2025, the U.S. Court of Appeals for the Eighth Circuit ordered the litigation to be held in abeyance and directed the SEC to report by July 23, 2025, on whether it intends to review or reconsider the rules. While the rules have not been formally rescinded, their future remains uncertain, and enforcement is currently paused.</w:t>
      </w:r>
    </w:p>
    <w:p>
      <w:pPr>
        <w:spacing w:after="0" w:line="171" w:lineRule="exact"/>
        <w:rPr>
          <w:rFonts w:ascii="Times New Roman" w:cs="Times New Roman" w:eastAsia="Times New Roman" w:hAnsi="Times New Roman"/>
          <w:sz w:val="17"/>
          <w:szCs w:val="17"/>
          <w:color w:val="auto"/>
        </w:rPr>
      </w:pPr>
    </w:p>
    <w:p>
      <w:pPr>
        <w:jc w:val="both"/>
        <w:ind w:firstLine="1"/>
        <w:spacing w:after="0" w:line="253" w:lineRule="auto"/>
        <w:tabs>
          <w:tab w:leader="none" w:pos="14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UFLPA: </w:t>
      </w:r>
      <w:r>
        <w:rPr>
          <w:rFonts w:ascii="Times New Roman" w:cs="Times New Roman" w:eastAsia="Times New Roman" w:hAnsi="Times New Roman"/>
          <w:sz w:val="17"/>
          <w:szCs w:val="17"/>
          <w:color w:val="auto"/>
        </w:rPr>
        <w:t>The Uyghur Forced Labor Prevention Act (UFLPA), directs the Forced Labor Enforcement Task Force to develop a strategy for supporting enforcement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prohibition on the importation of goods into the United States manufactured wholly or in part with forced labor in the People’s Republic of China, especially from the Xinjiang Uyghur Autonomous Region, or Xinjiang. The UFLPA has been effective since June 2022, and requires importers to review their supply chains, instate reliable measures to ensure compliance with the UFLPA, and be prepared to respond to inquiries from US Customs and Border Protection (CBP) with sufficient evidence to demonstrate that their goods were not mined, produced, or manufactured wholly or in part by forced labor. This can include documentation showing a due diligence system or process, evidence of tracing the supply chain from raw materials to the imported good, and other credentials demonstrating supply chain management measures.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0" w:name="page61"/>
    <w:bookmarkEnd w:id="60"/>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ESG becomes integral to business strategies, investor criteria, and regulatory compliance, there is a growing need for specialized tools to handle ESG data. As the volume and complexity of ESG data, disclosure and performance requirements increase, tools that can gather, analyze, and present this information in a cohesive manner that adheres to key requirements become indispensable. In an environment where ESG performance and disclosure can directly influence investor decisions, brand reputation, and regulatory compliance, having precise and comprehensive ESG software tools is crucial for businesses. Three prominent examples of ESG software include:</w:t>
      </w:r>
    </w:p>
    <w:p>
      <w:pPr>
        <w:spacing w:after="0" w:line="176" w:lineRule="exact"/>
        <w:rPr>
          <w:sz w:val="20"/>
          <w:szCs w:val="20"/>
          <w:color w:val="auto"/>
        </w:rPr>
      </w:pPr>
    </w:p>
    <w:p>
      <w:pPr>
        <w:jc w:val="both"/>
        <w:ind w:firstLine="1"/>
        <w:spacing w:after="0" w:line="256" w:lineRule="auto"/>
        <w:tabs>
          <w:tab w:leader="none" w:pos="15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ESG reporting &amp; data management software, which generally facilitates the systematic collection, organization, and presentation of a company’s ESG performance data. It provides a structured platform for businesses to document and report their sustainability and ethical initiatives, ensuring transparency and adherence to established standards. Such software is instrumental in meeting the increasing demands of stakeholders, regulators, and investors for comprehensive and verifiable ESG disclosures.</w:t>
      </w:r>
    </w:p>
    <w:p>
      <w:pPr>
        <w:spacing w:after="0" w:line="174" w:lineRule="exact"/>
        <w:rPr>
          <w:rFonts w:ascii="Times New Roman" w:cs="Times New Roman" w:eastAsia="Times New Roman" w:hAnsi="Times New Roman"/>
          <w:sz w:val="17"/>
          <w:szCs w:val="17"/>
          <w:color w:val="auto"/>
        </w:rPr>
      </w:pPr>
    </w:p>
    <w:p>
      <w:pPr>
        <w:jc w:val="both"/>
        <w:ind w:firstLine="1"/>
        <w:spacing w:after="0" w:line="261" w:lineRule="auto"/>
        <w:tabs>
          <w:tab w:leader="none" w:pos="16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Carbon management software, which generally helps businesses to quantify, monitor, and manage their Greenhouse Gas (GHG) emissions. By providing insights into carbon-producing activities and their implications, this type of software typically aids in the formulation of strategies to reduce carbon footprints. Companies use these tools to align with environmental standards, regulatory requirements, and sustainability goals.</w:t>
      </w:r>
    </w:p>
    <w:p>
      <w:pPr>
        <w:spacing w:after="0" w:line="169" w:lineRule="exact"/>
        <w:rPr>
          <w:rFonts w:ascii="Times New Roman" w:cs="Times New Roman" w:eastAsia="Times New Roman" w:hAnsi="Times New Roman"/>
          <w:sz w:val="17"/>
          <w:szCs w:val="17"/>
          <w:color w:val="auto"/>
        </w:rPr>
      </w:pPr>
    </w:p>
    <w:p>
      <w:pPr>
        <w:jc w:val="both"/>
        <w:ind w:firstLine="1"/>
        <w:spacing w:after="0" w:line="256" w:lineRule="auto"/>
        <w:tabs>
          <w:tab w:leader="none" w:pos="19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sustainability software, which generally assists companies in overseeing the sustainability practices within their supply chain, providing tools to evaluate and ensure that suppliers and partners adhere to prescribed ethical, environmental, and social/labor standards. By providing a holistic view of the supply chain’s sustainability performance, this type of software supports companies in maintaining integrity throughout their operations, mitigating risks and reinforcing commitment to responsible sourcing and production.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market for ESG software is already experiencing rapid growth and is expected to keep its pace over the coming years.</w:t>
      </w:r>
    </w:p>
    <w:p>
      <w:pPr>
        <w:spacing w:after="0" w:line="208" w:lineRule="exact"/>
        <w:rPr>
          <w:sz w:val="20"/>
          <w:szCs w:val="20"/>
          <w:color w:val="auto"/>
        </w:rPr>
      </w:pPr>
    </w:p>
    <w:p>
      <w:pPr>
        <w:jc w:val="both"/>
        <w:ind w:left="600" w:hanging="297"/>
        <w:spacing w:after="0" w:line="268" w:lineRule="auto"/>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global market spends on ESG reporting software is expected to grow from over $1.3 billion in 2023 to over $5.6 billion in 2029, at a compound annual growth rate (“CAGR”) of 26%. Industries with complex supply chains – particularly manufacturing, and wholesale and retail trade – are expected to have the highest growth rates between 2023 and 2029. </w:t>
      </w:r>
      <w:r>
        <w:rPr>
          <w:rFonts w:ascii="Times New Roman" w:cs="Times New Roman" w:eastAsia="Times New Roman" w:hAnsi="Times New Roman"/>
          <w:sz w:val="28"/>
          <w:szCs w:val="28"/>
          <w:color w:val="auto"/>
          <w:vertAlign w:val="superscript"/>
        </w:rPr>
        <w:t>1</w:t>
      </w:r>
    </w:p>
    <w:p>
      <w:pPr>
        <w:spacing w:after="0" w:line="48" w:lineRule="exact"/>
        <w:rPr>
          <w:rFonts w:ascii="Times New Roman" w:cs="Times New Roman" w:eastAsia="Times New Roman" w:hAnsi="Times New Roman"/>
          <w:sz w:val="17"/>
          <w:szCs w:val="17"/>
          <w:color w:val="auto"/>
        </w:rPr>
      </w:pPr>
    </w:p>
    <w:p>
      <w:pPr>
        <w:ind w:left="600" w:hanging="297"/>
        <w:spacing w:after="0" w:line="281" w:lineRule="auto"/>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carbon management software market grew from USD 13.08 billion in 2024 to USD 14.98 billion in 2025. It is expected to continue growing at a CAGR of 13.93%, reaching USD 28.63 billion by 2030. </w:t>
      </w:r>
      <w:r>
        <w:rPr>
          <w:rFonts w:ascii="Times New Roman" w:cs="Times New Roman" w:eastAsia="Times New Roman" w:hAnsi="Times New Roman"/>
          <w:sz w:val="28"/>
          <w:szCs w:val="28"/>
          <w:color w:val="auto"/>
          <w:vertAlign w:val="superscript"/>
        </w:rPr>
        <w:t>2</w:t>
      </w:r>
    </w:p>
    <w:p>
      <w:pPr>
        <w:spacing w:after="0" w:line="37" w:lineRule="exact"/>
        <w:rPr>
          <w:rFonts w:ascii="Times New Roman" w:cs="Times New Roman" w:eastAsia="Times New Roman" w:hAnsi="Times New Roman"/>
          <w:sz w:val="17"/>
          <w:szCs w:val="17"/>
          <w:color w:val="auto"/>
        </w:rPr>
      </w:pPr>
    </w:p>
    <w:p>
      <w:pPr>
        <w:ind w:left="600" w:hanging="297"/>
        <w:spacing w:after="0" w:line="281" w:lineRule="auto"/>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global supply chain sustainability software market was valued at approximately USD 1.7 billion in 2023 and is projected to grow to USD 6.8 billion by 2028, reflecting a CAGR of 32% </w:t>
      </w:r>
      <w:r>
        <w:rPr>
          <w:rFonts w:ascii="Times New Roman" w:cs="Times New Roman" w:eastAsia="Times New Roman" w:hAnsi="Times New Roman"/>
          <w:sz w:val="28"/>
          <w:szCs w:val="28"/>
          <w:color w:val="auto"/>
          <w:vertAlign w:val="superscript"/>
        </w:rPr>
        <w:t>3.</w:t>
      </w:r>
    </w:p>
    <w:p>
      <w:pPr>
        <w:spacing w:after="0" w:line="37" w:lineRule="exact"/>
        <w:rPr>
          <w:sz w:val="20"/>
          <w:szCs w:val="20"/>
          <w:color w:val="auto"/>
        </w:rPr>
      </w:pPr>
    </w:p>
    <w:p>
      <w:pPr>
        <w:jc w:val="both"/>
        <w:ind w:firstLine="303"/>
        <w:spacing w:after="0" w:line="259" w:lineRule="auto"/>
        <w:rPr>
          <w:sz w:val="20"/>
          <w:szCs w:val="20"/>
          <w:color w:val="auto"/>
        </w:rPr>
      </w:pPr>
      <w:r>
        <w:rPr>
          <w:rFonts w:ascii="Times New Roman" w:cs="Times New Roman" w:eastAsia="Times New Roman" w:hAnsi="Times New Roman"/>
          <w:sz w:val="17"/>
          <w:szCs w:val="17"/>
          <w:color w:val="auto"/>
        </w:rPr>
        <w:t xml:space="preserve">As ESG becomes increasingly important, companies are not only looking for software to gain operational efficiencies and streamline their reporting, data management, and compliance processes. Corporates are also increasingly relying on consulting services to support them in their sustainability and ESG programs. ESG consulting covers a wide range of services, including support for ESG and sustainability corporate strategy, digital transformation, corporate reporting and disclosures, operational transformation, product stewardship and supply chain sustainability, among others. In par with the software market, investment in ESG and sustainability consulting reached USD 11.5 billion in 2022, expected to grow to USD 48 billion by 2028 at a CAGR of 27%. </w:t>
      </w:r>
      <w:r>
        <w:rPr>
          <w:rFonts w:ascii="Times New Roman" w:cs="Times New Roman" w:eastAsia="Times New Roman" w:hAnsi="Times New Roman"/>
          <w:sz w:val="28"/>
          <w:szCs w:val="28"/>
          <w:color w:val="auto"/>
          <w:vertAlign w:val="superscript"/>
        </w:rPr>
        <w:t>1</w:t>
      </w:r>
    </w:p>
    <w:p>
      <w:pPr>
        <w:spacing w:after="0" w:line="5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Going forward, technological innovations like AI are expected to keep driving market growth, making data collection and analysis more nuanced. Additionally, as ESG becomes a global standard, emerging markets will also substantially contribute to the growth, requiring businesses there to adopt ESG reporting tools.</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1. Competitive landscape and pricing</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regulators worldwide issue new sustainability directives, the market for ESG services and software that helps companies with ESG data management and disclosure compliance efforts has blossomed. These solutions typically offer the features and resources required to gather, examine, and report on ESG data, assisting businesses in adhering to regulations and effectively promoting their sustainability initiatives. This ensures that businesses can effectively meet regulatory obligations while also monitoring their progress toward ESG goals.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ESG reporting and data management software landscape today is somewhat fragmented and quickly evolving. Three key factors provide a useful lens through which to segment and understand the current landscape. From a positioning or heritage perspective, the market features a mix of legacy enterprise software companies, dedicated ESG tech start-ups, and consulting and auditing firms with ESG tech capabilities.</w:t>
      </w:r>
    </w:p>
    <w:p>
      <w:pPr>
        <w:spacing w:after="0" w:line="165"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 xml:space="preserve">Across these companies, ESG providers will typically offer either </w:t>
      </w:r>
      <w:r>
        <w:rPr>
          <w:rFonts w:ascii="Times New Roman" w:cs="Times New Roman" w:eastAsia="Times New Roman" w:hAnsi="Times New Roman"/>
          <w:sz w:val="17"/>
          <w:szCs w:val="17"/>
          <w:i w:val="1"/>
          <w:iCs w:val="1"/>
          <w:color w:val="auto"/>
        </w:rPr>
        <w:t>integrated ESG platforms</w:t>
      </w:r>
      <w:r>
        <w:rPr>
          <w:rFonts w:ascii="Times New Roman" w:cs="Times New Roman" w:eastAsia="Times New Roman" w:hAnsi="Times New Roman"/>
          <w:sz w:val="17"/>
          <w:szCs w:val="17"/>
          <w:color w:val="auto"/>
        </w:rPr>
        <w:t xml:space="preserve"> offering end-to-end reporting capabilities</w:t>
      </w:r>
      <w:r>
        <w:rPr>
          <w:rFonts w:ascii="Times New Roman" w:cs="Times New Roman" w:eastAsia="Times New Roman" w:hAnsi="Times New Roman"/>
          <w:sz w:val="17"/>
          <w:szCs w:val="17"/>
          <w:i w:val="1"/>
          <w:iCs w:val="1"/>
          <w:color w:val="auto"/>
        </w:rPr>
        <w:t>, specialized point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solutions </w:t>
      </w:r>
      <w:r>
        <w:rPr>
          <w:rFonts w:ascii="Times New Roman" w:cs="Times New Roman" w:eastAsia="Times New Roman" w:hAnsi="Times New Roman"/>
          <w:sz w:val="17"/>
          <w:szCs w:val="17"/>
          <w:color w:val="auto"/>
        </w:rPr>
        <w:t>focusing on a specific horizontal or vertical functionality across the E, S and G, or</w:t>
      </w:r>
      <w:r>
        <w:rPr>
          <w:rFonts w:ascii="Times New Roman" w:cs="Times New Roman" w:eastAsia="Times New Roman" w:hAnsi="Times New Roman"/>
          <w:sz w:val="17"/>
          <w:szCs w:val="17"/>
          <w:i w:val="1"/>
          <w:iCs w:val="1"/>
          <w:color w:val="auto"/>
        </w:rPr>
        <w:t xml:space="preserve"> Financial ESG and portfolio intelligence</w:t>
      </w:r>
      <w:r>
        <w:rPr>
          <w:rFonts w:ascii="Times New Roman" w:cs="Times New Roman" w:eastAsia="Times New Roman" w:hAnsi="Times New Roman"/>
          <w:sz w:val="17"/>
          <w:szCs w:val="17"/>
          <w:color w:val="auto"/>
        </w:rPr>
        <w:t>, offering financially relevant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ESG data points. Additionally, ESG solution providers can be split according to their target audience, with a clear distinction between solutions targeted at financial institutions and regular corporates and between those aimed at large and complex enterprises or small and medium sized enterprises (SMEs).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120015</wp:posOffset>
            </wp:positionV>
            <wp:extent cx="17856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300" w:lineRule="exact"/>
        <w:rPr>
          <w:sz w:val="20"/>
          <w:szCs w:val="20"/>
          <w:color w:val="auto"/>
        </w:rPr>
      </w:pPr>
    </w:p>
    <w:p>
      <w:pPr>
        <w:ind w:left="100" w:hanging="99"/>
        <w:spacing w:after="0"/>
        <w:tabs>
          <w:tab w:leader="none" w:pos="100" w:val="left"/>
        </w:tabs>
        <w:numPr>
          <w:ilvl w:val="0"/>
          <w:numId w:val="4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Verdantix Market Size And Forecast: ESG Reporting Software 2023-2029 (Global)</w:t>
      </w:r>
    </w:p>
    <w:p>
      <w:pPr>
        <w:spacing w:after="0" w:line="18" w:lineRule="exact"/>
        <w:rPr>
          <w:sz w:val="20"/>
          <w:szCs w:val="20"/>
          <w:color w:val="auto"/>
        </w:rPr>
      </w:pPr>
    </w:p>
    <w:p>
      <w:pPr>
        <w:ind w:firstLine="1"/>
        <w:spacing w:after="0" w:line="196" w:lineRule="auto"/>
        <w:tabs>
          <w:tab w:leader="none" w:pos="105" w:val="left"/>
        </w:tabs>
        <w:numPr>
          <w:ilvl w:val="0"/>
          <w:numId w:val="4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Carbon Management Software Market by Component, Deployment Mode, Enterprise Size, Organization Type, Application, End User Industry - Global Forecast to 2030</w:t>
      </w: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i w:val="1"/>
          <w:iCs w:val="1"/>
          <w:color w:val="auto"/>
        </w:rPr>
        <w:t xml:space="preserve"> Verdantix Green Quadrant: Supply Chain Sustainability Software 2024</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61" w:name="page62"/>
    <w:bookmarkEnd w:id="61"/>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Legacy software: </w:t>
      </w:r>
      <w:r>
        <w:rPr>
          <w:rFonts w:ascii="Times New Roman" w:cs="Times New Roman" w:eastAsia="Times New Roman" w:hAnsi="Times New Roman"/>
          <w:sz w:val="17"/>
          <w:szCs w:val="17"/>
          <w:color w:val="auto"/>
        </w:rPr>
        <w:t>Traditional and typically large software titans emerging from either the environment, health, safety, and quality (EHS&amp;Q),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reporting or Enterprise Resource Planning (ERP) software markets, who are now venturing into ESG realms. They generally offer intricate and comprehensive solutions cutting across several horizontal functionalities, specializing in select ESG verticals, aimed at large enterprise customers across industries, with complex structures and needs. The annual cost for these solutions range widely, as offerings tend to be highly customizable, but given the target audience it often goes up to the hundreds of thousands dollars a year.</w:t>
      </w:r>
    </w:p>
    <w:p>
      <w:pPr>
        <w:spacing w:after="0" w:line="176" w:lineRule="exact"/>
        <w:rPr>
          <w:sz w:val="20"/>
          <w:szCs w:val="20"/>
          <w:color w:val="auto"/>
        </w:rPr>
      </w:pPr>
    </w:p>
    <w:p>
      <w:pPr>
        <w:jc w:val="both"/>
        <w:ind w:left="1220" w:hanging="311"/>
        <w:spacing w:after="0" w:line="254" w:lineRule="auto"/>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EHS&amp;Q software</w:t>
      </w:r>
      <w:r>
        <w:rPr>
          <w:rFonts w:ascii="Times New Roman" w:cs="Times New Roman" w:eastAsia="Times New Roman" w:hAnsi="Times New Roman"/>
          <w:sz w:val="17"/>
          <w:szCs w:val="17"/>
          <w:color w:val="auto"/>
        </w:rPr>
        <w:t xml:space="preserve"> generally focuses on risk management, workplace health and safety, and quality control within daily operations, mainly catering to industries with significant operational and regulatory risks. Wolters Kluwer’s Enablon, Sphera, Quentic, Intelex, Cority, or VelocityEHS, are traditional EHS&amp;Q solution providers strategically repositioning themselves to partially rebrand to focus more broadly on ESG as a material revenue opportunity. This segment typically has in-depth knowledge of specific ESG issues (e.g., Health &amp; Safety) but may lack know-how and capabilities across the broad spectrum of ESG and are typically focused on risk management and compliance rather than reporting.</w:t>
      </w:r>
    </w:p>
    <w:p>
      <w:pPr>
        <w:spacing w:after="0" w:line="175" w:lineRule="exact"/>
        <w:rPr>
          <w:rFonts w:ascii="Times New Roman" w:cs="Times New Roman" w:eastAsia="Times New Roman" w:hAnsi="Times New Roman"/>
          <w:sz w:val="17"/>
          <w:szCs w:val="17"/>
          <w:color w:val="auto"/>
        </w:rPr>
      </w:pPr>
    </w:p>
    <w:p>
      <w:pPr>
        <w:jc w:val="both"/>
        <w:ind w:left="1220" w:hanging="311"/>
        <w:spacing w:after="0" w:line="256" w:lineRule="auto"/>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Enterprise Resource Planning (ERP) software</w:t>
      </w:r>
      <w:r>
        <w:rPr>
          <w:rFonts w:ascii="Times New Roman" w:cs="Times New Roman" w:eastAsia="Times New Roman" w:hAnsi="Times New Roman"/>
          <w:sz w:val="17"/>
          <w:szCs w:val="17"/>
          <w:color w:val="auto"/>
        </w:rPr>
        <w:t xml:space="preserve"> solutions are generally comprehensive, integrated systems designed to manage a business’ core functions and processes, such as finance, human resources, supply chain, manufacturing, and customer relations. Traditional ERP vendors like SAP, Salesforce, Oracle and even Microsoft are adding ESG data modules to their enterprise solutions. These types of solutions typically shine in capabilities like complex data management and integrations but lack experience and ESG-specific know-how.</w:t>
      </w:r>
    </w:p>
    <w:p>
      <w:pPr>
        <w:spacing w:after="0" w:line="174" w:lineRule="exact"/>
        <w:rPr>
          <w:rFonts w:ascii="Times New Roman" w:cs="Times New Roman" w:eastAsia="Times New Roman" w:hAnsi="Times New Roman"/>
          <w:sz w:val="17"/>
          <w:szCs w:val="17"/>
          <w:color w:val="auto"/>
        </w:rPr>
      </w:pPr>
    </w:p>
    <w:p>
      <w:pPr>
        <w:jc w:val="both"/>
        <w:ind w:left="1220" w:hanging="311"/>
        <w:spacing w:after="0" w:line="256" w:lineRule="auto"/>
        <w:tabs>
          <w:tab w:leader="none" w:pos="12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reporting software</w:t>
      </w:r>
      <w:r>
        <w:rPr>
          <w:rFonts w:ascii="Times New Roman" w:cs="Times New Roman" w:eastAsia="Times New Roman" w:hAnsi="Times New Roman"/>
          <w:sz w:val="17"/>
          <w:szCs w:val="17"/>
          <w:color w:val="auto"/>
        </w:rPr>
        <w:t>, distinct yet sometimes integrated into ERPs, specifically caters to the generation, analysis, and presentation of financial data and statements, ensuring compliance with accounting standards and regulations. These firms are actively increasing the depth and breadth of non-financial KPIs on offer, integrating ESG into their core product suite (E.g. Cube, Insight Software, or Workiva). Already recognized in their core area, they are now also slowly establishing themselves in the sustainability field.</w:t>
      </w:r>
    </w:p>
    <w:p>
      <w:pPr>
        <w:spacing w:after="0" w:line="171"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ESG Tech Start-ups: </w:t>
      </w:r>
      <w:r>
        <w:rPr>
          <w:rFonts w:ascii="Times New Roman" w:cs="Times New Roman" w:eastAsia="Times New Roman" w:hAnsi="Times New Roman"/>
          <w:sz w:val="17"/>
          <w:szCs w:val="17"/>
          <w:color w:val="auto"/>
        </w:rPr>
        <w:t>ESG tech startups have rapidly emerged over the past years , driven by the growing demand for specialized technology solutions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efficiency and automation in reporting. These startups leverage cutting-edge technologies such as AI, blockchain, and big data analytics to help companies monitor, measure, and report ESG metrics more accurately and efficiently. Their capabilities include carbon accounting, regulatory reporting aligned with global frameworks like GIR, CSRD, or SASB, and automated risk assessment tools. Some solution providers, such as Diginex, also offer stakeholder engagement tools. Agile and innovative by design, ESG tech startups are filling the gaps left by legacy systems, making ESG integration more accessible especially for small and medium enterprises seeking to future-proof their operations in an evolving regulatory and investor landscape.</w:t>
      </w:r>
    </w:p>
    <w:p>
      <w:pPr>
        <w:spacing w:after="0" w:line="171"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Consulting and Audit firms with tech capabilities: </w:t>
      </w:r>
      <w:r>
        <w:rPr>
          <w:rFonts w:ascii="Times New Roman" w:cs="Times New Roman" w:eastAsia="Times New Roman" w:hAnsi="Times New Roman"/>
          <w:sz w:val="17"/>
          <w:szCs w:val="17"/>
          <w:color w:val="auto"/>
        </w:rPr>
        <w:t>This group captures traditional and often large consulting and audit companies that are quickly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developing ESG capabilities both in terms of services (E.g. ESG advisory and assurance) and software. As ESG consulting projects increasingly require granular sustainability data and sophisticated software to amalgamate these data for strategic monitoring and compliance, consultancy firms increasingly need expertise and technical ability to create a suitable offering. As such, many of the major players have partnered with existing, typically legacy solutions to fill the need. These companies tend to offer a large variety of consulting services now in combination with ESG software tools, generally aimed at large multinationals and at high costs.</w:t>
      </w:r>
    </w:p>
    <w:p>
      <w:pPr>
        <w:spacing w:after="0" w:line="176" w:lineRule="exact"/>
        <w:rPr>
          <w:sz w:val="20"/>
          <w:szCs w:val="20"/>
          <w:color w:val="auto"/>
        </w:rPr>
      </w:pPr>
    </w:p>
    <w:p>
      <w:pPr>
        <w:jc w:val="both"/>
        <w:ind w:firstLine="605"/>
        <w:spacing w:after="0" w:line="228" w:lineRule="auto"/>
        <w:rPr>
          <w:sz w:val="20"/>
          <w:szCs w:val="20"/>
          <w:color w:val="auto"/>
        </w:rPr>
      </w:pPr>
      <w:r>
        <w:rPr>
          <w:rFonts w:ascii="Times New Roman" w:cs="Times New Roman" w:eastAsia="Times New Roman" w:hAnsi="Times New Roman"/>
          <w:sz w:val="17"/>
          <w:szCs w:val="17"/>
          <w:color w:val="auto"/>
        </w:rPr>
        <w:t>Some examples include, EY engaged Wolter Kluwer’s’ Enablon, a legacy global leader in integrated risk, operational risk and EHS management software, to use their technology to help organizations with end-to-end management and reporting of ESG data</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Bain and Company announced the backing of ESG Flo in 2023, an ESG data management solution focused on manufacturing, real estate, construction, retail, technology and healthcare. The firm was renamed as Tracera in 2025</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PwC is working with legacy ESG performance and risk management software provider Sphera, backed by Blackstone in 2022</w:t>
      </w: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Deloitte announced its partnership with Informatica and Workiva on New ESG Data and Reporting Ecosystem in 2024</w:t>
      </w:r>
      <w:r>
        <w:rPr>
          <w:rFonts w:ascii="Times New Roman" w:cs="Times New Roman" w:eastAsia="Times New Roman" w:hAnsi="Times New Roman"/>
          <w:sz w:val="28"/>
          <w:szCs w:val="28"/>
          <w:color w:val="auto"/>
          <w:vertAlign w:val="superscript"/>
        </w:rPr>
        <w:t>7.</w:t>
      </w:r>
    </w:p>
    <w:p>
      <w:pPr>
        <w:spacing w:after="0" w:line="73"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fragmented ESG reporting and data management landscape has seen some consolidation with acquisitions of Accuvio by Diligent (2021), Metrio by Nasdaq (2022), Greenstone by Cority (2023), Celsia by ISS (2024). Stand-alone solution providers are adapting in response to the evolving ESG data and technology landscape to stay either hyper specialized or broaden their focus from a single target market segment towards the coverage of the broader ecosystem.</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There is no single typology of ESG solutions providers. One way to categorize is based on scope, specialization, and user focus as per the following:</w:t>
      </w:r>
    </w:p>
    <w:p>
      <w:pPr>
        <w:spacing w:after="0" w:line="208" w:lineRule="exact"/>
        <w:rPr>
          <w:sz w:val="20"/>
          <w:szCs w:val="20"/>
          <w:color w:val="auto"/>
        </w:rPr>
      </w:pPr>
    </w:p>
    <w:p>
      <w:pPr>
        <w:jc w:val="both"/>
        <w:ind w:left="600" w:hanging="297"/>
        <w:spacing w:after="0" w:line="261" w:lineRule="auto"/>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forefront are integrated ESG data platforms offering end-to-end capabilities from data capture and validation to analytics and multi-framework reporting. These platforms, such as Workiva, Novisto, Greenstone (now Cority), and diginexESG are increasingly seen as “ESG ERPs,” becoming the system of record for sustainability data across the enterprise.</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Alongside these are specialized point solutions that focus deeply on individual ESG themes. Carbon and climate management platforms, including Watershed, Greenly, and Plan A, remain a highly active segment due to the need for emissions tracking, net-zero planning, and regulatory alignment. Companies such as Greenomy focus on specific regulatory requirements, such as the EU CSRD. Others, like Ulula (now Ecovadis) and diginexLUMEN and diginexAPPRISE focus on the social dimension, particularly human rights due diligence and labor risk assessment.</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ESG and portfolio intelligence tools, such as Novata, Clarity AI, and Arabesque S-Ray, are designed primarily for investors and financial institutions, enabling asset-level ESG analysis, impact scoring, and compliance with regulations like SFDR. These ESG data infrastructure providers also include firms such as ESG Book, Matters, Refinitiv, and Bloomberg ESG. They play a critical role by aggregating, verifying, and distributing ESG data via APIs and feeds that power both internal systems and external disclosures.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Across all the categories, AI-enhanced features and platforms are gaining momentum, using machine learning and generative AI to automate disclosure mapping, simulate risk scenarios, and accelerate sustainability decision-making. This landscape reflects several broader shifts: a move toward real-time, auditable data; increasing integration of AI for efficiency and predictive insights; growing focus on the “S” and “G” dimensions of ESG; and the emergence of affordable, modular platforms accessible to SMEs.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17856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303" w:lineRule="exact"/>
        <w:rPr>
          <w:sz w:val="20"/>
          <w:szCs w:val="20"/>
          <w:color w:val="auto"/>
        </w:rPr>
      </w:pPr>
    </w:p>
    <w:p>
      <w:pPr>
        <w:ind w:left="100" w:hanging="99"/>
        <w:spacing w:after="0"/>
        <w:tabs>
          <w:tab w:leader="none" w:pos="100" w:val="left"/>
        </w:tabs>
        <w:numPr>
          <w:ilvl w:val="0"/>
          <w:numId w:val="4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https://www.ey.com/en_gl/alliances/enablon</w:t>
      </w:r>
    </w:p>
    <w:p>
      <w:pPr>
        <w:ind w:left="100" w:hanging="99"/>
        <w:spacing w:after="0" w:line="185" w:lineRule="auto"/>
        <w:tabs>
          <w:tab w:leader="none" w:pos="100" w:val="left"/>
        </w:tabs>
        <w:numPr>
          <w:ilvl w:val="0"/>
          <w:numId w:val="4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https://www.esgdive.com/news/bain-data-infrastructure-tool-esg-flo-nets-525m-seed-funding-sec-csrd/698630/</w:t>
      </w:r>
    </w:p>
    <w:p>
      <w:pPr>
        <w:spacing w:after="0" w:line="22" w:lineRule="exact"/>
        <w:rPr>
          <w:sz w:val="20"/>
          <w:szCs w:val="20"/>
          <w:color w:val="auto"/>
        </w:rPr>
      </w:pPr>
    </w:p>
    <w:p>
      <w:pPr>
        <w:ind w:right="100" w:firstLine="1"/>
        <w:spacing w:after="0" w:line="194" w:lineRule="auto"/>
        <w:tabs>
          <w:tab w:leader="none" w:pos="105" w:val="left"/>
        </w:tabs>
        <w:numPr>
          <w:ilvl w:val="0"/>
          <w:numId w:val="4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https://sphera.com/company/news/sphera-supports-decarbonization-in-financial-services-with-spheracloud-corporate-sustainability-portfolio-management-solution-for-financed-emissions-to-meet-pcaf-and-ghg-protocol-reporting-sta/</w:t>
      </w:r>
    </w:p>
    <w:p>
      <w:pPr>
        <w:spacing w:after="0" w:line="1" w:lineRule="exact"/>
        <w:rPr>
          <w:rFonts w:ascii="Times New Roman" w:cs="Times New Roman" w:eastAsia="Times New Roman" w:hAnsi="Times New Roman"/>
          <w:sz w:val="28"/>
          <w:szCs w:val="28"/>
          <w:color w:val="auto"/>
          <w:vertAlign w:val="superscript"/>
        </w:rPr>
      </w:pPr>
    </w:p>
    <w:p>
      <w:pPr>
        <w:spacing w:after="0"/>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https://www.esgtoday.com/deloitte-partners-with-informatica-workiva-on-new-esg-data-and-reporting-ecosystem/</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409"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2. Outlook</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trajectory of ESG reporting software is clear, it is moving from a niche to a necessity. The future is likely to witness tighter software integrations across business functions, refined AI-driven analytics, and an ever-increasing emphasis on user experience. As SMEs continue to play a pivotal role in global economies, software solutions tailored to their needs, both functional and financial, will continue to take center stage in the ESG narrative.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Lines</w:t>
      </w:r>
    </w:p>
    <w:p>
      <w:pPr>
        <w:spacing w:after="0" w:line="212"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Diginex currently offers several products, diginexESG, diginexCLIMATE, diginexLUMEN, diginexADVISORY and diginexPARTNERS. Revenues from diginexPARTNERS has traditionally until the year ended March 31, 2025 been the largest revenue contributor for Diginex however, revenues from this business line have been decreasing as we made the decision to focus on recurring revenues from software subscriptions for diginexESG, diginexCLIMATE and diginexLUMEN which are recurring in nature. diginexESG has the largest user base of our products but the annual subscription price is lower than that of diginexLUMEN. DiginexLUMEN was the lowest contributor to revenue over the past three fiscal years. We have seen an increased demand for white label solutions and this sales type contributed the largest component of revenue in the year ended March 31, 2025. diginexADVISORY offers bespoke solutions for clients and revenues are typically based on the number of days to compete the assigned task. diginexADVISORY clients tend to also be either diginexESG or diginexLUMEN clients.</w:t>
      </w:r>
    </w:p>
    <w:p>
      <w:pPr>
        <w:spacing w:after="0" w:line="16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 has clients in over 20 countries. In the year ended 2025, US$0.9 million (44%) of annual revenue was generated in India from the sale of software license. The remainder of revenue was spread between United States of America (US$0.3 million, 17% of revenue), United Arab Emirates (US$0.2 million, 8% of revenue), Hong Kong (US$0.1 million, 5% of revenue) and Singapore (US$0.2 million, 11% of revenue). Revenues in the United States of America is driven by a project categorized under diginexPartners.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is no seasonality impact on the demand for any of Diginex’s products or services.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Revenue generated from each business line for the years ending March 31 (in millions):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5540" w:type="dxa"/>
            <w:vAlign w:val="bottom"/>
            <w:gridSpan w:val="3"/>
          </w:tcPr>
          <w:p>
            <w:pPr>
              <w:ind w:left="49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00" w:type="dxa"/>
            <w:vAlign w:val="bottom"/>
          </w:tcPr>
          <w:p>
            <w:pPr>
              <w:spacing w:after="0"/>
              <w:rPr>
                <w:sz w:val="19"/>
                <w:szCs w:val="19"/>
                <w:color w:val="auto"/>
              </w:rPr>
            </w:pPr>
          </w:p>
        </w:tc>
        <w:tc>
          <w:tcPr>
            <w:tcW w:w="1720" w:type="dxa"/>
            <w:vAlign w:val="bottom"/>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2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rPr>
              <w:t>USD</w:t>
            </w:r>
          </w:p>
        </w:tc>
        <w:tc>
          <w:tcPr>
            <w:tcW w:w="440" w:type="dxa"/>
            <w:vAlign w:val="bottom"/>
            <w:tcBorders>
              <w:top w:val="single" w:sz="8" w:color="auto"/>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b w:val="1"/>
                <w:bCs w:val="1"/>
                <w:color w:val="auto"/>
              </w:rPr>
              <w:t>USD</w:t>
            </w:r>
          </w:p>
        </w:tc>
        <w:tc>
          <w:tcPr>
            <w:tcW w:w="300" w:type="dxa"/>
            <w:vAlign w:val="bottom"/>
          </w:tcPr>
          <w:p>
            <w:pPr>
              <w:spacing w:after="0"/>
              <w:rPr>
                <w:sz w:val="16"/>
                <w:szCs w:val="16"/>
                <w:color w:val="auto"/>
              </w:rPr>
            </w:pPr>
          </w:p>
        </w:tc>
        <w:tc>
          <w:tcPr>
            <w:tcW w:w="17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b w:val="1"/>
                <w:bCs w:val="1"/>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DiginexESG/LUMEN</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1.3</w:t>
            </w:r>
          </w:p>
        </w:tc>
        <w:tc>
          <w:tcPr>
            <w:tcW w:w="2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0.4</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DiginexADVISORY</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0.3</w:t>
            </w:r>
          </w:p>
        </w:tc>
        <w:tc>
          <w:tcPr>
            <w:tcW w:w="2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0.2</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DiginexPARTNERS</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0.4</w:t>
            </w:r>
          </w:p>
        </w:tc>
        <w:tc>
          <w:tcPr>
            <w:tcW w:w="2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0.7</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3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w:t>
            </w:r>
          </w:p>
        </w:tc>
        <w:tc>
          <w:tcPr>
            <w:tcW w:w="300" w:type="dxa"/>
            <w:vAlign w:val="bottom"/>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diginexESG &amp; diginexClimate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maintains a core hypothesis that companies should spend more time improving their sustainability performance than reporting on it. That is one of the main reasons that we have created an intuitive, fast, and affordable ESG reporting tool that facilitates the entire process and supports companies regardless of their size, industry, or sustainability experience.</w:t>
      </w:r>
    </w:p>
    <w:p>
      <w:pPr>
        <w:spacing w:after="0" w:line="169"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diginexESG is an ESG reporting platform that facilitates the key processes involved in corporate ESG reporting journeys through a 5 -step journey. The platform leverages data driven intelligence also referred to as machine learning to automate the generation of a “materiality assessment”; the topics which each company should consider reporting on based on their profile. The creation of the “materiality assessment” involves algorithmic matching to a variety of data sources including the manual input of reporting requirements by the client’s own stakeholders. This process can be expensive and lengthy if conducted through traditional consultants. It is typical then to engage in a process of “stakeholder engagement” to collect feedback from different groups inside and outside the company on which topics are important to them. These groups could include employees, investors, board members and customers. diginexESG helps facilitate large scale outreach to and data collection from these groups of stakeholders. Within the platform there are up to 19 frameworks and reporting standards from which companies can choose to report against. The platform then breaks down the reporting process by “indicator” and allows for direct data entry or the assignment of indicators to different data contributors from both inside and outside the company (for example, indicators relating to workforce metrics may be assigned to the company’s HR team. This transparent digital workflow process drives efficiency and allows companies to move away from email and excel data collection. Once the data collection process is finalized, companies can seamlessly generate an output from within the platform by leveraging a report generation engine. The last step prior to report finalization and publishing is to seek approval from the appropriate people (i.e. CEO, Board, CFO, external auditor). The blockchain-enabled audit files helps with this sign-off process by allowing approvers to see full data provenance around each indicator. The report is then ready to be issued and shared through PDF, Word or Excel.</w:t>
      </w:r>
    </w:p>
    <w:p>
      <w:pPr>
        <w:spacing w:after="0" w:line="18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Diginex has secured government funding from the Hong Kong government to develop AI functionality within diginexESG. The funding is not material but the recognition of Diginex by the Hong Kong government as a leading tech provider is deemed material by Diginex. This development work is done in collaboration with a leading financial institution and leverages OpenAI’s platform. The initial focus is on helping companies comply with sustainability disclosure requirements set by the International Sustainability Standards Board (ISSB) and International Financial Reporting Standards (IFRS), which are increasingly being mandated for companies involved in global ESG reporting.</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diginexCLIMATE, a module of diginexESG, supports a company’s broader ESG efforts by allowing businesses to calculate, track and improve their carbon footprint. Companies can also use the platform to collect, benchmark and get a portfolio view on the carbon footprint of their clients, suppliers, or assets.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3" w:name="page64"/>
    <w:bookmarkEnd w:id="63"/>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Commercial efforts are driven by a combination of i) inbound leads generated by social media activity primarily on LinkedIn, ii) targeted outbound activity by leveraging lead generation tools focused on specific industries, countries and lead profiles (for example, Chief Financial Officers in mid-sized UK based Industrials companies), and iii) referrals through our channel partners such as HSBC. The referrals via channel partners commenced in 2022 following a successful six month program with HSBC in the Middle East. Since initial engagement with channel partners to the date of this Prospectus, Diginex has generated more than $250,000 from HSBC.</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July 2022, DSL and HSBC Global Services (UK) Limited entered into an agreement whereby HSBC would refer clients to diginexESG and in return Diginex would apply a 20% discount to the subscription price for clients referred by HSBC. This agreement covered HSBC clients in the United Kingdom and Hong Kong. In September 2024, this agreement was extended to December 31, 2027 on the same terms.</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November 2024, DSL and HSBC Technology &amp; Services (USA) Inc. entered into an agreement whereby HSBC would refer clients to diginexESG and in return Diginex would apply a 50% discount to the subscription price for clients referred by HSBC. Diginex will contract directly with those clients referred. This agreement covered HSBC clients in the USA. The agreement is effective from January 1, 2025 to December 31, 2027.</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 also has a channel relationship with Fitch Ratings, but to date it has not generated revenues. More recently Diginex has entered into strategic relationships with accounting firms such as Russell Bedford and Baker Tilly in Singapore, as detailed below. For sales via channel partners, we typically retain between 50%-70% of the revenue generated. We also actively attend events and conferences both as speakers and as conference exhibitors, which generates inbound interest. Our social media is mostly concentrated through our company LinkedIn channel with regular postings.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continue to grow our sales team, and we expect to increase the number of sales professionals in multiple locations around the world. Currently, the Sales team consists of two dedicated sales employees based in the United Kingdom who are supported by subject matter experts to assist in closing sales and building strategic relationships.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also rely on the active account management of existing customers by our customer success team through both cross-selling and upselling.</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Recent Distribution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Russell Bedford</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March 1, 2025, Diginex entered into a strategic relationship agreement (the “RB Agreement”) with Russell Bedford, a globally recognized network of independent accounting and consulting firms with nearly 400 offices and a global team of 1,000 partners and 10,000 professionals, Russell Bedford provides trusted advisory services worldwide. Pursuant to the RB Agreement, Russell Bedford shall use its trusted global presence to market and sell the diginexESG platform to support and enhance the service offerings of the firms serviced by Russell Bedford. By combining Diginex’s cutting-edge technology with Russell Bedford’s expertise in accounting, audit, tax and consulting, the collaboration is expected to empower businesses worldwide to streamline ESG reporting, enhance compliance, and unlock the commercial benefits of sustainability.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Aikya Business Solution Private Limited Agreement</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March 17, 2025, Diginex entered into a strategic relationship agreement (the “Aikya Agreement”) with Aikya Business Solution Private Limited (“Aikya”), a leading AI and big data technology company with around 2.5 million users. Pursuant to the Aikya Agreement, Aikya agrees to launch Diginex’s award-winning ESG reporting platform, diginexESG, in Malaysia with an upfront license fee tranche. This collaboration aims to empower Malaysian businesses to enhance ESG transparency, streamline compliance, and drive sustainable finance initiatives in alignment with Malaysia’s sustainability goals.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Baker Tilly Singapore Agreement</w:t>
      </w:r>
    </w:p>
    <w:p>
      <w:pPr>
        <w:spacing w:after="0" w:line="212"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On April 15, 2025, Diginex entered into a strategic relationship agreement (the “BT Agreement”) with Baker Tilly Singapore, a globally recognized advisory, tax and assurance firm. Baker Tilly Singapore agrees to market and sell diginexESG to support and enhance the service offerings provided by Baker Tilly Singapore.</w:t>
      </w:r>
    </w:p>
    <w:p>
      <w:pPr>
        <w:spacing w:after="0" w:line="1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Clients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diginexESG was initially created with a specific client demographic in mind; small to mid-sized enterprises who are new to ESG and climate reporting and with limited budgets or bandwidth to engage in a complex and new process. ESG reporting encompasses a broad range of economic, environmental, and social disclosures, traditionally with a focus on how a business impacts the world and key stakeholders. ESG reporting, influenced primarily by investor demands, is a subset of sustainability reporting that specifically focuses on how Environmental, Social and Governance aspects impact a company or investment. ESG reporting provides a standardized framework and metrics to assess a company’s non-financial performance and risk management, often with a more direct link to financial outcomes. The offering of a software solution to easy the ESG reporting process appealed to much larger organizations such as commercial banks (HSBC), ratings agencies (Fitch Ratings), and professional service companies (Russell Bedford and Baker Tilly) who increasingly needed to not only report on their own activities but also collect sustainability data from the many SMEs that they worked with, for sustainability linked loans, responsible underwriting, to better understand regulatory risk or to widen the scope of consultancy services offered in the case of professional services companies. The ability to scale diginexESG easily and affordability by disintermediating potentially expensive consultants from the process continues to be a compelling unique selling point as demonstrated by HSBC’s decision to partner with us in order to engage their SME customer base.</w:t>
      </w:r>
    </w:p>
    <w:p>
      <w:pPr>
        <w:spacing w:after="0" w:line="181"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Since diginexESG launched in 2020, we have continued to add features which have also appealed to large caps with more complex hierarchical structures and data reporting requirements. This has included private equity funds with multiple portfolio companies and the need to aggregate data reporting up to a limited partner, as well as conglomerates with separate business units across different industries. Prior to the launch of diginexESG the Company focused primarily on customization projects.</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As referred to above, we continue to add features to diginexESG and diginexLUMEN by utilizing the benefits of our hybrid working model for technology and design. Conceptual work and prototyping are broadly sourced internally through our team of product managers, analysts and technical leads. Our outsourced IT vendor in Vietnam then provides robust dedicated teams of software engineers and quality assurance analysts for actual implementation of production features with the oversight and governance of the internal Diginex teams. Currently, the majority of software engineers and quality assurance analysts are outsourced. Ultimately, the accountability for production launches of new features and products sits with the internal infrastructure and development operations management within Diginex.</w:t>
      </w:r>
    </w:p>
    <w:p>
      <w:pPr>
        <w:spacing w:after="0" w:line="16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Also included in diginexESG is access to diginexCLIMATE our proprietary carbon footprint calculator based on GHG protocols which is similarly targeted at companies who are new to ESG reporting.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0" w:gutter="0" w:footer="0" w:header="0"/>
        </w:sectPr>
      </w:pPr>
    </w:p>
    <w:bookmarkStart w:id="64" w:name="page65"/>
    <w:bookmarkEnd w:id="64"/>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Competition and Pricing</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diginexESG is deliberately priced to be accessible to companies of all sizes. Originally starting at US$99/user/month in December 2020, the product now starts from US$5,000 per annum and includes licenses for up to 3 users. This increase reflects the maturation and growing features that we now offer. The pricing of diginexESG will be periodically reviewed as we continue to add additional features. A diginexESG license is typically sold for a 12 month period.</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contrast, many ESG reporting platforms in the markets are characterized by relatively high-cost software designed more for large companies who have both the required budget and also in-house sustainability consultants with the expertise to be able to operate complex sustainability software products.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a further point of differentiation, we currently offer a self-guided 7-day free trial to diginexESG for prospective clients to try the diginexESG software prior to subscribing for access to the platform whilst most comparable offerings in the market require engagement with a sales representative first.</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addition to being an intuitive and accessible B2B SaaS platform, our underlying ISO and SOC 2-certified infrastructure and architecture means diginexESG can also pass rigorous and time consuming bank-grade technology security review processes, which adds a competitive advantage to our product.</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products themselves are not currently regulated but rather Diginex offers software solutions so that companies can track and report on the ever-growing sustainability disclosure requirements put in place by many global regulators i.e. stock exchanges. diginexESG offers 19 reporting frameworks across 77 industries that allow companies to generate reports that align to either mandatory or recommended public company listing requirements.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diginexLUMEN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diginexLUMEN helps companies to undertake human rights due diligence in complex supply chains at scale. Supplier information is validated against worker feedback and automated risk calculations enables companies to prioritize issues for mitigation and prevention of adverse impacts and improvement efforts.</w:t>
      </w:r>
    </w:p>
    <w:p>
      <w:pPr>
        <w:spacing w:after="0" w:line="159"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Traditionally, technologies used by global brands, consultancies, and international organizations to understand, identify, and manage business and human rights have mainly been standalone worker voice (e.g. grievance mechanism case handling), supply chain management or supplier management, or research surveys software. diginexLUMEN Pro is strongly positioned within the market in that it has the capability to bring together these standalone technologies, in order, to map tiers (supply chain management software) identified through a self-assessment questionnaire completed by suppliers (deployed as a survey), which is triangulated against data collected through an interactive, application-based worker voice technology. In addition, diginexLUMEN Pro is powerful in that it highlights human rights risks due to business practices: firstly, through assigning risk-based scoring to responses, and secondly, by triangulating business and worker responses to demonstrate inconsistencies. Suppliers complete a pre-created questionnaire set which typically incorporates scoring, weighting and conditional logic. Answers often require the upload of supporting documentation. diginexLUMEN customers can also create their own customized questionnaires. At the same time, workers are being asked similar questions via diginexAPPRISE which are designed to validate the answers given by the suppliers. Leveraging a proprietary scoring methodology, risk scores are then assigned to suppliers based on their answers as well as the discrepancies, if any, between their answers and the answers of the workers. Lastly, improvement plans are automatically generated which diginexLUMEN customers then deploy to suppliers and can observe the subsequent corrective action. A high level example may be; a supplier declares that they conduct mandatory safety training for all new hires, however data collected via diginexAPPRISE directly from workers indicates that new hires often do not receive any safety training during their onboarding. A high risk score is assigned to this specific indicator and an improvement plan is automatically generated for the supplier to follow and demonstrate corrective action.</w:t>
      </w:r>
    </w:p>
    <w:p>
      <w:pPr>
        <w:spacing w:after="0" w:line="18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diginexAPPRISE as a standalone worker voice technology product is distinct from other survey software as it has been developed to reach informal workers (often seasonal worker without formal employment contracts in place) in complex and opaque supply chains primarily through the use of QR codes which workers scan on their mobile phones. QR codes also help protect worker anonymity which we have observed to be important to encourage broad participation. The lack of anonymity can give rise to a fear of appraisals if workers give negative feedback. It differs from other worker voice technology as it is auditory and visually represented in workers own language, ensuring accessibility for illiterate workers to respond to questions about their employment practices. Similar competitors use telephone-based services for workers to report issues which could result in mobile charges, as diginexAPPRISE is web/application based and can be accessed either through QR codes or mobile messaging (e.g. WhatsApp) so that workers are not charged to access the survey.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5" w:name="page66"/>
    <w:bookmarkEnd w:id="65"/>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Officially launched in April 2022 and given the content-deep nature of diginexLUMEN the sales process typically requires a more targeted commercial approach to specific relevant professionals in a company; these can be procurement or risk professionals as well as sustainability experts. diginexLUMEN’s core modules focus on “Conditions at Work” or “Forced Labor” risk, workplace gender risk, and ESG risk This therefore requires specialized Diginex professionals who are able to engage with clients on deep content issues around these modules and the regulations that affect them. The sales cycle is also often longer than diginexESG, and can range from 2 months to 6 months.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Additionally, given the high levels of engagement with diginexLUMEN clients this can lead to on-going up-sale opportunities as clients request custom feature development and platform content creation.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Marketing tends to be through attendance and speaking at industry-relevant conferences.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Recent Distribution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Forvis Mazars LLP</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March 26, 2025, Diginex entered into a strategic relationship agreement (the “FM Agreement”) with Forvis Mazars LLP (“Forvis Mazars”), a leading global professional services firm. Pursuant to the FM Agreement, the parties aim to empower businesses to assess and manage supply chain risks related to climate and social issues, enhancing transparency and resilience in an increasingly complex global landscape. Mazars will aim to distribute diginexLUMEN to their client base.</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strategic relationship with Forvis Mazars combines Diginex’s cutting-edge technology with Forvis Mazars’ deep expertise in ESG advisory, climate risk management, and business strategy, offering clients a powerful tool to navigate the evolving demands of sustainability and regulatory compliance. diginexLUMEN, a scalable and affordable Software-as-a-Service (SaaS) solution, provides unparalleled insight into supply chain risks by leveraging robust governance processes, multilingual worker voice surveys, and algorithm-based risk scoring. This enables companies to identify, prioritize, and address issues such as forced labor, climate impacts, and other social vulnerabilities across their global operations.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Clients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diginexLUMEN was developed together with input from Coca Cola and Reckitt as a software tool to help identify and mitigate cases of forced and child labor in complex global interjurisdictional supply chains. It later expanded to also include gender risk. diginexLUMEN is therefore designed specifically for large multi-national companies with high supply chains and importantly large numbers of people working at those suppliers who no longer want to rely solely on the traditional in-person audits which have tended to be slow and expensive with relatively static data. These companies are also increasingly subject to regulations mandating greater supply chain disclosure with regards to forced labor / modern slavery due diligence.</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Initial clients have focused primarily on companies in FMCG (Fast Moving Consumer Goods) but the sectors have now widened to industries such as agricultural commodities as well as professional services firms working on behalf of their clients.</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Competition and Pricing</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diginexLUMEN as a software product is unique in having a specific focus on social governance issues (including but not limited to forced labor risk, modern slavery due diligence, child labor risk and gender risk), and leveraging worker voice data to simultaneously validate corporate disclosures.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pricing for a diginexLUMEN license starts at US$40,000 per annum. There are no limitations on the number or location of suppliers that a diginexLUMEN customer can onboard. In addition to the software license, there are often incremental fees for items such as additional question set design and translations into additional languages.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diginexADVISORY</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Sustainability is a complex topic, and it increasingly requires company-wide, multifaceted approaches. Diginex provide a range of services that, in combination with our premium software tools, help companies address their unique ESG challenges.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diginexADVISORY provides strategy and advisory support at every stage of the sustainability journey often alongside a software sale. Our advisory services typically include:</w:t>
      </w:r>
    </w:p>
    <w:p>
      <w:pPr>
        <w:spacing w:after="0" w:line="159" w:lineRule="exact"/>
        <w:rPr>
          <w:sz w:val="20"/>
          <w:szCs w:val="20"/>
          <w:color w:val="auto"/>
        </w:rPr>
      </w:pPr>
    </w:p>
    <w:p>
      <w:pPr>
        <w:ind w:left="600" w:hanging="297"/>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ESG (reporting) strategies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ESG materiality assessments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Conducing ESG data gap analyses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custom ESG reporting frameworks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tailored carbon footprints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Drafting and designing sustainability reports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workshops and training sessions on a range of ESG topics and processes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ESG rating support services to help businesses secure and improve ESG scores</w:t>
      </w:r>
    </w:p>
    <w:p>
      <w:pPr>
        <w:spacing w:after="0" w:line="187"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Sales and Marketing</w:t>
      </w:r>
    </w:p>
    <w:p>
      <w:pPr>
        <w:spacing w:after="0" w:line="211"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diginexADVISORY services are typically tied to an extension of a software license to either diginexESG or diginexLUMEN.</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To date, there has been relatively little marketing of diginexADVISORY as a standalone service and sales tend to be organic from existing clients or as part of the onboarding for a new diginexESG or diginexLUMEN client. Given market demand that we have observed we will be adopting more proactive measures to market diginexADVISORY to a broader base of clients.</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Clients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diginexADVISORY stretches across both diginexESG and diginexLUMEN clients and beyond and is offered to companies of all sizes and levels of expertise to help them with their sustainability reporting or supply chain disclosures.</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Competition and Pricing</w:t>
      </w:r>
    </w:p>
    <w:p>
      <w:pPr>
        <w:sectPr>
          <w:pgSz w:w="11900" w:h="16838" w:orient="portrait"/>
          <w:cols w:equalWidth="0" w:num="1">
            <w:col w:w="11240"/>
          </w:cols>
          <w:pgMar w:left="320" w:top="623" w:right="339" w:bottom="0" w:gutter="0" w:footer="0" w:header="0"/>
        </w:sectPr>
      </w:pPr>
    </w:p>
    <w:bookmarkStart w:id="66" w:name="page67"/>
    <w:bookmarkEnd w:id="66"/>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Whilst there are many players in this market ranging from large global consultancies (i.e. EY, PwC) to specialist and/or low-cost boutique advisory companies, our observation is that there is still a material market supply / demand in balance given a) the ever-increasing number of companies who are newly subjected to regulated or industry disclosure requirements (for example, CRSD) and b) the number of professionals with the required skill sets to meet this growing demand.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Advisory contracts are generally priced based on the number of days expected to complete the clearly defined scope of work after applying a profit margin.</w:t>
      </w:r>
    </w:p>
    <w:p>
      <w:pPr>
        <w:spacing w:after="0" w:line="2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Barriers to entry for potential competition to our advisory business are largely dependent on the availability of subject matter expert consultants.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color w:val="auto"/>
        </w:rPr>
        <w:t>diginexPARTNERS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diginexPARTNERS also known as Customization is a service whereby Diginex develops white label versions of both diginexESG and diginexLUMEN for companies who want to run the product as an extension of their own service offering. This service often requires customized technology development up front which generates one-off lump sum revenue as well as the ongoing service and maintenance of the licensed software which generates recurring revenue.</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has developed custom software platforms as part of project consortiums for organizations like the United States Department of State, United States Department of Labor, and the United Nations and most recently signed a white label contract with Mazars, the professional services firm.</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Diginex provides both off-the-shelf white label products with standard customizable features as well as completely bespoke tech builds. We will be focusing on expanding our white label client base, in addition to our original business to business (B2B) software clients, across both diginexESG and diginexLUMEN as the underlying technology infrastructure has already been built and is ready to deploy. White label subscription revenues are booked within diginexESG and diginexLUMEN with customization revenues booked to diginexPARTNERS.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taken the decision, however, to reduce focus on customization projects that do not come with recurring revenue via the software license.</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Given the nature of the product, White Label sales require targeted outreach to specific client types (i.e. professional services firms, ratings agencies, banks, accounting companies) who will leverage the product to engage with their own customer base.</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Clients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diginexPARTNERS includes the technology customization work that we typically do for some of our larger clients. This can include white labels of either our diginexESG or diginexLUMEN software platforms or entirely bespoke multi-year technology projects for large government agencies (such as the United States Department of Labor) or inter-governmental agencies (such as the United Nations).</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Competition and Pricing</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There are a large number of custom development solutions in the marketplace covering a full price range and sophistication level. Diginex is able to combine both significant technical expertise with deep subject matter experts, which sets us apart from the majority of the market. For this reason, Diginex has been chosen as a specialist technology partner for a number of government and inter-governmental sponsored projects looking at both modern slavery and child labor issues across Asia and the Middle East. Diginex’s research and development into technology-enabled solutions helps to create a competitive advantage to our offering. The pricing of customization is based on the scope of the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Geographical Expansion</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On March 17, 2025, Diginex Limited (“Diginex” or the “Company”) signed a binding memorandum of understanding with His Highness, Shaikh Mohammed Bin Sultan Bin Hamdan Al Nahyan of Abu Dhabi’s Royal family, via Nomas Global Investments-L.L.C-S.P.C. (“Nomas”), a limited liability company - sole proprietorship company, a solely owned SPV of His Highness, and incorporated under the laws of the Government of Abu Dhabi, with its registered office at Office No 301, 3rd Floor, Sea Tower, Corniche Street, Abu Dhabi, United Arab Emirates (“UAE”) (the “Nomas MOU”) and a binding memorandum of understanding with Al Noor Legal Consultants FZE (“Al Noor”), a Limited Liability Company incorporated under the laws of the Government of Sharjah, with its registered office at Business Centre, Sharjah Publishing City Free Zone, Sharjah, UAE (the “Al Noor MOU” and together with the Nomas MOU the “MOUs”) to pursue a broad strategic relationship to facilitate Diginex with its planned expansion in the UAE and the broader Gulf Cooperation Council region (“GCC”), which includes assisting the Company with a dual listing of the Company’s ordinary shares on the Abu Dhabi Securities Exchange (“ADX”) and a potential capital raise of up to USD$250 million focused on large institutional investors based in the GCC. Any securities offered in a private capital raise will not be under the Securities Act of 1933 and may not be offered or sold in the United States absent registration or an applicable exemption from registration requirements. Pursuant to the Nomas MOU, Diginex has agreed to Nomas fixed non-refundable fees in an aggregate amount of $800,000, with the initial deferred fund raising payment of $400,000 paid upon signing of the Nomas MOU and the balance of the Nomas MOU fees payable in equal installments upon the occurrence of three defined milestones. The Nomas MOU also provides that Diginex shall pay Nomas success fees upon Diginex achieving certain capital raise targets and the successful listing of Diginex’s securities on the ADX. Pursuant to the Al Noor MOU, Diginex has agreed to Al Noor fees in an aggregate amount of $650,000, with the initial payment of $250,000 paid upon signing of the Al Noor MOU, an additional amount of $150,000 paid in June 2025 and the balance of the Al Noor MOU fees in equal installments upon the occurrence of three defined milestones. The Al Noor MOU also provides that Diginex shall pay Al Noor success fees upon Diginex achieving certain capital raise targets and the successful listing of Diginex’s securities on the ADX.</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t>Consulting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Chardan</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July 8, 2024, DSL entered into an Updated Engagement Letter, which was revised on December 16, 2024 (the “Chardan EL”) with Chardan Capital Markets, LLC (“Chardan”) replacing its prior engagement letter with Chardan, dated January 24, 2024, pursuant to which Chardan was to act as DSL’s lead underwriter. Pursuant to the Chardan EL, Chardan will not be DSL’s underwriter but will be a financial advisor to DSL. The Company agreed to pay Chardan an advisory fee of $350,000 which is payable as of October 1, 2024, and in no event later than the earlier of (a) February 8, 2025, and (b) consummation of any material corporate transaction, including (i) any Alternative Transaction, as described in Chardan EL, and (ii) any Go-Public Transaction. Full payment was made upon closing of the IPO. The Chardan EL, also provides Chardan with a right of first refusal, for a period of eighteen (18) months from July 8, 2024, to act as co-lead underwriter, joint book-running manager, and/or placement agent for each and every future public and private equity and public debt offering, including all equity linked financings (each being referred to as a subject transaction), during such eighteen month (18) period with not less than 50% of the economics paid to the full underwriting or placement agent group for any two-handed subject transaction. In the event there are three or more underwriters or placement agents in a subject transaction, Chardan shall be entitled to receive as its compensation no less than thirty percent (30%) of the compensation payable to the full underwriting or placement agent group for that subject transaction.</w:t>
      </w:r>
    </w:p>
    <w:p>
      <w:pPr>
        <w:spacing w:after="0" w:line="181"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March 10, 2025 Chardan agreed to waive their Right of First Refusal for one time only in relation to certain financing to raise up to $250 million with Nomas Global Investments L.L.C. S.P.C and Al Noor Legal Consultants FZE as detailed in the MOU’s signed with both parties. In consideration of the waiver Diginex agrees to engage Chardan as a financial advisor and pay a fee equal to the greater of (a) $750,000 or (b) 1% of the gross proceeds from certain financing.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Dominari and Revere</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Company granted Dominari Securities LLC and Revere Securities LLC (the “Underwriters”) the underwriters in its IPO, a right of first refusal (the “Right of First Refusal”), for a period of twelve (12) months from the Closing Date, which was January 23, 2025, to (a) act as lead or joint-lead manager for any underwritten public offering (b) act as lead or joint book-runner and/or lead or joint placement agent, initial purchaser in connection with any private offering of securities of the Company; and (c) act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The Underwriters shall notify the Company of its intention to exercise the Right of First Refusal within fifteen (15) Business Days following notice in writing by the Company. If the Underwriters decline to exercise the Right of First Refusal, the Company shall have the right to retain any other person or persons to provide such services on terms and conditions which are not more favorable to such other person or persons than the terms declined by the Underwriters.</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March 7, 2025 the Underwriters agreed to waive their Right of First Refusal for one time only in relation to certain financing to raise up to $250 million with Nomas Global Investments L.L.C. S.P.C and Al Noor Legal Consultants FZE as detailed in the MOU’s signed with both parties. In consideration of the waiver Diginex agrees to pay the Underwriters an aggregate amount of $400,000 within 3 business days of the full gross proceeds of the certain financing.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color w:val="auto"/>
        </w:rPr>
        <w:t>Organizational Structure</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Diginex Limited was incorporated as an exempted company with limited liability under the laws of the Cayman Islands on January 26, 2024.</w:t>
      </w:r>
    </w:p>
    <w:p>
      <w:pPr>
        <w:spacing w:after="0" w:line="208"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Diginex Limited is a Cayman Islands exempted company, incorporated under the laws of the Cayman Islands on January 26, 2024.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w:t>
      </w:r>
    </w:p>
    <w:p>
      <w:pPr>
        <w:spacing w:after="0" w:line="3" w:lineRule="exact"/>
        <w:rPr>
          <w:sz w:val="20"/>
          <w:szCs w:val="20"/>
          <w:color w:val="auto"/>
        </w:rPr>
      </w:pPr>
    </w:p>
    <w:p>
      <w:pPr>
        <w:ind w:firstLine="1"/>
        <w:spacing w:after="0" w:line="255" w:lineRule="auto"/>
        <w:tabs>
          <w:tab w:leader="none" w:pos="23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74"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The warrants will be exercisable for ordinary shares of DSL for a period of three years from the date they are issued and shall be exercisable at a per warrant price of US$2,512. Post the completion of the Restructuring and Share Subdivision (as defined below), the number of warrants of Diginex Limited issued to Rhino Ventures Limited was adjusted to 4,170,520 from 10,172 with an adjusted price per warrant of US$6.13. The warrants, if fully exercised, will result in the issuance of such number of Ordinary Shares equal to 51% of the total issued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of DSL for zero consideration. This increased HBM IV, Inc.’s holding to 3,151 preferred shares of DSL.</w:t>
      </w:r>
    </w:p>
    <w:p>
      <w:pPr>
        <w:spacing w:after="0" w:line="183"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connection with the Exchange, Diginex Limited and security holders of DSL consummated the following transactions (the “Ancillary Transactions”): (i) Diginex Limited issued $4.35 million new convertible loan notes to certain Original Shareholders in consideration for the cancellation of the then existing convertible loan notes issued by DSL and held by such Original Shareholders; (ii) Diginex Limited granted certain share options under the new share option plan that was adopted by Diginex Limited to the holders of the unexercised share options granted by DSL (the “Original Share Options”), in consideration for the cancellation of the Original Share Options held by such holders. At time of the Exchange there were 629,760 vested but unexercised share options and unvested share options exercisable for such number of Ordinary Shares equal to 1.3% of the issued and outstanding shares of the Company at the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automatically converted into Ordinary Shares of Diginex Limited on December 20, 2024 and whilst there is no automatic vesting of any unvested share options upon completion of the IPO the board of directors, at their discretion, do have the ability to accelerate vesting at any point. The board of directors approved and authorized the acceleration of the vesting of the unvested share options to January 23, 2026. The fair value of all unvested ESOP as of the date of this Prospectus is $2.2 million of which $1.0 million has been recognized in the financial statements at March 31, 2024.</w:t>
      </w:r>
    </w:p>
    <w:p>
      <w:pPr>
        <w:spacing w:after="0" w:line="17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Accordingly, upon consummation of the Exchange and the Ancillary Transactions (collectively the “Restructuring”), DSL became a wholly owned subsidiary of Diginex Limited, and the prior shareholders of DSL became shareholders of Diginex Limited. The remaining DSL security holders became security holders of Diginex Limited, in that they held Diginex Limited convertible loan notes, share options and warrants. Following, the closing of the Restructuring there are 6,869,961 Ordinary Shares of Diginex Limited issued and outstanding, 1,291,910 preferred shares of Diginex Limited issued and outstanding, 4,170,520 warrants issued and outstanding, $4.35 million new convertible loan notes issued and outstanding and 629,760 vested but unexercised share options and unvested share options exercisable for such number of Ordinary Shares equal to 1.3% of the issued and outstanding shares of the Company at the time of vesting.</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Following the Restructuring, on July 26, 2024, the Company completed a share subdivision (the “Share Subdivision”) such that, the authorized share capital of the Company was revised to be US$50,000 divided into 960,000,000 Ordinary Shares of US$0.00005 par value each and 40,000,000 preferred shares (the “Preferred Shares”), par value US$0.00005 per share. Prior to the Share Subdivision there were 6,869,961 ordinary shares and 1,291,910 preferred shares issued and outstanding, and after the Share Subdivision there are 13,739,922 Ordinary Shares and 2,583,820 Preferred Shares issued and outstanding.</w:t>
      </w:r>
    </w:p>
    <w:p>
      <w:pPr>
        <w:spacing w:after="0" w:line="175"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During the Restructuring, a $1 million loan due from DSL to a related company, Diginex Holdings Limited, a company controlled by Rhino Ventures Limited, was converted into a $1 million convertible loan note of which Rhino Ventures Limited holds $517,535 of the principal amount of the convertible loan note and Working Capital Innovation Fund II L.P. holds $482,465 of the principal amount of the convertible loan note. The loan between DSL and Diginex Holdings Limited charged interest at 8% per annum and had a maturity date of December 31, 2024. The terms of the new convertible loan notes also charge interest at 8% per annum and had a maturity date of December 31, 2024. This $1 million convertible loan note forms part of the $4.35 million loan notes issued by Diginex Limited post the Restructuring.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0" w:name="page71"/>
    <w:bookmarkEnd w:id="70"/>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August 6, 2024 certain Employee Share Option Plan (“ESOP”) holders exercised their options and converted their options into Ordinary Shares. 501,840 employee share options were converted into 1,003,680 Ordinary Shares whilst 315,700 employee share options lapsed without being exercised. In addition, 368,826 employee share options were issued on July 31, 2024 and on August 21, 2024 employee share options were issued equating to 0.5% of the issued and outstanding shares of the Company at the time of vesting. The remaining employee share options as of the date of this Prospectus are 17,345 vested but not exercised, 368,826 unvested employee share options and unvested employee share options exercisable for such number of Ordinary Shares equal to 1.7% of the issued and outstanding shares of the Company at the time of vesting. Prior to the exercise of 501,840 options on August 6, 2024 there were 13,739,922 Ordinary Shares and 2,583,820 Preferred Shares issued and outstanding, and after such exercise of 501,840 options there are 14,743,602 Ordinary Shares and 2,583,820 Preferred Shares issued and outstanding.</w:t>
      </w:r>
    </w:p>
    <w:p>
      <w:pPr>
        <w:spacing w:after="0" w:line="180"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Since 17th November 2023, Rhino Ventures Limited (“RVL”) issued convertible notes (the “Rhino Notes”) to various investors (each a “Rhino Investor” and collectively the “Rhino Investors”). In exchange for a loan from a Rhino Investor, RVL issued the Rhino Investor a Rhino Note. The Rhino Notes are convertible into DSL ordinary shares, or successor securities, that were owned by RVL at a conversion price of between USD2.78 to USD2.99. The Rhino Notes were convertible into RVL’s shares of DSL ordinary shares, or successor securities, (1) at the option of the Rhino Investor or (2) automatically upon F-1 either being effective or having received 2 or below comments. On August 7, 2024, six of the Rhino Investors elected to convert their Rhino Notes and RVL transferred an aggregate amount of 2,992,180 Ordinary Shares of Diginex Limited, the successor securities to the DSL ordinary shares, to the six Rhino Investors as follows: (i) Samantha Dolan received 327,180 Ordinary Shares, (ii) Christopher Lord received 418,200 Ordinary Shares, (iii) Dorota Menard received 400,980 Ordinary Shares, (iv) Gildo Plate received 294,380 Ordinary Shares and (v) Natalia Pelham received 1,049,600 Ordinary Shares and (vi) Benjamin Salter received 501,840 Ordinary Shares. On November 25, 2024, nine additional Rhino Investors elected to convert their Rhino Notes and RVL transferred an aggregate amount of 2,710,707 Ordinary Shares of Diginex Limited, the successor securities to DSL ordinary shares, to the nine Rhino Investors as follows: (i) New Advent Sdn.Bhd received 100,860 Ordinary Shares, (ii) Ayle Ventures Limited received 167,280 Ordinary Shares, (iii) Duvin Limited received 935,407 Ordinary Shares, (iv) Carl Stephen George received 455,100 Ordinary Shares, (v) Ching Kuen Franklin Heng received 83,640 Ordinary Shares, (vi) Harley Street Medical Doctors Limited received 421,480 Ordinary shares, (vii) Chung-Mei Hsu received 67,240 Ordinary Shares, (viii) LVS Capital Partners Limited received 202,540 Ordinary Shares and (ix) David Nicholson received 277,160 Ordinary Shares. As of the date of this Prospectus, RVL has no outstanding Rhino Notes, but RVL. Other than Natalia Pelham, who is our Chairman’s wife, the Rhino Investors are not related to Mr. Pelham nor are they affiliates to the Company.</w:t>
      </w:r>
    </w:p>
    <w:p>
      <w:pPr>
        <w:spacing w:after="0" w:line="18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Pursuant to a written convertible loan agreement, dated September 30, 2024 (the “RVL Loan”) RVL agreed to loan DSL, Diginex Limited’s wholly owned subsidiary, up to $3 million. Diginex Limited and RVL agreed that RVL would convert the $3 million RVL Loan into Ordinary Shares upon the pricing of the IPO at the IPO offering price and Diginex Limited granted RVL certain registration rights with respect to such converted shares. The RVL Loan is attached to Diginex Limited’s registration statement of which this Prospectus forms a part as Exhibit 10.9. On January 6, 2025, DSL and RVL entered into a written agreement to modify and amend the RVL Loan to increase the amount RVL can loan DSL by $500,000 and on January 6, 2025, Diginex Limited and RVL entered into a written loan capitalization agreement whereby RVL agreed to convert a balance of the up to $3.5 million RVL loan to DSL into Ordinary Shares upon the pricing of the IPO at the IPO offering price and Diginex Limited granted RVL certain registration rights with respect to such converted shares (the “Modified RVL Loan”). The Modified RVL Loan is attached to Diginex Limited’s registration statement of which this Prospectus forms a part as Exhibit 10.11. Pursuant to the Modified RVL Loan, RVL may loan DSL up to $3.5 million and RVL shall convert up to $3.5 million under the Modified RVL Loan into Ordinary Shares upon the pricing of the IPO at the IPO offering price. Based on the IPO offering price of $4.10 per share, on January 21, 2025, RVL converted $3.0 million of the Modified RVL Loan into 731,707 Ordinary Shares. In exchange for RVL’s conversion of a minimum of $3.0 million of the Modified RVL Loan into Ordinary Shares, Diginex Limited has agreed to provide RVL registration rights with respect to the Ordinary Shares that RVL receives upon conversion of the Modified RVL Loan. The conversion of the Modified RVL Loan is in addition to the conversion of the RVL convertible loan note with a principal balance of $517,535.</w:t>
      </w:r>
    </w:p>
    <w:p>
      <w:pPr>
        <w:spacing w:after="0" w:line="18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December 20, 2024, the Company registration statement on Form F-1 was declared effective by the SEC. This resulted in the conversion of all outstanding convertible loan notes into 2,347,134 Ordinary Shares and the outstanding Preferred Shares being converted into 2,583,820 Ordinary Shares on a one to one basis.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completed our initial public offering on January 23, 2025. This resulted in the issuance of 2,250,000 Ordinary Shares for gross proceeds of $9,225,000.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underwriters in our initial public offering exercised the Over-Allotment option, which closed on January 27, 2025.This resulted in the issuance of 337,500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for gross proceeds of $1,383,750.</w:t>
      </w:r>
    </w:p>
    <w:p>
      <w:pPr>
        <w:spacing w:after="0" w:line="19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January 23, 2025, the Company issued Rhino Ventures Limited the warrants identified below (“IPO Warrants”) in recognition of the continuous financial support Rhino Ventures Limited has provided to the Company over previous years that has been critical to sustaining operations and achieving the IPO. There were no goods or services exchanged with Rhino Ventures Limited for the issuance of the IPO warrants. No new direct consideration was received at the time of issuance, as the warrants were granted to acknowledge the historical value provided by Rhino Ventures Limited.</w:t>
      </w:r>
    </w:p>
    <w:p>
      <w:pPr>
        <w:spacing w:after="0" w:line="175" w:lineRule="exact"/>
        <w:rPr>
          <w:sz w:val="20"/>
          <w:szCs w:val="20"/>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600" w:right="520" w:hanging="297"/>
        <w:spacing w:after="0" w:line="515" w:lineRule="auto"/>
        <w:tabs>
          <w:tab w:leader="none" w:pos="6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 On May 6, 2025, Rhino Ventures Limited conveyed, transferred and assigned the following IPO Warrants to Nomas Global Investments-L.L.C-S.P.C.:</w:t>
      </w:r>
    </w:p>
    <w:p>
      <w:pPr>
        <w:spacing w:after="0" w:line="1"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4 - Warrants to purchase 2,250,000 Ordinary Shares at an exercise price of $8.20 per share, which expire 15 months from January 23, 2025</w:t>
      </w:r>
    </w:p>
    <w:p>
      <w:pPr>
        <w:spacing w:after="0" w:line="33"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5 - Warrants to purchase 2,250,000 Ordinary Shares at an exercise price of $10.25 per share, which expire 18 months from January 23, 2025</w:t>
      </w:r>
    </w:p>
    <w:p>
      <w:pPr>
        <w:spacing w:after="0" w:line="17" w:lineRule="exact"/>
        <w:rPr>
          <w:rFonts w:ascii="Times New Roman" w:cs="Times New Roman" w:eastAsia="Times New Roman" w:hAnsi="Times New Roman"/>
          <w:sz w:val="16"/>
          <w:szCs w:val="16"/>
          <w:color w:val="auto"/>
        </w:rPr>
      </w:pPr>
    </w:p>
    <w:p>
      <w:pPr>
        <w:ind w:left="1220" w:hanging="614"/>
        <w:spacing w:after="0"/>
        <w:tabs>
          <w:tab w:leader="none" w:pos="12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w:t>
      </w:r>
    </w:p>
    <w:p>
      <w:pPr>
        <w:spacing w:after="0" w:line="203"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 Following the acquisition of these Ordinary Shares and at the time of this Prospectus, Rhino Ventures Limited owns 9,890,247 Ordinary Shares, not including the derivative securities of Diginex owned by Rhino Ventures Limited.</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August 22, 2025, the Nomas WPA was rescinded by mutual agreement of Rhino Ventures Limited and Nomas Global Investments-L.L.C-S.P.C and the Nomas Warrants were to Rhino Ventures Limited and the previously issued promissory note from Nomas Global Investments L.L.C-S.P.C to Rhino Ventures Limited in the amount of $50,000,000 as the initial consideration under the Nomas WPA has been cancelled. Accordingly, Rhino Ventures Limited is the owner of 100% of the outstanding IPO Warrants.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August 18, 2025 Diginex announced an eight (8) for one (1) forward stock split to be paid in the form of a bonus share issuance. Each shareholder of the Company of record at the close of business on September 5, 2025 will receive 7 bonus ordinary shares for every one ordinary share held on the record date. The Company expects the bonus shares will be distributed on September 8, 2025.</w:t>
      </w:r>
    </w:p>
    <w:p>
      <w:pPr>
        <w:sectPr>
          <w:pgSz w:w="11900" w:h="16838" w:orient="portrait"/>
          <w:cols w:equalWidth="0" w:num="1">
            <w:col w:w="11240"/>
          </w:cols>
          <w:pgMar w:left="320" w:top="627" w:right="339" w:bottom="0" w:gutter="0" w:footer="0" w:header="0"/>
        </w:sectPr>
      </w:pPr>
    </w:p>
    <w:bookmarkStart w:id="71" w:name="page72"/>
    <w:bookmarkEnd w:id="71"/>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Following the consummation of Restructuring, DSL became a wholly owned subsidiary of Diginex Limited, and the former shareholders and securityholders of DSL became shareholders and securityholders of Diginex Limited. Following the Restructuring, Diginex Limited has subsidiaries located in Hong Kong, United Kingdom and United States of America. Diginex Limited is the sole owner of DSL, and through DSL the sole owner of (i) Diginex Services Limited, a corporation formed in the United Kingdom and (ii) Diginex USA LLC, a limited liability company formed in the State of Delaware.</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Prior to the incorporation of Diginex Limited in January 2024, the parent company was Diginex Solutions (HK) Limited, a company incorporated in Hong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Kong.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Significant Subsidiaries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Below is a list of Diginex Limited’s significant subsidiaries as of September 1,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8"/>
              </w:rPr>
              <w:t>Country of Incorporation</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 of Equity Interest</w:t>
            </w:r>
          </w:p>
        </w:tc>
      </w:tr>
      <w:tr>
        <w:trPr>
          <w:trHeight w:val="20"/>
        </w:trPr>
        <w:tc>
          <w:tcPr>
            <w:tcW w:w="3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r>
      <w:tr>
        <w:trPr>
          <w:trHeight w:val="380"/>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Diginex Solutions (HK) limited</w:t>
            </w: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Hong Kong</w:t>
            </w:r>
          </w:p>
        </w:tc>
        <w:tc>
          <w:tcPr>
            <w:tcW w:w="5700" w:type="dxa"/>
            <w:vAlign w:val="bottom"/>
            <w:gridSpan w:val="3"/>
          </w:tcPr>
          <w:p>
            <w:pPr>
              <w:ind w:left="2120"/>
              <w:spacing w:after="0"/>
              <w:rPr>
                <w:sz w:val="20"/>
                <w:szCs w:val="20"/>
                <w:color w:val="auto"/>
              </w:rPr>
            </w:pPr>
            <w:r>
              <w:rPr>
                <w:rFonts w:ascii="Times New Roman" w:cs="Times New Roman" w:eastAsia="Times New Roman" w:hAnsi="Times New Roman"/>
                <w:sz w:val="17"/>
                <w:szCs w:val="17"/>
                <w:color w:val="auto"/>
              </w:rPr>
              <w:t>100%</w:t>
            </w:r>
          </w:p>
        </w:tc>
      </w:tr>
      <w:tr>
        <w:trPr>
          <w:trHeight w:val="202"/>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Diginex Services Limited</w:t>
            </w: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United Kingdom</w:t>
            </w:r>
          </w:p>
        </w:tc>
        <w:tc>
          <w:tcPr>
            <w:tcW w:w="5700" w:type="dxa"/>
            <w:vAlign w:val="bottom"/>
            <w:gridSpan w:val="3"/>
          </w:tcPr>
          <w:p>
            <w:pPr>
              <w:ind w:left="2120"/>
              <w:spacing w:after="0"/>
              <w:rPr>
                <w:sz w:val="20"/>
                <w:szCs w:val="20"/>
                <w:color w:val="auto"/>
              </w:rPr>
            </w:pPr>
            <w:r>
              <w:rPr>
                <w:rFonts w:ascii="Times New Roman" w:cs="Times New Roman" w:eastAsia="Times New Roman" w:hAnsi="Times New Roman"/>
                <w:sz w:val="17"/>
                <w:szCs w:val="17"/>
                <w:color w:val="auto"/>
              </w:rPr>
              <w:t>100%</w:t>
            </w: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Diginex USA LLC</w:t>
            </w: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7"/>
              </w:rPr>
              <w:t>United States of America</w:t>
            </w:r>
          </w:p>
        </w:tc>
        <w:tc>
          <w:tcPr>
            <w:tcW w:w="5700" w:type="dxa"/>
            <w:vAlign w:val="bottom"/>
            <w:gridSpan w:val="3"/>
          </w:tcPr>
          <w:p>
            <w:pPr>
              <w:ind w:left="2120"/>
              <w:spacing w:after="0"/>
              <w:rPr>
                <w:sz w:val="20"/>
                <w:szCs w:val="20"/>
                <w:color w:val="auto"/>
              </w:rPr>
            </w:pPr>
            <w:r>
              <w:rPr>
                <w:rFonts w:ascii="Times New Roman" w:cs="Times New Roman" w:eastAsia="Times New Roman" w:hAnsi="Times New Roman"/>
                <w:sz w:val="17"/>
                <w:szCs w:val="17"/>
                <w:color w:val="auto"/>
              </w:rPr>
              <w:t>100%</w:t>
            </w:r>
          </w:p>
        </w:tc>
      </w:tr>
      <w:tr>
        <w:trPr>
          <w:trHeight w:val="404"/>
        </w:trPr>
        <w:tc>
          <w:tcPr>
            <w:tcW w:w="3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ind w:right="1656"/>
              <w:spacing w:after="0"/>
              <w:rPr>
                <w:sz w:val="20"/>
                <w:szCs w:val="20"/>
                <w:color w:val="auto"/>
              </w:rPr>
            </w:pPr>
            <w:r>
              <w:rPr>
                <w:rFonts w:ascii="Times New Roman" w:cs="Times New Roman" w:eastAsia="Times New Roman" w:hAnsi="Times New Roman"/>
                <w:sz w:val="17"/>
                <w:szCs w:val="17"/>
                <w:color w:val="auto"/>
                <w:w w:val="82"/>
              </w:rPr>
              <w:t>62</w:t>
            </w: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72" w:name="page73"/>
    <w:bookmarkEnd w:id="72"/>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Property, Plants, and Equipment</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03"/>
        </w:trPr>
        <w:tc>
          <w:tcPr>
            <w:tcW w:w="5800" w:type="dxa"/>
            <w:vAlign w:val="bottom"/>
            <w:gridSpan w:val="4"/>
          </w:tcPr>
          <w:p>
            <w:pPr>
              <w:ind w:left="600"/>
              <w:spacing w:after="0"/>
              <w:rPr>
                <w:sz w:val="20"/>
                <w:szCs w:val="20"/>
                <w:color w:val="auto"/>
              </w:rPr>
            </w:pPr>
            <w:r>
              <w:rPr>
                <w:rFonts w:ascii="Times New Roman" w:cs="Times New Roman" w:eastAsia="Times New Roman" w:hAnsi="Times New Roman"/>
                <w:sz w:val="17"/>
                <w:szCs w:val="17"/>
                <w:color w:val="auto"/>
              </w:rPr>
              <w:t>The following is a list of Diginex Limited’s principal facilities:</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3"/>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Square Footage</w:t>
            </w:r>
          </w:p>
        </w:tc>
        <w:tc>
          <w:tcPr>
            <w:tcW w:w="180" w:type="dxa"/>
            <w:vAlign w:val="bottom"/>
          </w:tcPr>
          <w:p>
            <w:pPr>
              <w:spacing w:after="0"/>
              <w:rPr>
                <w:sz w:val="24"/>
                <w:szCs w:val="24"/>
                <w:color w:val="auto"/>
              </w:rPr>
            </w:pPr>
          </w:p>
        </w:tc>
        <w:tc>
          <w:tcPr>
            <w:tcW w:w="3720" w:type="dxa"/>
            <w:vAlign w:val="bottom"/>
            <w:gridSpan w:val="2"/>
          </w:tcPr>
          <w:p>
            <w:pPr>
              <w:ind w:left="1400"/>
              <w:spacing w:after="0"/>
              <w:rPr>
                <w:sz w:val="20"/>
                <w:szCs w:val="20"/>
                <w:color w:val="auto"/>
              </w:rPr>
            </w:pPr>
            <w:r>
              <w:rPr>
                <w:rFonts w:ascii="Times New Roman" w:cs="Times New Roman" w:eastAsia="Times New Roman" w:hAnsi="Times New Roman"/>
                <w:sz w:val="17"/>
                <w:szCs w:val="17"/>
                <w:b w:val="1"/>
                <w:bCs w:val="1"/>
                <w:color w:val="auto"/>
              </w:rPr>
              <w:t>Main Use</w:t>
            </w:r>
          </w:p>
        </w:tc>
        <w:tc>
          <w:tcPr>
            <w:tcW w:w="154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Own/Lease</w:t>
            </w:r>
          </w:p>
        </w:tc>
      </w:tr>
      <w:tr>
        <w:trPr>
          <w:trHeight w:val="178"/>
        </w:trPr>
        <w:tc>
          <w:tcPr>
            <w:tcW w:w="384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25 Wilton Road, Victoria, London, Greater London,</w:t>
            </w:r>
          </w:p>
        </w:tc>
        <w:tc>
          <w:tcPr>
            <w:tcW w:w="2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ind w:left="16"/>
              <w:spacing w:after="0" w:line="178" w:lineRule="exact"/>
              <w:rPr>
                <w:sz w:val="20"/>
                <w:szCs w:val="20"/>
                <w:color w:val="auto"/>
              </w:rPr>
            </w:pPr>
            <w:r>
              <w:rPr>
                <w:rFonts w:ascii="Times New Roman" w:cs="Times New Roman" w:eastAsia="Times New Roman" w:hAnsi="Times New Roman"/>
                <w:sz w:val="17"/>
                <w:szCs w:val="17"/>
                <w:color w:val="auto"/>
                <w:w w:val="98"/>
              </w:rPr>
              <w:t>Lease. Co-working</w:t>
            </w:r>
          </w:p>
        </w:tc>
      </w:tr>
      <w:tr>
        <w:trPr>
          <w:trHeight w:val="218"/>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SW1V 1LW, United Kingdom</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Principal executive officers</w:t>
            </w:r>
          </w:p>
        </w:tc>
        <w:tc>
          <w:tcPr>
            <w:tcW w:w="15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7"/>
              </w:rPr>
              <w:t>shared space facility</w:t>
            </w:r>
          </w:p>
        </w:tc>
      </w:tr>
      <w:tr>
        <w:trPr>
          <w:trHeight w:val="185"/>
        </w:trPr>
        <w:tc>
          <w:tcPr>
            <w:tcW w:w="406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Room 1311, 13F Leighton Centre, 77 Leighton Road,</w:t>
            </w: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center"/>
              <w:ind w:left="16"/>
              <w:spacing w:after="0" w:line="185" w:lineRule="exact"/>
              <w:rPr>
                <w:sz w:val="20"/>
                <w:szCs w:val="20"/>
                <w:color w:val="auto"/>
              </w:rPr>
            </w:pPr>
            <w:r>
              <w:rPr>
                <w:rFonts w:ascii="Times New Roman" w:cs="Times New Roman" w:eastAsia="Times New Roman" w:hAnsi="Times New Roman"/>
                <w:sz w:val="17"/>
                <w:szCs w:val="17"/>
                <w:color w:val="auto"/>
                <w:w w:val="98"/>
              </w:rPr>
              <w:t>Lease. Co-working</w:t>
            </w:r>
          </w:p>
        </w:tc>
      </w:tr>
      <w:tr>
        <w:trPr>
          <w:trHeight w:val="218"/>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Causeway Bay, Hong Kong</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39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Offices for employees of DSL</w:t>
            </w:r>
          </w:p>
        </w:tc>
        <w:tc>
          <w:tcPr>
            <w:tcW w:w="154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7"/>
              </w:rPr>
              <w:t>shared space facility</w:t>
            </w:r>
          </w:p>
        </w:tc>
      </w:tr>
      <w:tr>
        <w:trPr>
          <w:trHeight w:val="202"/>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Avenue des Papalins a Monaco portant le numero D2/D3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160" w:type="dxa"/>
            <w:vAlign w:val="bottom"/>
            <w:shd w:val="clear" w:color="auto" w:fill="CCEEFF"/>
          </w:tcPr>
          <w:p>
            <w:pPr>
              <w:spacing w:after="0"/>
              <w:rPr>
                <w:sz w:val="17"/>
                <w:szCs w:val="17"/>
                <w:color w:val="auto"/>
              </w:rPr>
            </w:pPr>
          </w:p>
        </w:tc>
        <w:tc>
          <w:tcPr>
            <w:tcW w:w="39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Executive office</w:t>
            </w:r>
          </w:p>
        </w:tc>
        <w:tc>
          <w:tcPr>
            <w:tcW w:w="154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rPr>
              <w:t>Lease</w:t>
            </w:r>
          </w:p>
        </w:tc>
      </w:tr>
    </w:tbl>
    <w:p>
      <w:pPr>
        <w:spacing w:after="0" w:line="185" w:lineRule="exact"/>
        <w:rPr>
          <w:sz w:val="20"/>
          <w:szCs w:val="20"/>
          <w:color w:val="auto"/>
        </w:rPr>
      </w:pPr>
    </w:p>
    <w:p>
      <w:pPr>
        <w:jc w:val="both"/>
        <w:ind w:firstLine="1"/>
        <w:spacing w:after="0" w:line="254" w:lineRule="auto"/>
        <w:tabs>
          <w:tab w:leader="none" w:pos="13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London Office lease was entered into on April 1, 2025. The space is measured by number of seats rather than square footage. The London office is in a co-working shared space facility with 5 seats and the London based employees operate under a hybrid model as they work both from the office and from home with the majority of working hours spent working from the office.</w:t>
      </w:r>
    </w:p>
    <w:p>
      <w:pPr>
        <w:jc w:val="both"/>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Hong Kong office space is measured by number of seats rather than square footage. The Hong Kong office is in a co-working shared space facility with 17 seats. The lease at Leighton Centre was entered into on June 1, 2025 with the previous lease at Smart-Space Fintech 2, Room 3, Unit 401-404, Core C, Cyberport, Telegraph Bay, Hong Kong, being terminated on May 31, 2025. The Hong Kong team operating under a hybrid model as they will work from both home and the office with the majority of time spent working from the office.</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While the office facilities are adequate for the time being, there will be a need to secure additional office space as the business grows.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of September 1, 2025, Diginex has a current headcount of 36, among which 25 are employees in Hong Kong and United Kingdom and 11 are contractors based in France, Germany, Spain, Canada, Dubai, USA, Mexico , Singapore and Australia.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Headquarters Relocation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Effective April 1, 2025 we relocated our global headquarters and principal executive office to 25 Wilton Road, Victoria, London, Greater London, SW1V 1LW, United Kingdom (the “Office”) from Smart-Space Fintech 2, Room 3, Unit 401-404 Core C, Cyberport, Telegraph Bay, Hong Kong. We occupy the Office pursuant to a written lease dated February 26, 2025 with London, Spaces Victoria which is for a term of eighteen (18) months at a rental of £ 3,781.88 per month (the “Lease”). A copy of the Lease is attached hereto as Exhibit 10.12.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New Hong Kong Office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Effective June 1, 2025, we relocated office space in Hong Kong from Smart-Space Fintech 2, Room 3, Unit 401-404 Core C, Cyberport, Telegraph Bay, Hong Kong to Room 1311, 13/F Leighton Centre, 77 Leighton Road, Causeway Bay, Hong Kong. The Causeway Bay Office lease is for 12 months at a rental of HKD52,000 per month with the first month out of twelve being rent free. A copy of the lease agreement is attached hereto as Exhibit 10.25.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Signing of Memorandums of Understanding</w:t>
      </w:r>
    </w:p>
    <w:p>
      <w:pPr>
        <w:spacing w:after="0" w:line="212"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On March 17, 2025, Diginex Limited (“Diginex” or the “Company”) signed a binding memorandum of understanding with His Highness, Shaikh Mohammed Bin Sultan Bin Hamdan Al Nahyan of Abu Dhabi’s Royal family, via Nomas Global Investments-L.L.C-S.P.C. (“Nomas”), a limited liability company - sole proprietorship company, a solely owned SPV of His Highness, and incorporated under the laws of the Government of Abu Dhabi, with its registered office at Office</w:t>
      </w:r>
    </w:p>
    <w:p>
      <w:pPr>
        <w:jc w:val="both"/>
        <w:spacing w:after="0" w:line="232" w:lineRule="auto"/>
        <w:rPr>
          <w:sz w:val="20"/>
          <w:szCs w:val="20"/>
          <w:color w:val="auto"/>
        </w:rPr>
      </w:pPr>
      <w:r>
        <w:rPr>
          <w:rFonts w:ascii="Times New Roman" w:cs="Times New Roman" w:eastAsia="Times New Roman" w:hAnsi="Times New Roman"/>
          <w:sz w:val="17"/>
          <w:szCs w:val="17"/>
          <w:color w:val="auto"/>
        </w:rPr>
        <w:t>No 301,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Floor, Sea Tower, Corniche Street, Abu Dhabi, United Arab Emirates (“UAE”) (the “Nomas MOU”) and a binding memorandum of understanding with Al Noor Legal Consultants FZE (“Al Noor”), a Limited Liability Company incorporated under the laws of the Government of Sharjah, with its registered office at Business Centre, Sharjah Publishing City Free Zone, Sharjah, UAE (the “Al Noor MOU” and together with the Nomas MOU the “MOUs”) to pursue a broad strategic relationship to facilitate Diginex with its planned expansion in the UAE and the broader Gulf Cooperation Council region (“GCC”), which includes assisting the Company with a dual listing of the Company’s ordinary shares on the Abu Dhabi Securities Exchange (“ADX”) and a potential capital raise of up to USD$250 million focused on large institutional investors based in the GCC. Any securities offered in a private capital raise will not be under the Securities Act of 1933 and may not be offered or sold in the United States absent registration or an applicable exemption from registration requirements.</w:t>
      </w:r>
    </w:p>
    <w:p>
      <w:pPr>
        <w:spacing w:after="0" w:line="19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Pursuant to the Nomas MOU, Diginex has agreed to Nomas fixed non-refundable fees in an aggregate amount of $800,000, with the initial payment of $400,000 paid upon signing of the Nomas MOU and the balance of the Nomas MOU fees payable in equal installments upon the occurrence of three defined milestones. The Nomas MOU also provides that Diginex shall pay Nomas success fees upon Diginex achieving certain capital raise targets and the successful listing of Diginex’s securities on the ADX. Pursuant to the Al Noor MOU, Diginex has agreed to Al Noor fees in an aggregate amount of $650,000, with the initial payment of $250,000 paid upon signing of the Al Noor MOU, an additional amount of $150,000 payable on April 15, 2025 and the balance of the Al Noor MOU fees in equal installments upon the occurrence of three defined milestones. The Al Noor MOU also provides that Diginex shall pay Al Noor success fees upon Diginex achieving certain capital raise targets and the successful listing Diginex’s securities on the ADX. A copy of the Nomas MOU is attached hereto as Exhibit 10.13 and the Al Noor MOU is attached hereto as Exhibit 10.14.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Distribution Agreements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Russell Bedford</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March 1, 2025, Diginex entered into a strategic relationship agreement (the “RB Agreement”) with Russell Bedford, a globally recognized network of independent accounting and consulting firms with nearly 400 offices and a global team of 1,000 partners and 10,000 professionals, Russell Bedford provides trusted advisory services worldwide. Pursuant to the RB Agreement, Russell Bedford shall use its trusted global presence to market and sell the diginexESG platform to support and enhance the service offerings of the firms serviced by Russell Bedford. By combining Diginex’s cutting-edge technology with Russell Bedford’s expertise in accounting, audit, tax and consulting, the collaboration is expected to empower businesses worldwide to streamline ESG reporting, enhance compliance, and unlock the commercial benefits of sustainability. A copy of the RB Agreement is attached hereto as Exhibit 10.15.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Forvis Mazars LLP</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March 26, 2025, Diginex entered into a strategic relationship agreement (the “FM Agreement”) with Forvis Mazars LLP (“Forvis Mazars”), a leading global professional services firm. Pursuant to the FM Agreement, the parties aim to empower businesses to assess and manage supply chain risks related to climate and social issues, enhancing transparency and resilience in an increasingly complex global landscape.</w:t>
      </w:r>
    </w:p>
    <w:p>
      <w:pPr>
        <w:sectPr>
          <w:pgSz w:w="11900" w:h="16847" w:orient="portrait"/>
          <w:cols w:equalWidth="0" w:num="1">
            <w:col w:w="11240"/>
          </w:cols>
          <w:pgMar w:left="320" w:top="623" w:right="339" w:bottom="0" w:gutter="0" w:footer="0" w:header="0"/>
        </w:sectPr>
      </w:pPr>
    </w:p>
    <w:bookmarkStart w:id="73" w:name="page74"/>
    <w:bookmarkEnd w:id="73"/>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Our strategic relationship with Forvis Mazars combines Diginex’s cutting-edge technology with Forvis Mazars’ deep expertise in ESG advisory, climate risk management, and business strategy, offering clients a powerful tool to navigate the evolving demands of sustainability and regulatory compliance. diginexLUMEN, a scalable and affordable Software-as-a-Service (SaaS) solution, provides unparalleled insight into supply chain risks by leveraging robust governance processes, multilingual worker voice surveys, and algorithm-based risk scoring. This enables companies to identify, prioritize, and address issues such as forced labor, climate impacts, and other social vulnerabilities across their global operations. A copy of the FM Agreement is attached hereto as Exhibit 10.16.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Aikya Business Solution Private Limited Agreement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March 17, 2025, Diginex entered into a strategic relationship agreement (the “Aikya Agreement”) with Aikya Business Solution Private Limited (“Aikya”), a leading AI and big data technology company with around 2.5 million users. Pursuant to the Aikya Agreement, Aikya agrees to launch Diginex’s award-winning ESG reporting platform, diginexESG, in Malaysia with an upfront license fee tranche. This collaboration aims to empower Malaysian businesses to enhance ESG transparency, streamline compliance, and drive sustainable finance initiatives in alignment with Malaysia’s sustainability goals. A copy of the Licensed Software Agreement and the Maintenance and Services Agreement between the Company and Aikya are attached hereto as Exhibit 10.17.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Baker Tilly Singapore Agreement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April 15, 2025, Diginex entered into a strategic relationship agreement (the “BT Agreement”) with Baker Tilly Singapore, a globally recognized advisory, tax and assurance firm. Baker Tilly Singapore agrees to market and sell diginexESG to support and enhance the service offerings provided by Baker Tilly Singapore. A copy of the BT Agreement is attached hereto as Exhibit 10.18.</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color w:val="auto"/>
        </w:rPr>
        <w:t>Matter DK ApS Transaction</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May 23, 2025, Diginex signed a memorandum of understanding (the “Matter MOU”) to acquire Matter DK ApS (“Matter”) in an all share acquisition. Matter is an innovative ESG data company focused on delivering sustainability data and analytics solutions to the investment industry and helping financial institutions understand and communicate the sustainability of investments. Matter is based in Copenhagen, Denmark, and their largest shareholder is NASDAQ, followed by the founding management team who will remain with the business following the closing of the acquisition pursuant to multi-year employment agreements. The Matter MOU values the equity of Matter at $13 million which will be paid through the issuance of Diginex ordinary shares valued at the 60-trading day trailing VWAP (volume weighted average price) as of May 23, 2025, and such shares issued to Matter will subject to an 18-month lock-up period. A copy of the Matter MOU is attached hereto as Exhibit 10.20. Diginex aims to enhance its portfolio by integrating Matter’s advanced ESG data analytics, benchmarking and reporting capabilities. We expect the acquisition will enable Diginex to offer more comprehensive ESG solutions to organizations worldwide, helping them navigate the complexities of sustainability and meet evolving regulatory and stakeholder expectations for ESG reporting.</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Also on May 23, 2025, Diginex entered into a loan agreement with Matter (the “Matter Loan Agreement”), pursuant to which Diginex agreed to loan Matter EUR 250,000, as follows: (1) EUR 150,000 within 3 business days of the signing of the Matter MOU, (2) EUR 50,000 within 30 days following the signing of the Matter MOU, and (3) EUR 50,000 within 60 days following the signing of the Matter MOU. The loan principal shall accrue interest at a rate of 5% per annum. Matter shall repay all amounts outstanding under the Matter Loan Agreement together with all accrued interest only if the Diginex fails to acquire 100% of the share capital of Matter under permitted reasons set forth in the Matter MOU. Repayment will be due 60 days after notification from Diginex that they will not proceed with the acquisition of Matter. A copy of the Matter Loan Agreement is attached hereto as Exhibit 10.21.</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and Matter signed a Share Purchase Agreement (“Matter SPA”) dated August 14, 2025 to confirm Diginex’s acquisition of Matter under the terms included in the Matter MOU, subject to closing conditions. A copy of the Matter SPA is attached hereto as Exhibit 10.27.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Resulticks Global Companies Pte. Limited Transaction</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June 5, 2025, Diginex signed a memorandum of understanding (the “Resulticks MOU”) for an acquisition of Resulticks Global Companies Pte. Limited (“Resulticks) for shares and cash. Resulticks is a globally recognized leader in real-time, AI-driven customer engagement and data management solutions. Diginex believes the acquisition of Resulticks will significantly enhance Diginex’s capabilities in advanced data management and artificial intelligence, further solidifying its position as a pioneer in data-driven client solutions.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Resulticks MOU values Resulticks at $2 billion which will be paid by Diginex in three tranches: (1) $1.4 billion in Diginex ordinary shares valued at $72 per share and subject to a 12-18 month lock-up, which ordinary shares will be issued at closing of the transaction; (2) $100 million in cash that is payable by Diginex within 90 business days of the closing of the transaction; and (3) an earnout of up to $500 million payable in Diginex ordinary shares valued at $72 per share and paid in 3 independent tranches subject to Resulticks attaining at least 75% of the below audited EBITDA threshold figures: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rPr>
              <w:t>Earnout Amount</w:t>
            </w:r>
          </w:p>
        </w:tc>
        <w:tc>
          <w:tcPr>
            <w:tcW w:w="260" w:type="dxa"/>
            <w:vAlign w:val="bottom"/>
          </w:tcPr>
          <w:p>
            <w:pPr>
              <w:spacing w:after="0"/>
              <w:rPr>
                <w:sz w:val="18"/>
                <w:szCs w:val="18"/>
                <w:color w:val="auto"/>
              </w:rPr>
            </w:pPr>
          </w:p>
        </w:tc>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Accounting Period</w:t>
            </w:r>
          </w:p>
        </w:tc>
        <w:tc>
          <w:tcPr>
            <w:tcW w:w="200" w:type="dxa"/>
            <w:vAlign w:val="bottom"/>
          </w:tcPr>
          <w:p>
            <w:pPr>
              <w:spacing w:after="0"/>
              <w:rPr>
                <w:sz w:val="18"/>
                <w:szCs w:val="18"/>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EBITDA Threshold*</w:t>
            </w:r>
          </w:p>
        </w:tc>
      </w:tr>
      <w:tr>
        <w:trPr>
          <w:trHeight w:val="195"/>
        </w:trPr>
        <w:tc>
          <w:tcPr>
            <w:tcW w:w="300" w:type="dxa"/>
            <w:vAlign w:val="bottom"/>
          </w:tcPr>
          <w:p>
            <w:pPr>
              <w:spacing w:after="0"/>
              <w:rPr>
                <w:sz w:val="16"/>
                <w:szCs w:val="16"/>
                <w:color w:val="auto"/>
              </w:rPr>
            </w:pPr>
          </w:p>
        </w:tc>
        <w:tc>
          <w:tcPr>
            <w:tcW w:w="2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166,666,666</w:t>
            </w:r>
          </w:p>
        </w:tc>
        <w:tc>
          <w:tcPr>
            <w:tcW w:w="26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Year 2026</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300" w:type="dxa"/>
            <w:vAlign w:val="bottom"/>
          </w:tcPr>
          <w:p>
            <w:pPr>
              <w:spacing w:after="0"/>
              <w:rPr>
                <w:sz w:val="17"/>
                <w:szCs w:val="17"/>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166,666,667</w:t>
            </w:r>
          </w:p>
        </w:tc>
        <w:tc>
          <w:tcPr>
            <w:tcW w:w="240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Fiscal Year 2027</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200,000,000</w:t>
            </w:r>
          </w:p>
        </w:tc>
        <w:tc>
          <w:tcPr>
            <w:tcW w:w="100" w:type="dxa"/>
            <w:vAlign w:val="bottom"/>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166,666,667</w:t>
            </w:r>
          </w:p>
        </w:tc>
        <w:tc>
          <w:tcPr>
            <w:tcW w:w="24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Fiscal Year 2028</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325,000,000</w:t>
            </w:r>
          </w:p>
        </w:tc>
        <w:tc>
          <w:tcPr>
            <w:tcW w:w="100" w:type="dxa"/>
            <w:vAlign w:val="bottom"/>
            <w:shd w:val="clear" w:color="auto" w:fill="CCEEFF"/>
          </w:tcPr>
          <w:p>
            <w:pPr>
              <w:spacing w:after="0"/>
              <w:rPr>
                <w:sz w:val="17"/>
                <w:szCs w:val="17"/>
                <w:color w:val="auto"/>
              </w:rPr>
            </w:pPr>
          </w:p>
        </w:tc>
      </w:tr>
      <w:tr>
        <w:trPr>
          <w:trHeight w:val="202"/>
        </w:trPr>
        <w:tc>
          <w:tcPr>
            <w:tcW w:w="3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Resulticks shall receive a pro rated portion of the Earnout Amount provided Resulticks achieves between 75% and 100% of the EBITDA Threshold.</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Resulticks, headquartered in Singapore with operations across the United States, India, Singapore, and the Middle East, is renowned for its omnichannel client engagement automation platform. The platform leverages AI and big data analytics to deliver personalized customer experiences, enabling businesses to orchestrate seamless engagement across digital and physical touchpoints. We believe that by integrating Resulticks’ cutting-edge technology, Diginex will enhance its ability to provide comprehensive data-driven sustainability solutions, thereby empowering organizations to meet evolving regulatory requirements and stakeholder expectations with greater precision and efficiency. A copy of the Resulticks MOU is attached hereto as Exhibit 10.22.</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July 2, 2025, Diginex entered into an engagement letter for FTI Consulting LLP to undertake due diligence on Resulticks Group Companies Pte Limited in connection with our planned acquisition of Resulticks. It is estimated that the due diligence fee will be approximately $0.9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Resulticks Agreement</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June 23, 2025, Diginex entered into agreement with Resulticks (“Resulticks Agreement”). Under the terms of this agreement, the Group has agreed to provide Resulticks with funding of up to $11,000,000, to be disbursed in tranches as mutually agreed between the parties. As at the date of the Prospectus, $8,000,000 has been advanced to Resulticks and will be offset against the proposed $200 million post-acquisition funding, if the acquisition proceeds.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the event that (a) the parties mutually determine not to proceed with the acquisition, or (b) the parties fail to enter into a definitive agreement by July 28, 2025 (or such later date as may be mutually agreed) (each a “Deal Failure”), any amounts disbursed under the funding arrangement will become repayable within 45 calendar days of a Deal Failure and will accrue interest at a rate of 10% per annum, effective from the date of initial disbursement until repayment. Furthermore, the agreement provides that if Resulticks raises capital or draws down from a debt facility prior to the acquisition or a Deal Failure, the proceeds from such funding must be applied to repay any amounts disbursed by Diginex under the funding arrangement. A copy of the Resulticks Agreement is attached hereto as Exhibit 10.24.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IDRRA Cyber Security Limited Transaction</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August 12, 2025, the Company signed a memorandum of understanding (“the Findings MOU”) to acquire 100% of the shares of IDRRA Cyber Security Ltd (“Findings”) for shares and cash. Findings provides innovative category leading supply chain risk monitoring and vendor risk automation solutions in the cybersecurity and sustainability regulatory domains.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Findings MOU values Findings at US$305 million which will be paid by $270 million in the Company’s ordinary shares and up to US$35 million in cash. The Company’s ordinary shares will be valued based on the 60-business day trailing VWAP of the Company’s ordinary shares as of the Findings MOU signing date, with ordinary shares subject to customary lock-up periods ranging from 9 to 18 months for Findings’ shareholders. The cash consideration will be split as $15 million paid upon closing and $20 million paid subject to Findings achieving certain EBITDA or ARR thresholds. A copy of the Findings MOU is attached hereto as Exhibit 10.26.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8" w:right="339" w:bottom="283"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and Senior Management of Diginex Limited</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September 1, 2025, the directors and officers of Diginex Limited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gridSpan w:val="2"/>
          </w:tcPr>
          <w:p>
            <w:pPr>
              <w:ind w:left="1600"/>
              <w:spacing w:after="0"/>
              <w:rPr>
                <w:sz w:val="20"/>
                <w:szCs w:val="20"/>
                <w:color w:val="auto"/>
              </w:rPr>
            </w:pPr>
            <w:r>
              <w:rPr>
                <w:rFonts w:ascii="Times New Roman" w:cs="Times New Roman" w:eastAsia="Times New Roman" w:hAnsi="Times New Roman"/>
                <w:sz w:val="17"/>
                <w:szCs w:val="17"/>
                <w:b w:val="1"/>
                <w:bCs w:val="1"/>
                <w:color w:val="auto"/>
              </w:rPr>
              <w:t>Name</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220" w:type="dxa"/>
            <w:vAlign w:val="bottom"/>
          </w:tcPr>
          <w:p>
            <w:pPr>
              <w:spacing w:after="0"/>
              <w:rPr>
                <w:sz w:val="19"/>
                <w:szCs w:val="19"/>
                <w:color w:val="auto"/>
              </w:rPr>
            </w:pPr>
          </w:p>
        </w:tc>
        <w:tc>
          <w:tcPr>
            <w:tcW w:w="3580" w:type="dxa"/>
            <w:vAlign w:val="bottom"/>
          </w:tcPr>
          <w:p>
            <w:pPr>
              <w:ind w:left="150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95"/>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Miles Pelham</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47</w:t>
            </w:r>
          </w:p>
        </w:tc>
        <w:tc>
          <w:tcPr>
            <w:tcW w:w="220" w:type="dxa"/>
            <w:vAlign w:val="bottom"/>
            <w:tcBorders>
              <w:top w:val="single" w:sz="8" w:color="CCEEFF"/>
            </w:tcBorders>
            <w:shd w:val="clear" w:color="auto" w:fill="CCEEFF"/>
          </w:tcPr>
          <w:p>
            <w:pPr>
              <w:spacing w:after="0"/>
              <w:rPr>
                <w:sz w:val="16"/>
                <w:szCs w:val="16"/>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 and Director</w:t>
            </w:r>
          </w:p>
        </w:tc>
      </w:tr>
      <w:tr>
        <w:trPr>
          <w:trHeight w:val="202"/>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Blick</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48</w:t>
            </w: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02"/>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Tomicah Tillemann-Dick</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46</w:t>
            </w: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 – Executive Director</w:t>
            </w:r>
          </w:p>
        </w:tc>
      </w:tr>
      <w:tr>
        <w:trPr>
          <w:trHeight w:val="202"/>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Carnel Geddes</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47</w:t>
            </w: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Non – Executive Director</w:t>
            </w:r>
          </w:p>
        </w:tc>
      </w:tr>
      <w:tr>
        <w:trPr>
          <w:trHeight w:val="202"/>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Katerina Klezlova</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38</w:t>
            </w: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 – Executive Director</w:t>
            </w:r>
          </w:p>
        </w:tc>
      </w:tr>
      <w:tr>
        <w:trPr>
          <w:trHeight w:val="202"/>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Paul Ewing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2"/>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Christian Thierfelder</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46</w:t>
            </w: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Chief Operating Officer</w:t>
            </w:r>
          </w:p>
        </w:tc>
      </w:tr>
      <w:tr>
        <w:trPr>
          <w:trHeight w:val="202"/>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Graham Bridges</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202"/>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Jessica Camus-Demarche</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3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Chief Corporate Affairs Officer</w:t>
            </w:r>
          </w:p>
        </w:tc>
      </w:tr>
      <w:tr>
        <w:trPr>
          <w:trHeight w:val="218"/>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Harling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48</w:t>
            </w:r>
          </w:p>
        </w:tc>
        <w:tc>
          <w:tcPr>
            <w:tcW w:w="38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Chief Commercial Officer</w:t>
            </w:r>
          </w:p>
        </w:tc>
      </w:tr>
    </w:tbl>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Miles Pelham </w:t>
      </w:r>
      <w:r>
        <w:rPr>
          <w:rFonts w:ascii="Times New Roman" w:cs="Times New Roman" w:eastAsia="Times New Roman" w:hAnsi="Times New Roman"/>
          <w:sz w:val="17"/>
          <w:szCs w:val="17"/>
          <w:color w:val="auto"/>
        </w:rPr>
        <w:t>is the founding Chairman of Diginex Limited and DSL and is the Chairman and a director of Diginex Limited. Prior to founding Diginex Limited Miles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was a 21-year finance veteran, during which time he managed substantial investments and businesses for leading global banks. Since leaving investment banking Miles founded Eqonex Ltd, a financial services company dedicated to digital asset infrastructure, and became the chairman of a sustainable forestry, reforestation and carbon offset company, Woodbois Limited. Woodbois Limited is a client of DSL. Mr. Pelham also sat on the board of an educational company, Kidsloop Limited. Mr. Pelham is also the sole shareholder of Rhino Ventures Limited, which is an investment holding company and a shareholder of Diginex Limited. Rhino Ventures Limited holds other investments but none that are deemed to have a conflict of interest or completing business with Diginex Limited. Mr. Pelham was also the sole shareholder of Pelham Limited, which was an investment holding company. Pelham Limited was wound up on 9 June 2023.</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Mark Blick </w:t>
      </w:r>
      <w:r>
        <w:rPr>
          <w:rFonts w:ascii="Times New Roman" w:cs="Times New Roman" w:eastAsia="Times New Roman" w:hAnsi="Times New Roman"/>
          <w:sz w:val="17"/>
          <w:szCs w:val="17"/>
          <w:color w:val="auto"/>
        </w:rPr>
        <w:t>has served as CEO and an executive director of DSL since June 2020 and is the CEO and a director of Diginex Limited. From October 2018 to May 2020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Blick served as Head of Distribution &amp; Engagement (Solutions) of Diginex Limited (Diginex HK) Previously, Mr. Blick was Managing Director, Head of Client Services APAC for Gerson Lehrman Group (“GLG”), an online digital platform for insights. Over his tenure at GLG, he helped build, scale and lead the Asia franchise. Prior to GLG, Mark launched a joint-venture start up with a leading industrial technology company (Crystal Engineering based in California, USA), and spent 7 years in Beijing working in the oil &amp; gas industry.</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Carnel Geddes </w:t>
      </w:r>
      <w:r>
        <w:rPr>
          <w:rFonts w:ascii="Times New Roman" w:cs="Times New Roman" w:eastAsia="Times New Roman" w:hAnsi="Times New Roman"/>
          <w:sz w:val="17"/>
          <w:szCs w:val="17"/>
          <w:color w:val="auto"/>
        </w:rPr>
        <w:t>was appointed as a non-executive director of Diginex Limited on December 20, 2024. From June 2017 to August 2024, Carnel was the CFO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Woodbois Ltd, a UK AIM listed entity in the forestry sector. She is based in South Africa and is a Chartered Accountant having dually qualified in the UK and South Africa and is a Certified Fraud Examiner. During a 15-year career at BDO, the global audit, tax and advisory group (2000 – 2015), she served as Director in forensic services of BDO London specializing in the financial services sector and was a Partner of BDO Cape Town. She has been a Board Member of POMASA (South Africa’s Pomegranate Growers Association) (2015 to 2025) which she also Chaired (elected) for several years (2019 – 2022).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6" w:name="page77"/>
    <w:bookmarkEnd w:id="76"/>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Katerina Klezlova </w:t>
      </w:r>
      <w:r>
        <w:rPr>
          <w:rFonts w:ascii="Times New Roman" w:cs="Times New Roman" w:eastAsia="Times New Roman" w:hAnsi="Times New Roman"/>
          <w:sz w:val="17"/>
          <w:szCs w:val="17"/>
          <w:color w:val="auto"/>
        </w:rPr>
        <w:t>was appointed as a non-executive director on December 20, 2024. Ms. Klezlova is a serial entrepreneur, venture builder and business development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expert focused on building scalable, efficient and investment-ready tech companies, globally. After multiple years in business development and consulting focused on the corporate sector, she founded Fortuny Consulting in May 2017, developing own business models for scalable growth focusing on the SME sector. In September 2019 she co-founded a financial technology venture DealStation, a software aimed at digitizing the fundraising process for private companies. Currently Ms. Klezlova is active in the fields of innovation, sustainability and impact – supporting numerous ventures with their expansion strategies and investment-readiness. Additionally, since June 2021 she sits on the board of Capacity, a Zurich-based accelerator for refugee and migrant entrepreneurship and integration, while also serving as a judge, mentor, advisor, expert and judge for various investment funds, angel clubs and accelerators across Europe such as the Kickstart Innovation, Masschallenge, WeBloom, Business Angels Connect or R3I. Ms. Klezlova holds an MBA degree from the IE University in Madrid, Spain and a Corporate Finance certificate from the CISI in London, UK.</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Tomicah Tillemann-Dick </w:t>
      </w:r>
      <w:r>
        <w:rPr>
          <w:rFonts w:ascii="Times New Roman" w:cs="Times New Roman" w:eastAsia="Times New Roman" w:hAnsi="Times New Roman"/>
          <w:sz w:val="17"/>
          <w:szCs w:val="17"/>
          <w:color w:val="auto"/>
        </w:rPr>
        <w:t>is a non-executive director of DSL and was appointed as a non-executive director of Diginex Limited on December 20, 2024. He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Global Head of Policy and a Partner at Andreessen Horowitz and is the current President of Project Liberty, a far-reaching effort to develop socially responsible architecture for the next generation of the internet. Previously, he served in government as a senior advisor to two US Secretaries of State and as former executive director of the Digital Impact and Governance Initiative at New America, where he worked in collaboration with the Rockefeller Foundation, the World Bank, MIT and governments around the world to develop open source digital infrastructure platforms to power the public sector. He also oversaw the work of the Blockchain Trust Accelerator, which works with organizations to deploy decentralized technology solutions that address governance and social impact challenges worldwide and the Responsible Asset Allocator Initiative, which ranked sovereign wealth and pension funds of $20+ trillion based on strategies for managing ESG risks.</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Paul Ewing </w:t>
      </w:r>
      <w:r>
        <w:rPr>
          <w:rFonts w:ascii="Times New Roman" w:cs="Times New Roman" w:eastAsia="Times New Roman" w:hAnsi="Times New Roman"/>
          <w:sz w:val="17"/>
          <w:szCs w:val="17"/>
          <w:color w:val="auto"/>
        </w:rPr>
        <w:t>has served as the Chief Financial Officer of DSL since May 2023 and as the Chief Financial Officer of Diginex Limited. Mr. Ewing has spent more than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decade working in Asia and was the regional Chief Financial Officer at ICAP Electronic Broking (“ICAP”) from November 2006 to November 2010, as well as Chief Operating Officer for ICAP’s electronic broking division from November 2010 to December 2013. From December 2013 to August 2017, Mr. Ewing was Chief Financial Officer of APAC Broking for ICAP plc. From September 2017 to July 2018, Mr. Ewing served as the Chief Financial Officer for RKR Capital, a proprietary trading business with a focus on financial markets and Digital Assets. Mr. Ewing also served as Chief Financial Officer of Nasdaq listed, Eqonex Limited from August 2018 to May 2022. From May 2022 to November 2022 Mr. Ewing served as Chief Operating Officer of Eqonex Limited. Mr. Ewing holds a degree from Manchester University and is a member of the Institute of Chartered Accountants of England and Wales.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Christian Thierfelder </w:t>
      </w:r>
      <w:r>
        <w:rPr>
          <w:rFonts w:ascii="Times New Roman" w:cs="Times New Roman" w:eastAsia="Times New Roman" w:hAnsi="Times New Roman"/>
          <w:sz w:val="17"/>
          <w:szCs w:val="17"/>
          <w:color w:val="auto"/>
        </w:rPr>
        <w:t>has served as the Chief Operating Officer of DSL since June 2020 and the Chief Operating Officer of Diginex Limited following the close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IPO. From October 2018 to May 2020 Mr. Thierfelder served as Chief Research Officer of Diginex Limited (Diginex HK). Before that he worked as a Director at the Convertible Bonds Desk at Mizuho Securities Hong Kong from December 2014 to September 2018 and as a Senior Consultant at d-fine from January 2011 to December 2014. From February 2008 to December 2010 Mr. Thierfelder was a junior research group leader at University of Paderborn. Mr. Thierfelder holds a MSc in Mathematical Finance from Oxford University and MSc in Physics from Friedrich Schiller University of Jena and a PhD in Theoretical Physics from Massey University Auckland.</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Graham Bridges </w:t>
      </w:r>
      <w:r>
        <w:rPr>
          <w:rFonts w:ascii="Times New Roman" w:cs="Times New Roman" w:eastAsia="Times New Roman" w:hAnsi="Times New Roman"/>
          <w:sz w:val="17"/>
          <w:szCs w:val="17"/>
          <w:color w:val="auto"/>
        </w:rPr>
        <w:t>has served as the Chief Technology Officer of DSL since June 2020 and is responsible for the Technology/Research and Development functions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business and the Chief Technology Officer of Diginex Limited following the close of the IPO. Prior to this, he held the position of Senior Director &amp; Head of Corporate Solutions at Diginex Limited (DiginexHK) from May 2018. Mr. Bridges has spent 8 years working in Asia in technology leadership roles, and prior to DiginexHK, was Managing Director at Startech Limited (formerly the dedicated and sole technology partner of MoneyHero Ltd – NASDAQ:MNY) from June 2016 until May 2018. Prior to this Mr. Bridges held a number of technology research and development positions with Experian PLC (LON:EXPN) between 2006 and 2015, based out of London, UK. Mr. Bridges holds a degree in Business and Information Communications Technology from Nottingham Trent University.</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Jessica Camus- Demarche </w:t>
      </w:r>
      <w:r>
        <w:rPr>
          <w:rFonts w:ascii="Times New Roman" w:cs="Times New Roman" w:eastAsia="Times New Roman" w:hAnsi="Times New Roman"/>
          <w:sz w:val="17"/>
          <w:szCs w:val="17"/>
          <w:color w:val="auto"/>
        </w:rPr>
        <w:t>has served as Chief Corporate Affairs and Sustainability Officer of DSL since June 2020 and the Chief Corporate Affairs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Sustainability Officer for Diginex Limited following the close of the IPO. Mrs. Camus has spent over a decade working in the sustainability ecosystem, leading advisory services and public-private partnerships. Previously, she managed her own consultancy firm Ignis Consulting from 2016-2018, advising the World Bank, German Development Cooperation (GIZ), WBCSD, and small and mid-cap enterprises in emerging markets on sustainability strategy and scaling impact. Jessica served as an Associate Director at the World Economic Forum in NYC and Geneva from 2008 – 2015. She was a Global Leadership Fellow of the World Economic Forum from 2012-15 and served as a Financial Market Executive from 2004 - 2005 at Thomson Reuters. She also acted as a Non-Executive Director of an LSE AIM-listed company, Obtala Limited from 2016 – 2018. Jessica holds an Executive Master’s in Leadership from Wharton, Columbia, LBS and INSEAD, an Executive Master in Business Administration from IE Business School in Madrid and an Master’s Degree in Development from the Graduate Institute of International Relations in Geneva.</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Andrew Harling </w:t>
      </w:r>
      <w:r>
        <w:rPr>
          <w:rFonts w:ascii="Times New Roman" w:cs="Times New Roman" w:eastAsia="Times New Roman" w:hAnsi="Times New Roman"/>
          <w:sz w:val="17"/>
          <w:szCs w:val="17"/>
          <w:color w:val="auto"/>
        </w:rPr>
        <w:t>joined Diginex in May 2025 as Chief Commercial Officer and brings over 20 years of experience and commercial leadership within the credit,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technology, and the sustainability sectors. Most recently, he served as Global Head of Sustainability Sales at S&amp;P, December 2023 to March 2025. Prior to that, Mr. Harling served at Fitch Group as Global Head of Sustainability Sales, then ascended to Chief Revenue Officer at Sustainable Fitch, September 2021 to November 2023. From January 2007 to April 2019 Mr. Harling held multiple roles at Moody’s concluding as Global Head of Product Management. Mr. Harling commenced his career at RBC working in Global Custody and Investment Management from 2000 to 2006. Mr. Harling holds an Honours Degree from the University of Leicester in Geology (BSc) and holds professional qualifications and memberships from Chartered Institute of Securities and Investments, and Investment Management Certificate from CFA.UK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 and Director Compensation</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For the year ended March 31, 2025, Diginex Limited paid its executive officers (as per those included in the director and senior management table of Diginex on the above section) for services in all capacities an aggregate compensation of approximately $1.6 million. The compensation was paid in cash. The executive officers did not receive performance bonuses for the year ended March 31, 2025. As of the date of this prospectus, the executive officers had exercised employee shares options and received 949,560 Ordinary Shares of Diginex Limited and hold 303,400 unvested share option plus additional unvested share options that equate to 1.7% of the outstanding share capital of the Company that will vest 36 months after commencement of employment or upon any accelerated vesting as approved by the board. The share options convert into shares of the Company on a one-to-one basis. The share options have an exercise price of US$0.00005.</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executive members of the board of directors did not receive any compensation, in relation to their board responsibilities, in the year ended March 31, 2025, and going forward, Diginex Limited does not expect to have a compensation plan for executive directors.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Non-executive directors received compensation from the date of appointment in December 2024 to March 2025. They were collectively paid less than US$0.1 million.</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does contribute to mandatory government pension schemes. Pension contributions for the year ended March 31, 2025 are included in the aggregate compensation noted above.</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Diginex Limited Employee Share Option Plan (the “Incentive Plan”)</w:t>
      </w:r>
    </w:p>
    <w:p>
      <w:pPr>
        <w:sectPr>
          <w:pgSz w:w="11900" w:h="16838" w:orient="portrait"/>
          <w:cols w:equalWidth="0" w:num="1">
            <w:col w:w="11240"/>
          </w:cols>
          <w:pgMar w:left="320" w:top="623" w:right="339" w:bottom="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i w:val="1"/>
          <w:iCs w:val="1"/>
          <w:color w:val="auto"/>
        </w:rPr>
        <w:t>Purpose; Types of Awards.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purpose of the Incentive Plan is (i) to encourage profitability and growth through short-term and long-term incentives that are consistent with Diginex Limited’s objectives; (ii) to give participants an incentive for individual performance; (iii) to promote teamwork among participants; and (iv) to give Diginex Limited an advantage in attracting and retaining key employees, directors, and consultants. To accomplish this purpose, the Incentive Plan permits the granting of awards in the form of options, share appreciation rights (“SARs”), restricted shares, restricted share units, performance based awards (including performance shares, performance units and performance bonus awards), and other share-based or cash-based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Shares Subject to the Incentive Plan.</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aggregate number of shares that are available for issuance pursuant to awards granted under the Incentive Plan is equal to 5,400,000 Ordinary Shares. The maximum number of shares subject to Incentive Plan awards granted during any fiscal year to any non-employee director, when taken together with any cash fees paid to the director during the year in respect of his or her service as a director, may not exceed $200,000 in total value. If an award granted under the Incentive Plan is forfeited, canceled, settled, or otherwise terminated without a distribution of shares, the shares underlying that award will again become available for issuance under the Incentive Plan. However, none of the following shares will be available for issuance under the Incentive Plan: (i) shares delivered to or withheld to pay withholding taxes, (ii) shares used to pay the exercise price of an option, or (iii) shares subject to any exercised share-settled SARs. Any substitute awards shall not reduce the shares authorized for grant under the Incentive Plan.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i w:val="1"/>
          <w:iCs w:val="1"/>
          <w:color w:val="auto"/>
        </w:rPr>
        <w:t>Administration of the Incentive Plan.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Incentive Plan will be administered by the plan administrator, who is the Diginex Limited board of directors or a committee that it designates. The plan administrator has the power to determine the terms of the awards granted under the Incentive Plan, including the exercise price, the number of shares subject to each award, and the exercisability of the awards. The plan administrator also has the power to determine the persons to whom and the time or times at which awards will be made and to make all other determinations and take all other actions advisable for the administration of the Incentive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Participation.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Participation in the Incentive Plan will be open to employees, contractors and consultants, who have been selected as an eligible recipient under the Incentive Plan by the plan administrator.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Types of Awards.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types of awards that may be made under the Incentive Plan are described below. All of the awards described below are subject to the conditions, limitations, restrictions, vesting and forfeiture provisions determined by the plan administrator, subject to certain limitations provided in the Incentive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Performance-Based Awards.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Limited may grant an award conditioned on satisfaction of certain performance criteria. Such performance-based awards include performance-based restricted shares and restricted share units.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Goals.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If the plan administrator determines that the performance-based award to an employee is subject to performance goals, then the performance-based criteria upon which the awards will be based shall be by reference to any one or more of the following: earnings before interest and taxes; earnings before interest, taxes, depreciation and amortization; net operating profit after tax; cash flow; revenue; net revenues; sales; days sales outstanding; scrap rates;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Ordinary Shares; expense/cost control; working capital; volume/production; new products; customer satisfaction; brand development; employee retention or employee turnover; employee satisfaction or engagement; environmental, health, or other safety goals; individual performance; strategic objective milestones; days inventory outstanding; or any other performance goals or a combination of performance goals selected by the plan administrator. Performance goals may be measured either in absolute terms or as compared to any incremental increase or decrease or as compared to results of a peer group or to market performance indicators.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Shares.</w:t>
      </w:r>
    </w:p>
    <w:p>
      <w:pPr>
        <w:spacing w:after="0" w:line="212"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A restricted share award is an award of Ordinary Shares that vests in accordance with the terms and conditions established by the plan administrator. The plan administrator will determine in the award agreement whether the participant will be entitled to vote the restricted shares and/or receive dividends on such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Share Units.</w:t>
      </w: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color w:val="auto"/>
        </w:rPr>
        <w:t>A restricted share unit is a right to receive shares or the cash equivalent of Ordinary Shares at a specified date in the future, subject to forfeiture of such right.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i w:val="1"/>
          <w:iCs w:val="1"/>
          <w:color w:val="auto"/>
        </w:rPr>
        <w:t>Share Options.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 share option entitles the recipient to purchase Ordinary Shares at a fixed exercise price. The exercise price per share will be determined by the plan administrator in the applicable award agreement in its sole discretion at the time of the grant. The maximum term of each option shall be fixed by the plan administrator, but in no event shall an option be exercisable more than (i) ten (10) years after the date such option is granted to an employee of Diginex Limited or its affiliates on the date of grant, or (ii) five (5) years after the date such option is granted to a person who is not an employee of Diginex Limited or its affiliates on the date of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 Appreciation Rights (SAR).</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 SAR entitles the holder to receive an amount equal to the difference between the fair market value of an ordinary share on the exercise date and the exercise price of the SAR (which may not be less than 100% of the fair market value of an ordinary share on the grant date), multiplied by the number of shares subject to the SAR (as determined by the plan administrator).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Share-Based Awards.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Limited may grant or sell to any participant unrestricted Ordinary Shares under the Incentive Plan or a dividend equivalent. A dividend equivalent is a right to receive payments, based on dividends with respect to Ordinary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Cash-Based Awards.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Diginex Limited may grant cash awards under the Incentive Plan, including cash awards as a bonus or upon the attainment of certain performance goals.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Equitable Adjustments.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the event of a merger, consolidation, reclassification, recapitalization, spin-off, spin-out, repurchase or other reorganization or corporate transaction or event, extraordinary dividend, stock/share split or reverse share split, combination or exchange of shares, or other change in corporate structure or payment of any other distribution, the maximum number and kind of shares reserved for issuance or with respect to which awards may be granted under the Incentive Plan will be adjusted to reflect such event, and the plan administrator will make such adjustments as it deems appropriate and equitable in the number, kind and exercise price of Ordinary Shares covered by outstanding awards made under the Incentive Plan, and in any other matters that relate to awards and that are affected by the changes in the shares referred to in this section.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i w:val="1"/>
          <w:iCs w:val="1"/>
          <w:color w:val="auto"/>
        </w:rPr>
        <w:t>Amendment and Termination.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plan administrator may alter, amend, modify, or terminate the Incentive Plan at any time. In addition, no modification of an award will, without the prior written consent of the participant, adversely alter or impair any rights or obligations under any award already granted under the Incentive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Recent Hires</w:t>
      </w:r>
    </w:p>
    <w:p>
      <w:pPr>
        <w:spacing w:after="0" w:line="208"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May 16, 2025, we hired Andrew Harling as Chief Commercial Officer. Mr Harling brings over 20 years of experience and commercial leadership within the credit, technology, and the sustainability sectors. Most recently, he served as Global Head of Sustainability Sales at S&amp;P, December 2023 to March 2025. Prior to that, Mr. Harling served at Fitch Group as Global Head of Sustainability Sales, then ascended to Chief Revenue Officer at Sustainable Fitch, September 2021 to November 2023. From January 2007 to April 2019 Mr. Harling held multiple roles at Moody’s concluding as Global Head of Product Management. Mr. Harling commenced his career at RBC working in Global Custody and Investment Management from 2000 to 2006. Mr Harling holds an Honours Degree from the University of Leicester in Geology (BSc) and holds professional qualifications and memberships from Chartered Institute of Securities and Investments, and Investment Management Certificate from CFA.UK. A copy of Mr Harling’s employment contract is attached hereto as Exhibit 10.19</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Practices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Composition</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Diginex Limited’s business affairs are managed under the direction of its board of directors. Diginex Limited’s board of directors consists of five members.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external directors serve for a three-year term which commenced on December 20,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Diginex Limited’s board of directors consists of five members, three of whom qualify as independent within the meaning of the independent director guidelines of Nasdaq. Tomicah Tillemann-Dick, Carnel Geddes and Katerina Klezlova are “independent directors” as defined in the rules of Nasdaq and applicable SEC rules.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Limited’s board of directors has established an audit &amp; risk committee and a nomination &amp; compensation committee. Carnel Geddes serves as the chair of both committees. Members will serve on these committees until their resignation or until otherwise determined by Diginex Limited’s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&amp; Risk Committee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Company’s audit &amp; risk committee oversees Diginex Limited’s corporate accounting and financial reporting process. Among other matters, the audit &amp; risk committee:</w:t>
      </w:r>
    </w:p>
    <w:p>
      <w:pPr>
        <w:spacing w:after="0" w:line="159" w:lineRule="exact"/>
        <w:rPr>
          <w:sz w:val="20"/>
          <w:szCs w:val="20"/>
          <w:color w:val="auto"/>
        </w:rPr>
      </w:pPr>
    </w:p>
    <w:p>
      <w:pPr>
        <w:ind w:left="300" w:hanging="299"/>
        <w:spacing w:after="0"/>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appoints Diginex Limited’s independent registered public accounting firm;</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evaluates the independent registered public accounting firm’s qualifications, independence and performance;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determines the engagement of the independent registered public accounting firm;</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and approves the scope of the annual audit and the audit fee;</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discusses with management and the independent registered public accounting firm the results of the annual audit and the review of the Diginex Limited’s interim financial statements;</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approves the retention of the independent registered public accounting firm to perform any proposed permissible non-audit services;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1" w:name="page82"/>
    <w:bookmarkEnd w:id="81"/>
    <w:p>
      <w:pPr>
        <w:ind w:left="300" w:hanging="299"/>
        <w:spacing w:after="0" w:line="274"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monitors the rotation of partners of the independent registered public accounting firm on Diginex Limited’s engagement team in accordance with requirements established by the SEC;</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responsible for reviewing Diginex Limited’s financial statements and the Company’s management’s discussion and analysis of financial condition and results of operations to be included in the Company’s annual and interim reports to be filed with the SEC;</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the Company’s critical accounting policies and estimates;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oversees the development and maintenance of the risk management framework, including the risk management policies, risk appetite and risk strategy;</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ensures adequate processes and systems for identifying, reporting and mitigating all relevant risk exposures, including legal, commercial, financial and operational risks; and</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reviews key risk reports and risk registers and provides oversight of the key risks Diginex is exposed to.</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chair of the audit &amp; risk committee is Carnel Geddes. Tomicah Tillemann-Dick and Katerina Klezlova are also members of the audit &amp; risk committee. Diginex Limited believes that Carnel Geddes qualifies as an “audit committee financial expert,” as such term is defined in Item 401(h) of Regulation S-K. Diginex Limited’s board of directors has adopted a written charter for the audit &amp; risk committee.</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i w:val="1"/>
          <w:iCs w:val="1"/>
          <w:color w:val="auto"/>
        </w:rPr>
        <w:t>Nomination and Compensation Committee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Diginex Limited’s nomination and compensation committee will review and recommend policies relating to compensation and benefits of Diginex Limited’s officers and employees. Among other matters, the nomination and compensation committee will:</w:t>
      </w:r>
    </w:p>
    <w:p>
      <w:pPr>
        <w:spacing w:after="0" w:line="159" w:lineRule="exact"/>
        <w:rPr>
          <w:sz w:val="20"/>
          <w:szCs w:val="20"/>
          <w:color w:val="auto"/>
        </w:rPr>
      </w:pPr>
    </w:p>
    <w:p>
      <w:pPr>
        <w:ind w:left="300" w:hanging="299"/>
        <w:spacing w:after="0" w:line="274" w:lineRule="auto"/>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 the board in overseeing Diginex Limited’s employee compensation policies and practices, including approving the compensation of the CEO and other executive officers and reviewing and approving incentive and equity compensation policies and programs;</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produce the annual report of the committee required by the rules of the SEC;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consider and make recommendations relating to the selection and qualification of directors and candidates nominated to serve as directors.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chair of the Company’s nomination and compensation committee is Carnel Geddes. Tomicah Tillemann-Dick and Katerina Klezlova are also members of the compensation committee. Diginex Limited’s board of directors has adopted a written charter for the nomination and compensation committee.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Private Issuer Status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As a foreign private issuer, Diginex Limited is exempt from the rules under the Exchange Act, prescribing the furnishing and content of proxy statements, and its officers, directors and principal shareholders are exempt from the reporting and short-swing profit recovery provisions contained in Section 16 of the Exchange Act. In addition, Diginex Limited is not required under the Exchange Act to file quarterly periodic reports and financial statements with the SEC as frequently or as promptly as U.S. domestic issuers, and is not required to disclose in its periodic reports all of the information that U.S. domestic issuers are required to disclose. As a company incorporated in the Cayman Islands that is listed on Nasdaq, Diginex Limited is subject to Nasdaq corporate’s governance listing standards. However, under Nasdaq Listing Rule 5615(a)(3)(A), a foreign private issuer may, in general, follow its home country corporate governance practices in lieu of some of the Nasdaq corporate governance requirements, set forth in the Nasdaq Marketplace Rule 5600 Series (with certain exceptions not relevant here). Diginex Limited has elected to be exempt from the requirement in Nasdaq Marketplace Rule 5635(d) which sets forth the circumstances under which shareholder approval is required prior to an issuance of securities, other than in a public offering, equal to 20% or more of the voting power outstanding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w:t>
      </w:r>
    </w:p>
    <w:p>
      <w:pPr>
        <w:spacing w:after="0" w:line="181"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Diginex Limited has elected to be exempt from the requirement: (i) in Nasdaq Marketplace Rule 5635(d) which sets forth the circumstances under which shareholder approval is required prior to an issuance of securities, other than in a public offering, equal to 20% or more of the voting power outstanding at a price less than the lower of: (a) the Nasdaq Official Closing Price (as reflected on Nasdaq.com) immediately preceding the signing of the binding agreement; or (b) the average Nasdaq Official Closing Price of the common stock (as reflected on Nasdaq.com) for the five trading days immediately preceding the signing of the binding agreement: (ii) in Nasdaq Marketplace Rule 5620(c) requiring a Nasdaq-listing company to provide in its by-laws for a quorum of at least 33 1/3 percent of the outstanding shares of the Company’s common voting stock; (iii) in Nasdaq marketplace Rule 5605(b)(2) requiring a Nasdaq-listing company to have regularly scheduled meetings at which only independent directors are present; and (iv) in Nasdaq marketplace Rule 5635(c) requires a Nasdaq-listed company to obtain shareholder approval for the establishment of or material amendments to equity compensation.</w:t>
      </w:r>
    </w:p>
    <w:p>
      <w:pPr>
        <w:spacing w:after="0" w:line="180"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Prior to the IPO, Rhino Ventures Limited owned a majority of the issued and outstanding equity securities of the Diginex Limited. Upon the completion of the IPO, Over-Allotment and the exercise of Tranche 1 of the IPO Warrants the Company has 25,243,763 Ordinary Shares issued and outstanding. Each Ordinary Share is entitled to one (1) vote. Rhino Ventures Limited owns 10,184,627 Ordinary Shares, without including (i) the remaining IPO Warrants to purchase 11,250,000 Ordinary Shares held by Rhino Ventures Limited and exercisable within the next sixty (60) days and (ii) the 4,170,520 warrants to purchase Ordinary Shares equal to 51% of the Company’s outstanding Ordinary Shares at the time the warrants are exercised held by Rhino Ventures Limited and exercisable within the next sixty (60) days, representing 40.3% of the total voting power of the Company’s issued and outstanding share capital. As such, the Company is not a “controlled company” as defined under the Nasdaq Stock Market Rules. Upon the exercise of either the remaining IPO Warrants to purchase 11,250,000 Ordinary Shares or the 4,170,520 warrants for Ordinary Shares equal to 51% of the Company’s outstanding Ordinary Shares at the time the warrants are exercised, Rhino Venture Limited may own more that 50% of the Company’s outstanding Ordinary Shares and then the Company will be a “controlled company” as defined under the Nasdaq Stock Market Rules. However, at this time the Company has no plans to rely on “controlled company” exceptions to the corporate governance rules of the Nasdaq Stock Market Rules.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SECURITIES</w:t>
      </w:r>
    </w:p>
    <w:p>
      <w:pPr>
        <w:spacing w:after="0" w:line="20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summary of the material terms of our securities is not intended to be a complete summary of the rights and preferences of such securities. Reference is made to our Memorandum and Articles, copies of which are filed as an exhibit to the registration statement of which this prospectus is a part (and which is referred to in this section as, respectively, the “memorandum” and the “articles”). We urge you to read our Amended and Restated Memorandum and Articles in its entirety for a complete description of the rights and preferences of our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Diginex Limited was incorporated as an exempted company with limited liability under the Companies Act on January 26, 2024. A Cayman Islands exempted company:</w:t>
      </w:r>
    </w:p>
    <w:p>
      <w:pPr>
        <w:spacing w:after="0" w:line="159" w:lineRule="exact"/>
        <w:rPr>
          <w:sz w:val="20"/>
          <w:szCs w:val="20"/>
          <w:color w:val="auto"/>
        </w:rPr>
      </w:pPr>
    </w:p>
    <w:p>
      <w:pPr>
        <w:ind w:left="900" w:hanging="294"/>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company that conducts its business mainly outside the Cayman Islands;</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prohibited from trading in the Cayman Islands with any person, firm or corporation except in furtherance of the business of the exempted company carried on outside the Cayman Islands (and for this purpose can effect and conclude contracts in the Cayman Islands and exercise in the Cayman Islands all of its powers necessary for the carrying on of its business outside the Cayman Islands);</w:t>
      </w:r>
    </w:p>
    <w:p>
      <w:pPr>
        <w:spacing w:after="0" w:line="169"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to hold an annual general meeting;</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have to make its register of members open to inspection by shareholders of that company;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obtain an undertaking against the imposition of any future taxation;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by way of continuation in another jurisdiction and be deregistered in the Cayman Islands;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as an exempted limited duration company;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register as a segregated portfolio company.</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of the date of this prospectus, we had (i) 25,243,763 Ordinary Share issued and outstanding, (ii) 11,250,000 IPO Warrants, (iii) 4,170,520 Warrants which if exercised in full will result in the issuance of shares equal to 51% of the Company’s outstanding Ordinary Shares at the time the warrants are exercised and (iv) 17,345 vested but not yet exercised options issued to employees and contractors, 368,826 unvested employee share options and unvested employee share options exercisable for such number of Ordinary Shares equal to 1.7% of the issued and outstanding shares of the Company at the time of vesting.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Shares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Ordinary Shares are issued in registered form, and are issued when registered in our register of members. Unless the board of directors determine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of the date of this prospectus, our authorized share capital is US$50,000 divided into (i) 960,000,000 Ordinary Shares of par value $0.00005 each (the “Ordinary Shares”) and (ii) 40,000,000 preferred shares of par value $0.00005 each (the “Preferred Shares”) Subject to the provisions of the Companies Act and our articles regarding redemption and purchase of the shares (and to any direction that may be given by the Company in general meeting) and, where applicable, the rules and regulations of Nasdaq, the Securities and Exchange Commission and/or any other competent regulatory authority or otherwise under applicable law, our directors have general and unconditional authority to allot (with or without confirming rights of renunciation), issue, grant options over or otherwise deal with any unissued shares to such persons, at such times and on such terms and conditions as they may decide. The directors may deal with unissued shares either at a premium or at par, or with or without preferred, deferred or other special rights or restrictions, whether in regard to dividend, voting, return of capital or otherwise. No share may be issued at a discount except in accordance with the provisions of the Companies Act. The directors may refuse to accept any application for shares, and may accept any application in whole or in part, for any reason or for no reason.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Shares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Holder of Preferred Shares shall have one (1) vote for each share he holds, unless any such Preferred Share carries special voting rights. The holders of Preferred Shares and Ordinary Shares shall vote together as a single class unless it is required by applicable law or the Company’s Article of Association that Preferred Shares to vote separately as a class.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All then outstanding Preferred Shares were converted into Ordinary Shares when the Company’s registration statement was declared effective by the SEC on December 20, 2024. There are no Preferred Shares issued or outstanding at the time of this amended registration statement.</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Each holder of Preferred Shares shall be entitled to receive dividends, out of any funds legally available therefor, prior and in preference to any declaration or payment of any dividend on the Ordinary Shares or any other class or series of shares issued by the Company, at the rate of four percent per annum of the applicable issue price of the Preferred Shares, on a non-cumulative basis, for each Preferred Share held by such holder.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Instruments not described in Memorandum and Articles of Association: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4,170,520 warrants that are issued and outstanding are exercisable for a period of three years from the date they were issued, May 27, 2024, and are exercisable at a price of US$6.13 per share. The warrants, if fully exercised, will result in the issuance of shares equal to 51% of the Company’s outstanding Ordinary Shares at the time the warrants are exercised. This amount will be prorated in the event of partial exercise of the warrants.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IPO Warrants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January 23, 2025, the Company issued Rhino Ventures Limited the warrants identified below (“IPO Warrants”) in recognition of the continuous financial support Rhino Ventures Limited has provided to the Company over previous years that has been critical to sustaining operations and achieving the IPO. There were no goods or services exchanged with Rhino Ventures Limited for the issuance of the IPO warrants. No new direct consideration was received at the time of issuance, as the warrants were granted to acknowledge the historical value provided by Rhino Ventures Limited.</w:t>
      </w:r>
    </w:p>
    <w:p>
      <w:pPr>
        <w:spacing w:after="0" w:line="175" w:lineRule="exact"/>
        <w:rPr>
          <w:sz w:val="20"/>
          <w:szCs w:val="20"/>
          <w:color w:val="auto"/>
        </w:rPr>
      </w:pPr>
    </w:p>
    <w:p>
      <w:pPr>
        <w:ind w:left="600" w:hanging="297"/>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6 - Warrants to purchase 2,250,000 Ordinary Shares at an exercise price of $12.30 per share, which expire 24 months from January 23, 2025</w:t>
      </w:r>
    </w:p>
    <w:p>
      <w:pPr>
        <w:spacing w:after="0" w:line="19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May 6, 2025, Rhino Ventures Limited sold the following warrants to Nomas Global Investments-L.L.C-S.P.C. for $300,000,000 pursuant to a warrant purchase agreement, dated April 4, 2025 (the “Nomas WPA”). In furtherance of the Nomas WPA on May 6, 2025, Nomas Global Investments-L.L.C-S.P.C. delivered to Rhino Ventures Limited a promissory note in the amount of $50,000,000 as the initial payment of the consideration under the Nomas WPA and Rhino Ventures Limited conveyed and transferred the Nomas Warrants to Nomas Global Investments-L.L.C-S.P.C.</w:t>
      </w:r>
    </w:p>
    <w:p>
      <w:pPr>
        <w:spacing w:after="0" w:line="175" w:lineRule="exact"/>
        <w:rPr>
          <w:sz w:val="20"/>
          <w:szCs w:val="20"/>
          <w:color w:val="auto"/>
        </w:rPr>
      </w:pPr>
    </w:p>
    <w:p>
      <w:pPr>
        <w:ind w:left="900" w:hanging="294"/>
        <w:spacing w:after="0"/>
        <w:tabs>
          <w:tab w:leader="none" w:pos="9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6 - Warrants to purchase 2,250,000 Ordinary Shares at an exercise price of $12.30 per share, which expire 24 months from January 23, 2025</w:t>
      </w:r>
    </w:p>
    <w:p>
      <w:pPr>
        <w:spacing w:after="0" w:line="19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Tranche 1 Warrants to purchase 2,250,000 Ordinary Shares at an exercise price of $5.13 per share, which expire 6 months from January 23, 2025 are held by Rhino Ventures Limited and are attached hereto as Exhibit 4.3. The Tranche 2 Warrants to purchase 2,250,000 Ordinary Shares at an exercise price of $6.15 per share, which expire 9 months from January 23, 2025 are held by Rhino Ventures Limited and are attached hereto as Exhibit 4.4. The Tranche 3 Warrants to purchase 2,250,000 Ordinary Shares at an exercise price of $7.18 per share, which expire 12 months from January 23, 2025 are held by Rhino Ventures Limited and are attached hereto as Exhibit 4.5. The Tranche 4 Warrants to purchase 2,250,000 Ordinary Shares at an exercise price of $8.20 per share, which expire 15 months from January 23, 2025 are held by Nomas Global Investments-L.L.C-S.P.C. and are attached hereto as Exhibit 4.6. The Tranche 5 Warrants to purchase 2,250,000 Ordinary Shares at an exercise price of $10.25 per share, which expire 18 months from January 23, 2025 are held by Nomas Global Investments-L.L.C-S.P.C. and are attached hereto as Exhibit 4.7. The Tranche 6 Warrants to purchase 2,250,000 Ordinary Shares at an exercise price of $12.30 per share, which expire 24 months from January 23, 2025 are held by Nomas Global Investments-L.L.C-S.P.C. and are attached hereto as Exhibit 4.8.</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 Following the acquisition of these Ordinary Shares and at the time of this Prospectus, Rhino Ventures Limited owns 9,890,247 Ordinary Shares, not including the derivative securities of Diginex owned by Rhino Ventures Limited.</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August 22, 2025, the Nomas WPA was rescinded by mutual agreement of Rhino Ventures Limited and Nomas Global Investments-L.L.C-S.P.C and the Nomas Warrants were returned to Rhino Ventures Limited and the previously issued promissory note from Nomas Global Investments L.L.C-S.P.C to Rhino Ventures Limited in the amount of $50,000,000 as the initial consideration under the Nomas WPA has been cancelled. Accordingly, Rhino Ventures Limited is the owner of 100% of the outstanding IPO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loan notes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$4.35 million in convertible notes shall automatically convert into Ordinary Shares at the conversion price on the earlier of the following events, (i) a relevant fund raising above $10 million, (ii) change of control, or (iii) F-1 being declared effective. Such ordinary class of shares to be issued to investors in connection with the relevant fund raising or issued at the completion of the change of control or Form F-1 being declared effective. The conversion price for the $4.35 million convertible notes shall be calculated using a valuation of $60 million for the Company.</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December 20, 2024, the Company registration statement on Form F-1 was declared effective by the SEC. This resulted in the conversion of all outstanding convertible loan notes into 2,347,134 Ordinary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 Limited’s Transfer Agent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transfer agent and registrar for the Ordinary Shares is Continental Stock Transfer &amp; Trust, at 1 State Street, 30th Floor, New York, NY 10004-1561.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 Limited’s Dividends</w:t>
      </w:r>
    </w:p>
    <w:p>
      <w:pPr>
        <w:sectPr>
          <w:pgSz w:w="11900" w:h="16838" w:orient="portrait"/>
          <w:cols w:equalWidth="0" w:num="1">
            <w:col w:w="11240"/>
          </w:cols>
          <w:pgMar w:left="320" w:top="623" w:right="339" w:bottom="0" w:gutter="0" w:footer="0" w:header="0"/>
        </w:sectPr>
      </w:pPr>
    </w:p>
    <w:bookmarkStart w:id="84" w:name="page85"/>
    <w:bookmarkEnd w:id="84"/>
    <w:p>
      <w:pPr>
        <w:ind w:left="600"/>
        <w:spacing w:after="0"/>
        <w:rPr>
          <w:sz w:val="20"/>
          <w:szCs w:val="20"/>
          <w:color w:val="auto"/>
        </w:rPr>
      </w:pPr>
      <w:r>
        <w:rPr>
          <w:rFonts w:ascii="Times New Roman" w:cs="Times New Roman" w:eastAsia="Times New Roman" w:hAnsi="Times New Roman"/>
          <w:sz w:val="17"/>
          <w:szCs w:val="17"/>
          <w:color w:val="auto"/>
        </w:rPr>
        <w:t>Subject to the provisions of the Companies Act and any rights attaching to any class or classes of shares under and in accordance with the articles:</w:t>
      </w:r>
    </w:p>
    <w:p>
      <w:pPr>
        <w:spacing w:after="0" w:line="208" w:lineRule="exact"/>
        <w:rPr>
          <w:sz w:val="20"/>
          <w:szCs w:val="20"/>
          <w:color w:val="auto"/>
        </w:rPr>
      </w:pPr>
    </w:p>
    <w:p>
      <w:pPr>
        <w:ind w:left="900" w:hanging="294"/>
        <w:spacing w:after="0"/>
        <w:tabs>
          <w:tab w:leader="none" w:pos="9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directors may declare dividends or distributions out of our funds which are lawfully available for that purpose;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shareholders may, by ordinary resolution, declare dividends but no such dividend shall exceed the amount recommended by the directors.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Subject to the requirements of the Companies Act regarding the application of a company’s share premium account and with the sanction of an ordinary resolution, dividends may also be declared and paid out of any share premium account. The directors when paying dividends to shareholders may make such payment either in cash or in specie.</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Unless provided by the rights attached to a share, no dividend shall bear interest.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 Limited’s Voting Rights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Subject to any rights or restrictions as to voting attached to any shares, unless any share carries special voting rights, on a poll, every shareholder who is present in person and every person representing a shareholder by proxy shall have one vote for each share of which he or the person represented by proxy is the holder. A fraction of a share shall entitle its holder to an equivalent fraction of one (1) vote (or a fraction of such number of votes which such Share carries pursuant to its special voting rights). In addition, all shareholders holding shares of a particular class are entitled to vote at a meeting of the holders of that class of shares. Votes may be given either personally or by proxy.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color w:val="auto"/>
        </w:rPr>
        <w:t>Variation of Rights of Diginex Limited’s Shares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Whenever our capital is divided into different classes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general meeting of the holders of shares of that class.</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 xml:space="preserve">Unless the terms on which a class of shares was issued state otherwise, the rights conferred on the shareholder holding shares of any class shall not be deemed to be varied by the creation or issue of further shares ranking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existing shares of that class.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Alteration of Diginex Limited’s Share Capital</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Subject to the Companies Act, our shareholders may, by ordinary resolution:</w:t>
      </w:r>
    </w:p>
    <w:p>
      <w:pPr>
        <w:spacing w:after="0" w:line="208" w:lineRule="exact"/>
        <w:rPr>
          <w:sz w:val="20"/>
          <w:szCs w:val="20"/>
          <w:color w:val="auto"/>
        </w:rPr>
      </w:pPr>
    </w:p>
    <w:p>
      <w:pPr>
        <w:ind w:left="900" w:hanging="294"/>
        <w:spacing w:after="0" w:line="274" w:lineRule="auto"/>
        <w:tabs>
          <w:tab w:leader="none" w:pos="9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share capital by new shares of the amount fixed by that ordinary resolution and with the attached rights, priorities and privileges set out in that ordinary resolution;</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and divide all or any of our share capital into shares of larger amount than our existing shares;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 all or any of our paid-up shares into stock, and reconvert that stock into paid up shares of any denomination;</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p>
      <w:pPr>
        <w:spacing w:after="0" w:line="169"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Subject to the Companies Act and to any rights for the time being conferred on the shareholders holding a particular class of shares, our shareholders may, by special resolution, reduce its share capital in any way.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Calls on Diginex Limited’s Shares and Forfeiture</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Subject to the terms of allotment, the directors may make calls on the shareholders in respect of any monies unpaid on their shares including any premium and each shareholder shall (subject to receiving at least 14 clear days’ notice specifying when and where payment is to be made), pay to us the amount called on his shares as required by notice.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waive payment of the interest wholly or in part.</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have a first and paramount lien on all shares (whether fully paid up or not) registered in the name of a shareholder (whether solely or jointly with others).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lien is for all monies payable to us by the shareholder or the shareholder’s estate:</w:t>
      </w:r>
    </w:p>
    <w:p>
      <w:pPr>
        <w:spacing w:after="0" w:line="192" w:lineRule="exact"/>
        <w:rPr>
          <w:sz w:val="20"/>
          <w:szCs w:val="20"/>
          <w:color w:val="auto"/>
        </w:rPr>
      </w:pPr>
    </w:p>
    <w:p>
      <w:pPr>
        <w:ind w:left="900" w:hanging="294"/>
        <w:spacing w:after="0"/>
        <w:tabs>
          <w:tab w:leader="none" w:pos="9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alone or jointly with any other person, whether or not that other person is a shareholder;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those monies are presently payable.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any time the directors may declare any share to be wholly or partly exempt from the lien on shares provisions of the articles.</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may sell, in such manner as the directors may determine, any share on which the sum in respect of which the lien exists is presently payable, if due notice that such sum is payable has been given (as prescribed by the articles) and, within 14 clear days of the date on which the notice is deemed to be given under the articles, such notice has not been complied with.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 Limited’s Unclaimed Dividend</w:t>
      </w:r>
    </w:p>
    <w:p>
      <w:pPr>
        <w:spacing w:after="0" w:line="212" w:lineRule="exact"/>
        <w:rPr>
          <w:sz w:val="20"/>
          <w:szCs w:val="20"/>
          <w:color w:val="auto"/>
        </w:rPr>
      </w:pPr>
    </w:p>
    <w:p>
      <w:pPr>
        <w:jc w:val="both"/>
        <w:ind w:right="20" w:firstLine="605"/>
        <w:spacing w:after="0" w:line="274" w:lineRule="auto"/>
        <w:rPr>
          <w:sz w:val="20"/>
          <w:szCs w:val="20"/>
          <w:color w:val="auto"/>
        </w:rPr>
      </w:pPr>
      <w:r>
        <w:rPr>
          <w:rFonts w:ascii="Times New Roman" w:cs="Times New Roman" w:eastAsia="Times New Roman" w:hAnsi="Times New Roman"/>
          <w:sz w:val="17"/>
          <w:szCs w:val="17"/>
          <w:color w:val="auto"/>
        </w:rPr>
        <w:t>A dividend that remains unclaimed for a period of six years after it became due for payment shall be forfeited to, and shall cease to remain owing by,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Forfeiture or Surrender of Diginex Limited’s Shares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If a shareholder fails to pay any capital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 and the place where payment is to be made.</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6" w:name="page87"/>
    <w:bookmarkEnd w:id="86"/>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 forfeited share may be sold, re-allotted or otherwise disposed of on such terms and in such manner as the directors determine and at any time before a sale, re-allotment or disposition the forfeiture may be cancelled on such terms as the directors think fit.</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together with all expenses and interest from the date of forfeiture or surrender until payment.</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 declaration, whether statutory or under oath, made by a director or the secretary shall be conclusive evidence that the person making the declaration is our director or secretary and that the particular shares have been forfeited or surrendered on a particular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Diginex Limited’s Share Premium Account</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directors shall establish a share premium account in accordance with the Companies Act and shall carry the credit of such account from time to time to a sum equal to the amount or value of the premium paid on the issue of any share or capital contributed or such other amounts required by the Companies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Redemption and Purchase of Own Diginex Limited’s Shares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Subject to the Companies Act and any rights for the time being conferred on the shareholders holding a particular class of shares, we may by action of our directors:</w:t>
      </w:r>
    </w:p>
    <w:p>
      <w:pPr>
        <w:spacing w:after="0" w:line="159" w:lineRule="exact"/>
        <w:rPr>
          <w:sz w:val="20"/>
          <w:szCs w:val="20"/>
          <w:color w:val="auto"/>
        </w:rPr>
      </w:pPr>
    </w:p>
    <w:p>
      <w:pPr>
        <w:ind w:left="900" w:hanging="294"/>
        <w:spacing w:after="0" w:line="274" w:lineRule="auto"/>
        <w:tabs>
          <w:tab w:leader="none" w:pos="9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shares that are to be redeemed or liable to be redeemed, at our option or the shareholder holding those redeemable shares, on the terms and in the manner our directors determine before the issue of those shares;</w:t>
      </w:r>
    </w:p>
    <w:p>
      <w:pPr>
        <w:spacing w:after="0" w:line="158" w:lineRule="exact"/>
        <w:rPr>
          <w:rFonts w:ascii="Times New Roman" w:cs="Times New Roman" w:eastAsia="Times New Roman" w:hAnsi="Times New Roman"/>
          <w:sz w:val="17"/>
          <w:szCs w:val="17"/>
          <w:color w:val="auto"/>
        </w:rPr>
      </w:pPr>
    </w:p>
    <w:p>
      <w:pPr>
        <w:jc w:val="both"/>
        <w:ind w:left="900" w:hanging="294"/>
        <w:spacing w:after="0" w:line="261" w:lineRule="auto"/>
        <w:tabs>
          <w:tab w:leader="none" w:pos="9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p>
      <w:pPr>
        <w:spacing w:after="0" w:line="169"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all or any of our own shares of any class including any redeemable shares on the terms and in the manner which the directors determine at the time of such purchase.</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may make a payment in respect of the redemption or purchase of its own shares in any manner authorized by the Companies Act, including out of any combination of capital, our profits and the proceeds of a fresh issue of shares.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of Diginex Limited’s Shares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Subject to any applicable requirements set forth in the articles and provided that a transfer of shares complies with applicable rules of the Nasdaq, and where the shares in question are not listed on or subject to the rules of any designated stock exchange, further subject to any provisions of the Shareholder Agreement and provided that the directors shall approve and register any transfer of Shares made in accordance with the Shareholder Agreement and shall refuse to register any transfer of Shares made otherwise than in accordance with the Shareholder Agreement, a shareholder may transfer shares to another person by completing an instrument of transfer in a usual or common form or in any other form approved by the directors, executed:</w:t>
      </w:r>
    </w:p>
    <w:p>
      <w:pPr>
        <w:spacing w:after="0" w:line="176" w:lineRule="exact"/>
        <w:rPr>
          <w:sz w:val="20"/>
          <w:szCs w:val="20"/>
          <w:color w:val="auto"/>
        </w:rPr>
      </w:pPr>
    </w:p>
    <w:p>
      <w:pPr>
        <w:ind w:left="900" w:hanging="294"/>
        <w:spacing w:after="0"/>
        <w:tabs>
          <w:tab w:leader="none" w:pos="9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shares are fully paid, by or on behalf of that shareholder;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shares are nil or partly paid, by or on behalf of that shareholder and the transferee.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transferor shall be deemed to remain the holder of a share until the name of the transferee is entered into our register of members.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87" w:name="page88"/>
    <w:bookmarkEnd w:id="87"/>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Where the shares in question are not listed on or subject to the rules of the Nasdaq, our board of directors may, in its absolute discretion, decline to register any transfer of any share that has not been fully paid up or is subject to a company lien. Our board of directors may also decline to register any transfer of such share, without giving any reason, unless:</w:t>
      </w:r>
    </w:p>
    <w:p>
      <w:pPr>
        <w:spacing w:after="0" w:line="169" w:lineRule="exact"/>
        <w:rPr>
          <w:sz w:val="20"/>
          <w:szCs w:val="20"/>
          <w:color w:val="auto"/>
        </w:rPr>
      </w:pPr>
    </w:p>
    <w:p>
      <w:pPr>
        <w:ind w:left="900" w:hanging="294"/>
        <w:spacing w:after="0" w:line="274" w:lineRule="auto"/>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lodged with us, accompanied by the certificate for the shares to which it relates and such other evidence as our board of directors may reasonably require to show the right of the transferor to make the transfer;</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in respect of only one class of shares;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instrument of transfer is properly stamped, if required;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 transferred is fully paid and free of any lien in favor of us;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fee of such maximum sum as the Designated Stock Exchanges may determine to be payable, or such lesser sum as the board of the directors may from time to time require related to the transfer has been paid to us; and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 is not more than four joint holders.</w:t>
      </w:r>
    </w:p>
    <w:p>
      <w:pPr>
        <w:spacing w:after="0" w:line="208"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If our directors refuse to register a transfer of any shares of any class not listed on a Designated Stock Exchange (as defined in our articles), they are required, within one (1) month after the date on which the instrument of transfer was lodged, to send to each of the transferor and the transferee notice of such refusal.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Inspection of Diginex Limited’s Books and Records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Holders of our shares will have no general right under the Companies Act to inspect or obtain copies of our register of members or our corporate records (except for the memorandum and articles of association of our Company, any special resolutions passed by our Company and the register of mortgages and charges of our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Meetings of Diginex Limited’s Shareholders</w:t>
      </w:r>
    </w:p>
    <w:p>
      <w:pPr>
        <w:spacing w:after="0" w:line="212"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As a Cayman Islands exempted company, we are not obligated by the Companies Act to call shareholders’ annual general meetings; accordingly, we may, but shall not be obliged to, in each year hold a general meeting as an annual general meeting. Further, in accordance Diginex Limited’s determination to follow its home country corporate governance practices in lieu of some of the Nasdaq corporate governance requirements, pursuant to Nasdaq Listing Rule 5615(a)(3)(A), we may not hold an annual general meeting for, among other things, the election of directors. As such, we may hold an annual general meeting that does not include the election of directors on a yearly basis. Any annual general meeting held shall be held at such time and place as may be determined by our board of directors in accordance with our Amended and Restated Memorandum and Articles. All general meetings other than annual general meetings shall be called extraordinary general meetings.</w:t>
      </w:r>
    </w:p>
    <w:p>
      <w:pPr>
        <w:spacing w:after="0" w:line="16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directors may convene general meetings whenever they think fit. General meetings shall also be convened on the written requisition of one or more of the shareholders entitled to attend and vote at our general meetings who (together) hold not less than ten percent of the rights to vote at such general meeting in accordance with the notice provisions in the articles, specifying the purpose of the meeting and signed by each of the shareholders making the requisition. If the directors do not convene such meeting within 21 clear days’ from the date of receipt of the written requisition, those shareholders who requested the meeting or any of them may convene the general meeting themselves within three months after the end of such period of 21 clear days in which case reasonable expenses incurred by them as a result of the directors failing to convene a meeting shall be reimbursed by us.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At least five (5) clear days’ notice of any general meeting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Subject to the Companies Act and with the consent of the shareholders who, individually or collectively, hold at least 90 percent of the voting rights of all those who have a right to vote at a general meeting, a general meeting may be convened on shorter notice.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88" w:name="page89"/>
    <w:bookmarkEnd w:id="88"/>
    <w:p>
      <w:pPr>
        <w:jc w:val="both"/>
        <w:ind w:right="20" w:firstLine="605"/>
        <w:spacing w:after="0" w:line="274" w:lineRule="auto"/>
        <w:rPr>
          <w:sz w:val="20"/>
          <w:szCs w:val="20"/>
          <w:color w:val="auto"/>
        </w:rPr>
      </w:pPr>
      <w:r>
        <w:rPr>
          <w:rFonts w:ascii="Times New Roman" w:cs="Times New Roman" w:eastAsia="Times New Roman" w:hAnsi="Times New Roman"/>
          <w:sz w:val="17"/>
          <w:szCs w:val="17"/>
          <w:color w:val="auto"/>
        </w:rPr>
        <w:t>A quorum shall consist of the presence (whether in person or represented by proxy) of one or more shareholders holding shares that represent not less than one-third of the outstanding shares carrying the right to vote at such general meeting unless the Company only one member.</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hence, or to such other time or place as is determined by the directors.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chairman may, with the consent of a meeting at which a quorum is present, adjourn the meeting. When a meeting is adjourned for more than seven clear days, notice of the adjourned meeting shall be given in accordance with the articles.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any general meeting a resolution put to the vote of the meeting shall be decided on a poll.</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poll shall be taken in such manner as the chairman directs and the result of the poll shall be deemed to be the resolution of the meeting.</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the case of an equality of votes, the chairman of the meeting shall not be entitled to a second or casting vote.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of Diginex Limited</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may by ordinary resolution, from time to time, fix the maximum and minimum number of directors to be appointed. Under the articles, we are required to have a minimum of one director and the maximum number of Directors shall be unlimited.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director may be appointed by ordinary resolution or by the directors. Any appointment may be to fill a vacancy or as an additional director.</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Unless the remuneration of the directors is determined by the shareholders by ordinary resolution, the directors shall be entitled to such remuneration as the directors may determine.</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shareholding qualification for directors may be fixed by our shareholders by ordinary resolution and unless and until so fixed no share qualification shall be required.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director may be removed by ordinary resolution. The Articles do not require an annual director election.</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 director may at any time resign from office by giving us notice in writing. Unless the notice specifies a different date, the director shall be deemed to have resigned on the date that the notice is delivered to us.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Subject to the provisions of the articles, the office of a director may be terminated forthwith if:</w:t>
      </w:r>
    </w:p>
    <w:p>
      <w:pPr>
        <w:spacing w:after="0" w:line="208" w:lineRule="exact"/>
        <w:rPr>
          <w:sz w:val="20"/>
          <w:szCs w:val="20"/>
          <w:color w:val="auto"/>
        </w:rPr>
      </w:pPr>
    </w:p>
    <w:p>
      <w:pPr>
        <w:ind w:left="900" w:hanging="294"/>
        <w:spacing w:after="0"/>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is prohibited by the law of the Cayman Islands from acting as a director;</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is made bankrupt or makes an arrangement or composition with his creditors generally;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resigns his office by notice to us;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only held office as a director for a fixed term and such term expires;</w:t>
      </w:r>
    </w:p>
    <w:p>
      <w:pPr>
        <w:spacing w:after="0" w:line="207" w:lineRule="exact"/>
        <w:rPr>
          <w:rFonts w:ascii="Times New Roman" w:cs="Times New Roman" w:eastAsia="Times New Roman" w:hAnsi="Times New Roman"/>
          <w:sz w:val="17"/>
          <w:szCs w:val="17"/>
          <w:color w:val="auto"/>
        </w:rPr>
      </w:pPr>
    </w:p>
    <w:p>
      <w:pPr>
        <w:jc w:val="center"/>
        <w:ind w:left="5540" w:right="460" w:hanging="4934"/>
        <w:spacing w:after="0" w:line="522" w:lineRule="auto"/>
        <w:tabs>
          <w:tab w:leader="none" w:pos="909"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opinion of a registered medical practitioner by whom he is being treated he becomes physically or mentally incapable of acting as a director;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89" w:name="page90"/>
    <w:bookmarkEnd w:id="89"/>
    <w:p>
      <w:pPr>
        <w:ind w:left="900" w:hanging="294"/>
        <w:spacing w:after="0" w:line="274" w:lineRule="auto"/>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is given notice by the majority of the other directors (not being less than two in number) to vacate office (without prejudice to any claim for damages for breach of any agreement relating to the provision of the services of such director);</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is made subject to any law relating to mental health or incompetence, whether by court order or otherwise; or</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the consent of the other directors, he is absent from meetings of directors for continuous period of six months.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Each of the audit and risk committee and the nomination and compensation committee shall consist of at least three directors and the majority of the committee members shall be independent within the meaning of Section 5605(a)(2) of the Nasdaq listing rules. The audit committee shall consist of at least three directors, all of whom shall be independent within the meaning of Section 5605(a)(2) of the Nasdaq listing rules and will meet the criteria for independence set forth in Rule 10A-3 or Rule 10C-1 of the Exchange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Powers and Duties of Diginex Limited’s Directors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Subject to the provisions of the Companies Act and our Amended and Restated Memorandum and Articles, our business shall be managed by the directors, who may exercise all our powers. No prior act of the directors shall be invalidated by any subsequent alteration of our memorandum or articles. To the extent allowed by the Companies Act, however, shareholders may by special resolution validate any prior or future act of the directors which would otherwise be in breach of their duties.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 Upon the initial closing of the IPO, our board of directors will have established an audit and risk committee, and a nomination and compensation committee.</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board of directors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directors may from time to time and at any time by power of attorney or in any other manner they determine appoint any person, either generally or in respect of any specific matter, to be our agent with or without authority for that person to delegate all or any of that person’s powers.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directors may from time to time and at any time by power of attorney or in any other manner they determine appoint any person, whether nominated directly or indirectly by the directors, to be our attorney or our authorized signatory and for such period and subject to such conditions as they may think fit. The powers, authorities and discretions, however, must not exceed those vested in, or exercisable, by the directors under the articles.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board of directors may remove any person so appointed and may revoke or vary the delegation.</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90" w:name="page91"/>
    <w:bookmarkEnd w:id="90"/>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Subject to the applicable listing rules and disqualification by the chairman of the relevant board meeting, a director may, vote (and be counted in the quorum) in respect of any contract, transaction, arrangement or proposal in which he has an interest, provided that the nature and extent of any such material interest has been duly declared at a meeting of the directors by a general notice given to the other directors prior to the consideration of the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Interested Directors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Interested director transactions are governed by the terms of a company’s memorandum and articles of association. The Articles provide that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applicable listing rules and disqualification by the chairman of the relevant board meeting, a director may vote in respect of any contract or transaction or proposed contract or transaction notwithstanding that he may be interested therein provided the director discloses to his fellow directors the nature and extent of any material interests in respect of any contract or transaction or proposed contract or transaction and if he does so his vote shall be counted and he may be counted in the quorum at any meeting of the directors at which any such contract or transaction or proposed contract or transaction shall come before the meeting for consideration.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Capitalization of Diginex Limited’s Profits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Subject to the Memorandum and Articles, the directors may resolve to capitalize:</w:t>
      </w:r>
    </w:p>
    <w:p>
      <w:pPr>
        <w:spacing w:after="0" w:line="208" w:lineRule="exact"/>
        <w:rPr>
          <w:sz w:val="20"/>
          <w:szCs w:val="20"/>
          <w:color w:val="auto"/>
        </w:rPr>
      </w:pPr>
    </w:p>
    <w:p>
      <w:pPr>
        <w:ind w:left="900" w:hanging="294"/>
        <w:spacing w:after="0"/>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 of our profits not required for paying any preferential dividend (whether or not those profits are available for distribution); or</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sum standing to the credit of our share premium account or capital redemption reserve, if any.</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amount resolved to be capitalized must be appropriated to the shareholders who would have been entitled to it had it been distributed by way of dividend and in the same proportions.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Proposal Rights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Companies Act does not provide shareholders any right to bring business before a meeting or requisition a general meeting. However, these rights may be provided in the company’s memorandum and articles of association.</w:t>
      </w:r>
    </w:p>
    <w:p>
      <w:pPr>
        <w:spacing w:after="0" w:line="159"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shareholders are entitled to requisition a general meeting in accordance with the provisions of the Articles, but the Articles does not expressly provide for any shareholders proposal rights.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Liquidation Rights of Diginex Limited’s Shareholders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If we are wound up, the shareholders may, subject to the articles and any other sanction required by the Companies Act, pass a special resolution allowing the liquidator to do either or both of the following:</w:t>
      </w:r>
    </w:p>
    <w:p>
      <w:pPr>
        <w:spacing w:after="0" w:line="159" w:lineRule="exact"/>
        <w:rPr>
          <w:sz w:val="20"/>
          <w:szCs w:val="20"/>
          <w:color w:val="auto"/>
        </w:rPr>
      </w:pPr>
    </w:p>
    <w:p>
      <w:pPr>
        <w:ind w:left="900" w:hanging="294"/>
        <w:spacing w:after="0" w:line="274" w:lineRule="auto"/>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divide in specie among the shareholders the whole or any part of our assets and, for that purpose, to value any assets and to determine how the division shall be carried out as between the shareholders or different classes of shareholders; and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vest the whole or any part of the assets in trustees for the benefit of shareholders and those liable to contribute to the winding up.</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directors have the authority to present a petition for our winding up to the Grand Court of the Cayman Islands on our behalf without the sanction of a resolution passed at a general meeting.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color w:val="auto"/>
        </w:rPr>
        <w:t>Diginex Limited’s Register of Members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Under the Companies Act, we must keep a register of members and there should be entered therein:</w:t>
      </w:r>
    </w:p>
    <w:p>
      <w:pPr>
        <w:spacing w:after="0" w:line="208" w:lineRule="exact"/>
        <w:rPr>
          <w:sz w:val="20"/>
          <w:szCs w:val="20"/>
          <w:color w:val="auto"/>
        </w:rPr>
      </w:pPr>
    </w:p>
    <w:p>
      <w:pPr>
        <w:ind w:left="1220" w:hanging="614"/>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and addresses of our shareholders, and, a statement of the shares held by each member, which:</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distinguishes each share by its number (so long as the share has a number);</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confirms the amount paid, or agreed to be considered as paid, on the shares of each member;</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confirms the number and category of shares held by each member; and</w:t>
      </w:r>
    </w:p>
    <w:p>
      <w:pPr>
        <w:spacing w:after="0" w:line="207" w:lineRule="exact"/>
        <w:rPr>
          <w:rFonts w:ascii="Times New Roman" w:cs="Times New Roman" w:eastAsia="Times New Roman" w:hAnsi="Times New Roman"/>
          <w:sz w:val="17"/>
          <w:szCs w:val="17"/>
          <w:color w:val="auto"/>
        </w:rPr>
      </w:pPr>
    </w:p>
    <w:p>
      <w:pPr>
        <w:ind w:left="1220" w:hanging="311"/>
        <w:spacing w:after="0" w:line="274" w:lineRule="auto"/>
        <w:tabs>
          <w:tab w:leader="none" w:pos="122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confirms whether each relevant category of shares held by a member carries voting rights under the articles of association of the company, and if so, whether such voting rights are conditional;</w:t>
      </w:r>
    </w:p>
    <w:p>
      <w:pPr>
        <w:spacing w:after="0" w:line="158"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name of any person was entered on the register as a shareholder; and</w:t>
      </w:r>
    </w:p>
    <w:p>
      <w:pPr>
        <w:spacing w:after="0" w:line="207"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any person ceased to be a shareholder.</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Under the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Companies Act to have legal title to the shares as set against its name in the register of members. Upon the completion of the IPO, the register of members was immediately updated to record and give effect to the issuance of shares by us to the custodian or its nominee. Once our register of members was updated, the shareholders recorded in the register of members were deemed to have legal title to the shares set against their name.</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Differences in Corporate Law</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Companies Act is derived, to a large extent, from the older Companies Acts of England and Wales but does not follow recent United Kingdom statutory enactments, and accordingly there are significant differences between the Companies Act and the current Companies Act of the UK. In addition, the Companies Act differs from laws applicable to United States corporations and their shareholders. Set forth below is a summary of certain significant differences between the provisions of the Companies Act applicable to us and the comparable laws applicable to companies incorporated in the State of Delaware in the United States and companies incorporated in Hong Kong.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2"/>
        </w:trPr>
        <w:tc>
          <w:tcPr>
            <w:tcW w:w="2960" w:type="dxa"/>
            <w:vAlign w:val="bottom"/>
            <w:vMerge w:val="restart"/>
          </w:tcPr>
          <w:p>
            <w:pPr>
              <w:jc w:val="center"/>
              <w:ind w:right="556"/>
              <w:spacing w:after="0"/>
              <w:rPr>
                <w:sz w:val="20"/>
                <w:szCs w:val="20"/>
                <w:color w:val="auto"/>
              </w:rPr>
            </w:pPr>
            <w:r>
              <w:rPr>
                <w:rFonts w:ascii="Times New Roman" w:cs="Times New Roman" w:eastAsia="Times New Roman" w:hAnsi="Times New Roman"/>
                <w:sz w:val="17"/>
                <w:szCs w:val="17"/>
                <w:i w:val="1"/>
                <w:iCs w:val="1"/>
                <w:color w:val="auto"/>
                <w:w w:val="97"/>
              </w:rPr>
              <w:t>Title of Organizational Documents</w:t>
            </w:r>
          </w:p>
        </w:tc>
        <w:tc>
          <w:tcPr>
            <w:tcW w:w="3400" w:type="dxa"/>
            <w:vAlign w:val="bottom"/>
            <w:gridSpan w:val="2"/>
          </w:tcPr>
          <w:p>
            <w:pPr>
              <w:ind w:left="136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0" w:type="dxa"/>
            <w:vAlign w:val="bottom"/>
          </w:tcPr>
          <w:p>
            <w:pPr>
              <w:spacing w:after="0"/>
              <w:rPr>
                <w:sz w:val="1"/>
                <w:szCs w:val="1"/>
                <w:color w:val="auto"/>
              </w:rPr>
            </w:pPr>
          </w:p>
        </w:tc>
      </w:tr>
      <w:tr>
        <w:trPr>
          <w:trHeight w:val="211"/>
        </w:trPr>
        <w:tc>
          <w:tcPr>
            <w:tcW w:w="2960" w:type="dxa"/>
            <w:vAlign w:val="bottom"/>
            <w:vMerge w:val="continue"/>
          </w:tcPr>
          <w:p>
            <w:pPr>
              <w:spacing w:after="0"/>
              <w:rPr>
                <w:sz w:val="18"/>
                <w:szCs w:val="18"/>
                <w:color w:val="auto"/>
              </w:rPr>
            </w:pPr>
          </w:p>
        </w:tc>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Certificate of Incorporation and Bylaws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960" w:type="dxa"/>
            <w:vAlign w:val="bottom"/>
          </w:tcPr>
          <w:p>
            <w:pPr>
              <w:jc w:val="center"/>
              <w:ind w:right="556"/>
              <w:spacing w:after="0"/>
              <w:rPr>
                <w:sz w:val="20"/>
                <w:szCs w:val="20"/>
                <w:color w:val="auto"/>
              </w:rPr>
            </w:pPr>
            <w:r>
              <w:rPr>
                <w:rFonts w:ascii="Times New Roman" w:cs="Times New Roman" w:eastAsia="Times New Roman" w:hAnsi="Times New Roman"/>
                <w:sz w:val="17"/>
                <w:szCs w:val="17"/>
                <w:i w:val="1"/>
                <w:iCs w:val="1"/>
                <w:color w:val="auto"/>
                <w:w w:val="97"/>
              </w:rPr>
              <w:t>Duties of Directors</w:t>
            </w: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Under Delaware law, the business and affairs of a</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corporation are managed by or under the direction</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  its  board  of  directors.  In  exercising  their</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powers, directors are charged with a fiduciary</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duty  of  care  to  protect  the  interests  of  the</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corporation and a fiduciary duty of loyalty to act</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the best interests of its shareholders. The duty</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 care requires that directors act in an informed</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deliberative manner and inform themselves,</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prior  to  making  a  business  decision,  of  all</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material  information  reasonably  available  to</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them. The duty of care also requires that directors</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care in overseeing and investigating the</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conduct of the corporation’s employees. The duty</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 loyalty may be summarized as the duty to act</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good faith, not out of self-interest, and in a</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manner which the director reasonably believes to</w:t>
            </w:r>
          </w:p>
        </w:tc>
        <w:tc>
          <w:tcPr>
            <w:tcW w:w="0" w:type="dxa"/>
            <w:vAlign w:val="bottom"/>
          </w:tcPr>
          <w:p>
            <w:pPr>
              <w:spacing w:after="0"/>
              <w:rPr>
                <w:sz w:val="1"/>
                <w:szCs w:val="1"/>
                <w:color w:val="auto"/>
              </w:rPr>
            </w:pPr>
          </w:p>
        </w:tc>
      </w:tr>
      <w:tr>
        <w:trPr>
          <w:trHeight w:val="218"/>
        </w:trPr>
        <w:tc>
          <w:tcPr>
            <w:tcW w:w="29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 in the best interests of the shareholders.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2960" w:hanging="3346"/>
        <w:spacing w:after="0" w:line="249" w:lineRule="auto"/>
        <w:tabs>
          <w:tab w:leader="none" w:pos="2940" w:val="left"/>
        </w:tabs>
        <w:rPr>
          <w:sz w:val="20"/>
          <w:szCs w:val="20"/>
          <w:color w:val="auto"/>
        </w:rPr>
      </w:pPr>
      <w:r>
        <w:rPr>
          <w:rFonts w:ascii="Times New Roman" w:cs="Times New Roman" w:eastAsia="Times New Roman" w:hAnsi="Times New Roman"/>
          <w:sz w:val="17"/>
          <w:szCs w:val="17"/>
          <w:i w:val="1"/>
          <w:iCs w:val="1"/>
          <w:color w:val="auto"/>
        </w:rPr>
        <w:t>Limitations on Personal Liability of Directors</w:t>
      </w:r>
      <w:r>
        <w:rPr>
          <w:sz w:val="20"/>
          <w:szCs w:val="20"/>
          <w:color w:val="auto"/>
        </w:rPr>
        <w:tab/>
      </w:r>
      <w:r>
        <w:rPr>
          <w:rFonts w:ascii="Times New Roman" w:cs="Times New Roman" w:eastAsia="Times New Roman" w:hAnsi="Times New Roman"/>
          <w:sz w:val="17"/>
          <w:szCs w:val="17"/>
          <w:color w:val="auto"/>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p>
      <w:pPr>
        <w:spacing w:after="0" w:line="19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wp:posOffset>
            </wp:positionH>
            <wp:positionV relativeFrom="paragraph">
              <wp:posOffset>14605</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Certificate of Incorporation and 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-262890</wp:posOffset>
            </wp:positionV>
            <wp:extent cx="27057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05735" cy="8255"/>
                    </a:xfrm>
                    <a:prstGeom prst="rect">
                      <a:avLst/>
                    </a:prstGeom>
                    <a:noFill/>
                  </pic:spPr>
                </pic:pic>
              </a:graphicData>
            </a:graphic>
          </wp:anchor>
        </w:drawing>
      </w:r>
    </w:p>
    <w:p>
      <w:pPr>
        <w:jc w:val="both"/>
        <w:spacing w:after="0" w:line="263" w:lineRule="auto"/>
        <w:rPr>
          <w:sz w:val="20"/>
          <w:szCs w:val="20"/>
          <w:color w:val="auto"/>
        </w:rPr>
      </w:pPr>
      <w:r>
        <w:rPr>
          <w:rFonts w:ascii="Times New Roman" w:cs="Times New Roman" w:eastAsia="Times New Roman" w:hAnsi="Times New Roman"/>
          <w:sz w:val="16"/>
          <w:szCs w:val="16"/>
          <w:color w:val="auto"/>
        </w:rPr>
        <w:t>As a matter of Cayman Islands law, a director owes three types of duties to the company: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w:t>
      </w:r>
    </w:p>
    <w:p>
      <w:pPr>
        <w:spacing w:after="0" w:line="1" w:lineRule="exact"/>
        <w:rPr>
          <w:sz w:val="20"/>
          <w:szCs w:val="20"/>
          <w:color w:val="auto"/>
        </w:rPr>
      </w:pPr>
    </w:p>
    <w:p>
      <w:pPr>
        <w:jc w:val="both"/>
        <w:ind w:firstLine="6"/>
        <w:spacing w:after="0" w:line="247" w:lineRule="auto"/>
        <w:tabs>
          <w:tab w:leader="none" w:pos="25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where certain duties owed by any of our directors are breached.</w:t>
      </w:r>
    </w:p>
    <w:p>
      <w:pPr>
        <w:spacing w:after="0" w:line="8" w:lineRule="exact"/>
        <w:rPr>
          <w:rFonts w:ascii="Times New Roman" w:cs="Times New Roman" w:eastAsia="Times New Roman" w:hAnsi="Times New Roman"/>
          <w:sz w:val="17"/>
          <w:szCs w:val="17"/>
          <w:color w:val="auto"/>
        </w:rPr>
      </w:pPr>
    </w:p>
    <w:p>
      <w:pPr>
        <w:jc w:val="both"/>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the indemnified person’s own fraud, dishonesty, willful default or willful neglect or against the consequences of committing a crime.</w:t>
      </w:r>
    </w:p>
    <w:p>
      <w:pPr>
        <w:sectPr>
          <w:pgSz w:w="11900" w:h="16838" w:orient="portrait"/>
          <w:cols w:equalWidth="0" w:num="2">
            <w:col w:w="6340" w:space="220"/>
            <w:col w:w="4260"/>
          </w:cols>
          <w:pgMar w:left="740" w:top="649" w:right="339" w:bottom="1440" w:gutter="0" w:footer="0" w:header="0"/>
        </w:sectPr>
      </w:pPr>
    </w:p>
    <w:bookmarkStart w:id="93" w:name="page94"/>
    <w:bookmarkEnd w:id="93"/>
    <w:p>
      <w:pPr>
        <w:spacing w:after="0"/>
        <w:tabs>
          <w:tab w:leader="none" w:pos="3340" w:val="left"/>
        </w:tabs>
        <w:rPr>
          <w:sz w:val="20"/>
          <w:szCs w:val="20"/>
          <w:color w:val="auto"/>
        </w:rPr>
      </w:pPr>
      <w:r>
        <w:rPr>
          <w:rFonts w:ascii="Times New Roman" w:cs="Times New Roman" w:eastAsia="Times New Roman" w:hAnsi="Times New Roman"/>
          <w:sz w:val="17"/>
          <w:szCs w:val="17"/>
          <w:i w:val="1"/>
          <w:iCs w:val="1"/>
          <w:color w:val="auto"/>
        </w:rPr>
        <w:t>Indemnification of Directors, Officers, Agents,</w:t>
      </w:r>
      <w:r>
        <w:rPr>
          <w:sz w:val="20"/>
          <w:szCs w:val="20"/>
          <w:color w:val="auto"/>
        </w:rPr>
        <w:tab/>
      </w:r>
      <w:r>
        <w:rPr>
          <w:rFonts w:ascii="Times New Roman" w:cs="Times New Roman" w:eastAsia="Times New Roman" w:hAnsi="Times New Roman"/>
          <w:sz w:val="17"/>
          <w:szCs w:val="17"/>
          <w:color w:val="auto"/>
        </w:rPr>
        <w:t>A corporation has the power to indemnify any</w:t>
      </w:r>
    </w:p>
    <w:p>
      <w:pPr>
        <w:spacing w:after="0" w:line="26" w:lineRule="exact"/>
        <w:rPr>
          <w:sz w:val="20"/>
          <w:szCs w:val="20"/>
          <w:color w:val="auto"/>
        </w:rPr>
      </w:pPr>
    </w:p>
    <w:p>
      <w:pPr>
        <w:jc w:val="both"/>
        <w:ind w:left="3360" w:hanging="2178"/>
        <w:spacing w:after="0" w:line="248" w:lineRule="auto"/>
        <w:tabs>
          <w:tab w:leader="none" w:pos="3340" w:val="left"/>
        </w:tabs>
        <w:rPr>
          <w:sz w:val="20"/>
          <w:szCs w:val="20"/>
          <w:color w:val="auto"/>
        </w:rPr>
      </w:pPr>
      <w:r>
        <w:rPr>
          <w:rFonts w:ascii="Times New Roman" w:cs="Times New Roman" w:eastAsia="Times New Roman" w:hAnsi="Times New Roman"/>
          <w:sz w:val="17"/>
          <w:szCs w:val="17"/>
          <w:i w:val="1"/>
          <w:iCs w:val="1"/>
          <w:color w:val="auto"/>
        </w:rPr>
        <w:t>and Others</w:t>
      </w:r>
      <w:r>
        <w:rPr>
          <w:sz w:val="20"/>
          <w:szCs w:val="20"/>
          <w:color w:val="auto"/>
        </w:rPr>
        <w:tab/>
      </w:r>
      <w:r>
        <w:rPr>
          <w:rFonts w:ascii="Times New Roman" w:cs="Times New Roman" w:eastAsia="Times New Roman" w:hAnsi="Times New Roman"/>
          <w:sz w:val="17"/>
          <w:szCs w:val="17"/>
          <w:color w:val="auto"/>
        </w:rPr>
        <w:t>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7"/>
          <w:szCs w:val="17"/>
          <w:color w:val="auto"/>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dishonesty willful default or willful neglect.</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amended and restated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p>
      <w:pPr>
        <w:sectPr>
          <w:pgSz w:w="11900" w:h="16838" w:orient="portrait"/>
          <w:cols w:equalWidth="0" w:num="2">
            <w:col w:w="6740" w:space="220"/>
            <w:col w:w="4260"/>
          </w:cols>
          <w:pgMar w:left="340" w:top="623"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17"/>
          <w:szCs w:val="17"/>
          <w:i w:val="1"/>
          <w:iCs w:val="1"/>
          <w:color w:val="auto"/>
        </w:rPr>
        <w:t>Interested Directors</w:t>
      </w:r>
      <w:r>
        <w:rPr>
          <w:sz w:val="20"/>
          <w:szCs w:val="20"/>
          <w:color w:val="auto"/>
        </w:rPr>
        <w:tab/>
      </w:r>
      <w:r>
        <w:rPr>
          <w:rFonts w:ascii="Times New Roman" w:cs="Times New Roman" w:eastAsia="Times New Roman" w:hAnsi="Times New Roman"/>
          <w:sz w:val="17"/>
          <w:szCs w:val="17"/>
          <w:color w:val="auto"/>
        </w:rPr>
        <w:t>Under Delaware law, a transaction in which a</w:t>
      </w:r>
    </w:p>
    <w:p>
      <w:pPr>
        <w:spacing w:after="0" w:line="2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director who has an interest in such transaction</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would not be voidable if (i) the material facts as</w:t>
      </w:r>
    </w:p>
    <w:p>
      <w:pPr>
        <w:spacing w:after="0" w:line="6" w:lineRule="exact"/>
        <w:rPr>
          <w:sz w:val="20"/>
          <w:szCs w:val="20"/>
          <w:color w:val="auto"/>
        </w:rPr>
      </w:pPr>
    </w:p>
    <w:p>
      <w:pPr>
        <w:ind w:left="2480"/>
        <w:spacing w:after="0"/>
        <w:tabs>
          <w:tab w:leader="none" w:pos="2740" w:val="left"/>
          <w:tab w:leader="none" w:pos="3180" w:val="left"/>
          <w:tab w:leader="none" w:pos="3980" w:val="left"/>
          <w:tab w:leader="none" w:pos="4760" w:val="left"/>
          <w:tab w:leader="none" w:pos="5680" w:val="left"/>
        </w:tabs>
        <w:rPr>
          <w:sz w:val="20"/>
          <w:szCs w:val="20"/>
          <w:color w:val="auto"/>
        </w:rPr>
      </w:pPr>
      <w:r>
        <w:rPr>
          <w:rFonts w:ascii="Times New Roman" w:cs="Times New Roman" w:eastAsia="Times New Roman" w:hAnsi="Times New Roman"/>
          <w:sz w:val="17"/>
          <w:szCs w:val="17"/>
          <w:color w:val="auto"/>
        </w:rPr>
        <w:t>to</w:t>
        <w:tab/>
        <w:t>such</w:t>
        <w:tab/>
        <w:t>interested</w:t>
        <w:tab/>
        <w:t>director’s</w:t>
        <w:tab/>
        <w:t>relationship</w:t>
      </w:r>
      <w:r>
        <w:rPr>
          <w:sz w:val="20"/>
          <w:szCs w:val="20"/>
          <w:color w:val="auto"/>
        </w:rPr>
        <w:tab/>
      </w:r>
      <w:r>
        <w:rPr>
          <w:rFonts w:ascii="Times New Roman" w:cs="Times New Roman" w:eastAsia="Times New Roman" w:hAnsi="Times New Roman"/>
          <w:sz w:val="16"/>
          <w:szCs w:val="16"/>
          <w:color w:val="auto"/>
        </w:rPr>
        <w:t>or</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interests are disclosed or are known to the board</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color w:val="auto"/>
        </w:rPr>
        <w:t>of directors and the board in good faith authorizes</w:t>
      </w:r>
    </w:p>
    <w:p>
      <w:pPr>
        <w:spacing w:after="0" w:line="1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transaction  by  the  affirmative  vote  of  a</w:t>
      </w:r>
    </w:p>
    <w:p>
      <w:pPr>
        <w:spacing w:after="0" w:line="6" w:lineRule="exact"/>
        <w:rPr>
          <w:sz w:val="20"/>
          <w:szCs w:val="20"/>
          <w:color w:val="auto"/>
        </w:rPr>
      </w:pPr>
    </w:p>
    <w:p>
      <w:pPr>
        <w:ind w:left="2480"/>
        <w:spacing w:after="0"/>
        <w:tabs>
          <w:tab w:leader="none" w:pos="3160" w:val="left"/>
          <w:tab w:leader="none" w:pos="3440" w:val="left"/>
          <w:tab w:leader="none" w:pos="3780" w:val="left"/>
          <w:tab w:leader="none" w:pos="4760" w:val="left"/>
          <w:tab w:leader="none" w:pos="5520" w:val="left"/>
        </w:tabs>
        <w:rPr>
          <w:sz w:val="20"/>
          <w:szCs w:val="20"/>
          <w:color w:val="auto"/>
        </w:rPr>
      </w:pPr>
      <w:r>
        <w:rPr>
          <w:rFonts w:ascii="Times New Roman" w:cs="Times New Roman" w:eastAsia="Times New Roman" w:hAnsi="Times New Roman"/>
          <w:sz w:val="17"/>
          <w:szCs w:val="17"/>
          <w:color w:val="auto"/>
        </w:rPr>
        <w:t>majority</w:t>
        <w:tab/>
        <w:t>of</w:t>
        <w:tab/>
        <w:t>the</w:t>
        <w:tab/>
        <w:t>disinterested</w:t>
        <w:tab/>
        <w:t>directors,</w:t>
      </w:r>
      <w:r>
        <w:rPr>
          <w:sz w:val="20"/>
          <w:szCs w:val="20"/>
          <w:color w:val="auto"/>
        </w:rPr>
        <w:tab/>
      </w:r>
      <w:r>
        <w:rPr>
          <w:rFonts w:ascii="Times New Roman" w:cs="Times New Roman" w:eastAsia="Times New Roman" w:hAnsi="Times New Roman"/>
          <w:sz w:val="16"/>
          <w:szCs w:val="16"/>
          <w:color w:val="auto"/>
        </w:rPr>
        <w:t>even</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though the disinterested directors are less than a</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quorum, (ii) such material facts are disclosed or</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are known to the shareholders entitled to vote on</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color w:val="auto"/>
        </w:rPr>
        <w:t>such transaction and the transaction is specifically</w:t>
      </w:r>
    </w:p>
    <w:p>
      <w:pPr>
        <w:spacing w:after="0" w:line="18" w:lineRule="exact"/>
        <w:rPr>
          <w:sz w:val="20"/>
          <w:szCs w:val="20"/>
          <w:color w:val="auto"/>
        </w:rPr>
      </w:pPr>
    </w:p>
    <w:p>
      <w:pPr>
        <w:ind w:left="2480"/>
        <w:spacing w:after="0"/>
        <w:tabs>
          <w:tab w:leader="none" w:pos="3240" w:val="left"/>
          <w:tab w:leader="none" w:pos="3540" w:val="left"/>
          <w:tab w:leader="none" w:pos="4040" w:val="left"/>
          <w:tab w:leader="none" w:pos="4520" w:val="left"/>
          <w:tab w:leader="none" w:pos="4860" w:val="left"/>
          <w:tab w:leader="none" w:pos="5320" w:val="left"/>
          <w:tab w:leader="none" w:pos="5620" w:val="left"/>
        </w:tabs>
        <w:rPr>
          <w:sz w:val="20"/>
          <w:szCs w:val="20"/>
          <w:color w:val="auto"/>
        </w:rPr>
      </w:pPr>
      <w:r>
        <w:rPr>
          <w:rFonts w:ascii="Times New Roman" w:cs="Times New Roman" w:eastAsia="Times New Roman" w:hAnsi="Times New Roman"/>
          <w:sz w:val="17"/>
          <w:szCs w:val="17"/>
          <w:color w:val="auto"/>
        </w:rPr>
        <w:t>approved</w:t>
        <w:tab/>
        <w:t>in</w:t>
        <w:tab/>
        <w:t>good</w:t>
        <w:tab/>
        <w:t>faith</w:t>
        <w:tab/>
        <w:t>by</w:t>
        <w:tab/>
        <w:t>vote</w:t>
        <w:tab/>
        <w:t>of</w:t>
      </w:r>
      <w:r>
        <w:rPr>
          <w:sz w:val="20"/>
          <w:szCs w:val="20"/>
          <w:color w:val="auto"/>
        </w:rPr>
        <w:tab/>
      </w:r>
      <w:r>
        <w:rPr>
          <w:rFonts w:ascii="Times New Roman" w:cs="Times New Roman" w:eastAsia="Times New Roman" w:hAnsi="Times New Roman"/>
          <w:sz w:val="16"/>
          <w:szCs w:val="16"/>
          <w:color w:val="auto"/>
        </w:rPr>
        <w:t>the</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shareholders, or (iii) the transaction is fair as to</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the corporation as of the time it is authorized,</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approved or  ratified.  Under  Delaware  law,  a</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6"/>
          <w:szCs w:val="16"/>
          <w:color w:val="auto"/>
        </w:rPr>
        <w:t>director could be held liable for any transaction in</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which such director derived an improper personal</w:t>
      </w:r>
    </w:p>
    <w:p>
      <w:pPr>
        <w:spacing w:after="0" w:line="6"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14605</wp:posOffset>
            </wp:positionV>
            <wp:extent cx="71412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7"/>
          <w:szCs w:val="17"/>
          <w:color w:val="auto"/>
        </w:rPr>
        <w:t>No such existing or former director (including alternate director), secretary or officer, however, shall be indemnified in respect of any matter arising out of his own dishonesty, fraud, willful default or willful neglect.</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Interested director transactions are governed by the terms of a company’s memorandum and articles of association.</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Articles provide that 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applicable listing rules and disqualification by the chairman of the relevant board meeting, a Director may vote in respect of any contract or transaction or proposed contract or transaction notwithstanding that he may be interested therein provided the director discloses to his fellow directors the nature and extent of any material interests in respect of any contract or transaction or proposed contract or transaction and if he does so his vote shall be counted and he may be counted in the quorum at any meeting of the directors at which any such contract or transaction or proposed contract or transaction shall come before the meeting for consideration.:</w:t>
      </w:r>
    </w:p>
    <w:p>
      <w:pPr>
        <w:sectPr>
          <w:pgSz w:w="11900" w:h="16838" w:orient="portrait"/>
          <w:cols w:equalWidth="0" w:num="2">
            <w:col w:w="5860" w:space="220"/>
            <w:col w:w="4260"/>
          </w:cols>
          <w:pgMar w:left="1220" w:top="627" w:right="339" w:bottom="1440" w:gutter="0" w:footer="0" w:header="0"/>
        </w:sectPr>
      </w:pPr>
    </w:p>
    <w:bookmarkStart w:id="95" w:name="page96"/>
    <w:bookmarkEnd w:id="95"/>
    <w:p>
      <w:pPr>
        <w:spacing w:after="0"/>
        <w:tabs>
          <w:tab w:leader="none" w:pos="2480" w:val="left"/>
        </w:tabs>
        <w:rPr>
          <w:sz w:val="20"/>
          <w:szCs w:val="20"/>
          <w:color w:val="auto"/>
        </w:rPr>
      </w:pPr>
      <w:r>
        <w:rPr>
          <w:rFonts w:ascii="Times New Roman" w:cs="Times New Roman" w:eastAsia="Times New Roman" w:hAnsi="Times New Roman"/>
          <w:sz w:val="17"/>
          <w:szCs w:val="17"/>
          <w:i w:val="1"/>
          <w:iCs w:val="1"/>
          <w:color w:val="auto"/>
        </w:rPr>
        <w:t>Voting Requirements</w:t>
      </w:r>
      <w:r>
        <w:rPr>
          <w:sz w:val="20"/>
          <w:szCs w:val="20"/>
          <w:color w:val="auto"/>
        </w:rPr>
        <w:tab/>
      </w:r>
      <w:r>
        <w:rPr>
          <w:rFonts w:ascii="Times New Roman" w:cs="Times New Roman" w:eastAsia="Times New Roman" w:hAnsi="Times New Roman"/>
          <w:sz w:val="17"/>
          <w:szCs w:val="17"/>
          <w:color w:val="auto"/>
        </w:rPr>
        <w:t>The certificate of incorporation may include a</w:t>
      </w:r>
    </w:p>
    <w:p>
      <w:pPr>
        <w:spacing w:after="0" w:line="2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color w:val="auto"/>
        </w:rPr>
        <w:t>provision requiring supermajority approval by the</w:t>
      </w:r>
    </w:p>
    <w:p>
      <w:pPr>
        <w:spacing w:after="0" w:line="1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color w:val="auto"/>
        </w:rPr>
        <w:t>directors or shareholders for any corporate action.</w:t>
      </w:r>
    </w:p>
    <w:p>
      <w:pPr>
        <w:spacing w:after="0" w:line="203"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In addition, under Delaware law, certain business</w:t>
      </w:r>
    </w:p>
    <w:p>
      <w:pPr>
        <w:spacing w:after="0" w:line="2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combinations involving interested shareholders</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require approval by a supermajority of the non-</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interested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2480" w:val="left"/>
        </w:tabs>
        <w:rPr>
          <w:sz w:val="20"/>
          <w:szCs w:val="20"/>
          <w:color w:val="auto"/>
        </w:rPr>
      </w:pPr>
      <w:r>
        <w:rPr>
          <w:rFonts w:ascii="Times New Roman" w:cs="Times New Roman" w:eastAsia="Times New Roman" w:hAnsi="Times New Roman"/>
          <w:sz w:val="17"/>
          <w:szCs w:val="17"/>
          <w:i w:val="1"/>
          <w:iCs w:val="1"/>
          <w:color w:val="auto"/>
        </w:rPr>
        <w:t>Voting for Directors</w:t>
      </w:r>
      <w:r>
        <w:rPr>
          <w:sz w:val="20"/>
          <w:szCs w:val="20"/>
          <w:color w:val="auto"/>
        </w:rPr>
        <w:tab/>
      </w:r>
      <w:r>
        <w:rPr>
          <w:rFonts w:ascii="Times New Roman" w:cs="Times New Roman" w:eastAsia="Times New Roman" w:hAnsi="Times New Roman"/>
          <w:sz w:val="17"/>
          <w:szCs w:val="17"/>
          <w:color w:val="auto"/>
        </w:rPr>
        <w:t>Under Delaware law, unless otherwise specified</w:t>
      </w:r>
    </w:p>
    <w:p>
      <w:pPr>
        <w:spacing w:after="0" w:line="2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color w:val="auto"/>
        </w:rPr>
        <w:t>in the certificate of incorporation or bylaws of the</w:t>
      </w:r>
    </w:p>
    <w:p>
      <w:pPr>
        <w:spacing w:after="0" w:line="1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corporation,  directors  shall  be  elected  by  a</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plurality of the votes of the shares present in</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6"/>
          <w:szCs w:val="16"/>
          <w:color w:val="auto"/>
        </w:rPr>
        <w:t>person or represented by proxy at the meeting and</w:t>
      </w:r>
    </w:p>
    <w:p>
      <w:pPr>
        <w:spacing w:after="0" w:line="1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entitled to vote on the election of directors.</w:t>
      </w:r>
    </w:p>
    <w:p>
      <w:pPr>
        <w:spacing w:after="0" w:line="19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14605</wp:posOffset>
            </wp:positionV>
            <wp:extent cx="71412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7"/>
          <w:szCs w:val="17"/>
          <w:color w:val="auto"/>
        </w:rPr>
        <w:t>For the protection of shareholders, certain matters must be approved by special resolution of the shareholders as a matter of Cayman Islands law, including alteration of the memorandum or articles of association, appointment of inspectors to examine company affairs, reduction of share capital (subject, in relevant circumstances, to court approval), change of name, authorization of a plan of merger or transfer by way of continuation to another jurisdiction or consolidation or voluntary winding up of the company.</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Companies Act defines “special resolutions” only. A company’s memorandum and articles of association can therefore tailor the definition of “ordinary resolutions” as a whole, or with respect to specific provisions.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Director election is governed by the terms of the memorandum and articles of association.</w:t>
      </w:r>
    </w:p>
    <w:p>
      <w:pPr>
        <w:sectPr>
          <w:pgSz w:w="11900" w:h="16838" w:orient="portrait"/>
          <w:cols w:equalWidth="0" w:num="2">
            <w:col w:w="5880" w:space="220"/>
            <w:col w:w="4260"/>
          </w:cols>
          <w:pgMar w:left="1200" w:top="623"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6"/>
        </w:trPr>
        <w:tc>
          <w:tcPr>
            <w:tcW w:w="3060" w:type="dxa"/>
            <w:vAlign w:val="bottom"/>
          </w:tcPr>
          <w:p>
            <w:pPr>
              <w:jc w:val="center"/>
              <w:ind w:right="96"/>
              <w:spacing w:after="0"/>
              <w:rPr>
                <w:sz w:val="20"/>
                <w:szCs w:val="20"/>
                <w:color w:val="auto"/>
              </w:rPr>
            </w:pPr>
            <w:r>
              <w:rPr>
                <w:rFonts w:ascii="Times New Roman" w:cs="Times New Roman" w:eastAsia="Times New Roman" w:hAnsi="Times New Roman"/>
                <w:sz w:val="17"/>
                <w:szCs w:val="17"/>
                <w:i w:val="1"/>
                <w:iCs w:val="1"/>
                <w:color w:val="auto"/>
                <w:w w:val="96"/>
              </w:rPr>
              <w:t>Cumulative Voting</w:t>
            </w: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9"/>
              </w:rPr>
              <w:t>No cumulative voting for the election of directors</w:t>
            </w:r>
          </w:p>
        </w:tc>
      </w:tr>
      <w:tr>
        <w:trPr>
          <w:trHeight w:val="202"/>
        </w:trPr>
        <w:tc>
          <w:tcPr>
            <w:tcW w:w="3060" w:type="dxa"/>
            <w:vAlign w:val="bottom"/>
          </w:tcPr>
          <w:p>
            <w:pPr>
              <w:spacing w:after="0"/>
              <w:rPr>
                <w:sz w:val="17"/>
                <w:szCs w:val="17"/>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unless  so  provided  in  the  certificate  of</w:t>
            </w:r>
          </w:p>
        </w:tc>
      </w:tr>
      <w:tr>
        <w:trPr>
          <w:trHeight w:val="218"/>
        </w:trPr>
        <w:tc>
          <w:tcPr>
            <w:tcW w:w="306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incorporation.</w:t>
            </w:r>
          </w:p>
        </w:tc>
      </w:tr>
      <w:tr>
        <w:trPr>
          <w:trHeight w:val="387"/>
        </w:trPr>
        <w:tc>
          <w:tcPr>
            <w:tcW w:w="3060" w:type="dxa"/>
            <w:vAlign w:val="bottom"/>
          </w:tcPr>
          <w:p>
            <w:pPr>
              <w:jc w:val="center"/>
              <w:ind w:right="96"/>
              <w:spacing w:after="0"/>
              <w:rPr>
                <w:sz w:val="20"/>
                <w:szCs w:val="20"/>
                <w:color w:val="auto"/>
              </w:rPr>
            </w:pPr>
            <w:r>
              <w:rPr>
                <w:rFonts w:ascii="Times New Roman" w:cs="Times New Roman" w:eastAsia="Times New Roman" w:hAnsi="Times New Roman"/>
                <w:sz w:val="17"/>
                <w:szCs w:val="17"/>
                <w:i w:val="1"/>
                <w:iCs w:val="1"/>
                <w:color w:val="auto"/>
                <w:w w:val="97"/>
              </w:rPr>
              <w:t>Directors’ Powers Regarding Bylaws</w:t>
            </w: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certificate of incorporation may grant the</w:t>
            </w:r>
          </w:p>
        </w:tc>
      </w:tr>
      <w:tr>
        <w:trPr>
          <w:trHeight w:val="202"/>
        </w:trPr>
        <w:tc>
          <w:tcPr>
            <w:tcW w:w="3060" w:type="dxa"/>
            <w:vAlign w:val="bottom"/>
          </w:tcPr>
          <w:p>
            <w:pPr>
              <w:spacing w:after="0"/>
              <w:rPr>
                <w:sz w:val="17"/>
                <w:szCs w:val="17"/>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directors the power to adopt, amend or repeal</w:t>
            </w:r>
          </w:p>
        </w:tc>
      </w:tr>
      <w:tr>
        <w:trPr>
          <w:trHeight w:val="218"/>
        </w:trPr>
        <w:tc>
          <w:tcPr>
            <w:tcW w:w="306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bylaws.</w:t>
            </w:r>
          </w:p>
        </w:tc>
      </w:tr>
      <w:tr>
        <w:trPr>
          <w:trHeight w:val="383"/>
        </w:trPr>
        <w:tc>
          <w:tcPr>
            <w:tcW w:w="3060" w:type="dxa"/>
            <w:vAlign w:val="bottom"/>
          </w:tcPr>
          <w:p>
            <w:pPr>
              <w:jc w:val="center"/>
              <w:ind w:right="116"/>
              <w:spacing w:after="0"/>
              <w:rPr>
                <w:sz w:val="20"/>
                <w:szCs w:val="20"/>
                <w:color w:val="auto"/>
              </w:rPr>
            </w:pPr>
            <w:r>
              <w:rPr>
                <w:rFonts w:ascii="Times New Roman" w:cs="Times New Roman" w:eastAsia="Times New Roman" w:hAnsi="Times New Roman"/>
                <w:sz w:val="17"/>
                <w:szCs w:val="17"/>
                <w:i w:val="1"/>
                <w:iCs w:val="1"/>
                <w:color w:val="auto"/>
                <w:w w:val="98"/>
              </w:rPr>
              <w:t>Nomination and Removal of Directors and</w:t>
            </w: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Shareholders may generally nominate directors if</w:t>
            </w:r>
          </w:p>
        </w:tc>
      </w:tr>
      <w:tr>
        <w:trPr>
          <w:trHeight w:val="206"/>
        </w:trPr>
        <w:tc>
          <w:tcPr>
            <w:tcW w:w="3060" w:type="dxa"/>
            <w:vAlign w:val="bottom"/>
          </w:tcPr>
          <w:p>
            <w:pPr>
              <w:jc w:val="center"/>
              <w:ind w:right="96"/>
              <w:spacing w:after="0"/>
              <w:rPr>
                <w:sz w:val="20"/>
                <w:szCs w:val="20"/>
                <w:color w:val="auto"/>
              </w:rPr>
            </w:pPr>
            <w:r>
              <w:rPr>
                <w:rFonts w:ascii="Times New Roman" w:cs="Times New Roman" w:eastAsia="Times New Roman" w:hAnsi="Times New Roman"/>
                <w:sz w:val="17"/>
                <w:szCs w:val="17"/>
                <w:i w:val="1"/>
                <w:iCs w:val="1"/>
                <w:color w:val="auto"/>
                <w:w w:val="97"/>
              </w:rPr>
              <w:t>Filling Vacancies on Board</w:t>
            </w: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they comply with advance notice provisions and</w:t>
            </w:r>
          </w:p>
        </w:tc>
      </w:tr>
      <w:tr>
        <w:trPr>
          <w:trHeight w:val="202"/>
        </w:trPr>
        <w:tc>
          <w:tcPr>
            <w:tcW w:w="3060" w:type="dxa"/>
            <w:vAlign w:val="bottom"/>
          </w:tcPr>
          <w:p>
            <w:pPr>
              <w:spacing w:after="0"/>
              <w:rPr>
                <w:sz w:val="17"/>
                <w:szCs w:val="17"/>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procedural  requirements  in  company</w:t>
            </w:r>
          </w:p>
        </w:tc>
      </w:tr>
      <w:tr>
        <w:trPr>
          <w:trHeight w:val="202"/>
        </w:trPr>
        <w:tc>
          <w:tcPr>
            <w:tcW w:w="3060" w:type="dxa"/>
            <w:vAlign w:val="bottom"/>
          </w:tcPr>
          <w:p>
            <w:pPr>
              <w:spacing w:after="0"/>
              <w:rPr>
                <w:sz w:val="17"/>
                <w:szCs w:val="17"/>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bylaws. Holders of a majority of the shares may</w:t>
            </w:r>
          </w:p>
        </w:tc>
      </w:tr>
      <w:tr>
        <w:trPr>
          <w:trHeight w:val="202"/>
        </w:trPr>
        <w:tc>
          <w:tcPr>
            <w:tcW w:w="3060" w:type="dxa"/>
            <w:vAlign w:val="bottom"/>
          </w:tcPr>
          <w:p>
            <w:pPr>
              <w:spacing w:after="0"/>
              <w:rPr>
                <w:sz w:val="17"/>
                <w:szCs w:val="17"/>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8"/>
              </w:rPr>
              <w:t>remove a director with or without cause, except in</w:t>
            </w:r>
          </w:p>
        </w:tc>
      </w:tr>
      <w:tr>
        <w:trPr>
          <w:trHeight w:val="202"/>
        </w:trPr>
        <w:tc>
          <w:tcPr>
            <w:tcW w:w="3060" w:type="dxa"/>
            <w:vAlign w:val="bottom"/>
          </w:tcPr>
          <w:p>
            <w:pPr>
              <w:spacing w:after="0"/>
              <w:rPr>
                <w:sz w:val="17"/>
                <w:szCs w:val="17"/>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9"/>
              </w:rPr>
              <w:t>certain cases involving a classified board or if the</w:t>
            </w:r>
          </w:p>
        </w:tc>
      </w:tr>
      <w:tr>
        <w:trPr>
          <w:trHeight w:val="202"/>
        </w:trPr>
        <w:tc>
          <w:tcPr>
            <w:tcW w:w="3060" w:type="dxa"/>
            <w:vAlign w:val="bottom"/>
          </w:tcPr>
          <w:p>
            <w:pPr>
              <w:spacing w:after="0"/>
              <w:rPr>
                <w:sz w:val="17"/>
                <w:szCs w:val="17"/>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company  uses  cumulative  voting.  Unless</w:t>
            </w:r>
          </w:p>
        </w:tc>
      </w:tr>
      <w:tr>
        <w:trPr>
          <w:trHeight w:val="202"/>
        </w:trPr>
        <w:tc>
          <w:tcPr>
            <w:tcW w:w="3060" w:type="dxa"/>
            <w:vAlign w:val="bottom"/>
          </w:tcPr>
          <w:p>
            <w:pPr>
              <w:spacing w:after="0"/>
              <w:rPr>
                <w:sz w:val="17"/>
                <w:szCs w:val="17"/>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otherwise  provided  for  in  the  certificate  of</w:t>
            </w:r>
          </w:p>
        </w:tc>
      </w:tr>
      <w:tr>
        <w:trPr>
          <w:trHeight w:val="202"/>
        </w:trPr>
        <w:tc>
          <w:tcPr>
            <w:tcW w:w="3060" w:type="dxa"/>
            <w:vAlign w:val="bottom"/>
          </w:tcPr>
          <w:p>
            <w:pPr>
              <w:spacing w:after="0"/>
              <w:rPr>
                <w:sz w:val="17"/>
                <w:szCs w:val="17"/>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99"/>
              </w:rPr>
              <w:t>incorporation, directorship vacancies are filled by</w:t>
            </w:r>
          </w:p>
        </w:tc>
      </w:tr>
      <w:tr>
        <w:trPr>
          <w:trHeight w:val="202"/>
        </w:trPr>
        <w:tc>
          <w:tcPr>
            <w:tcW w:w="3060" w:type="dxa"/>
            <w:vAlign w:val="bottom"/>
          </w:tcPr>
          <w:p>
            <w:pPr>
              <w:spacing w:after="0"/>
              <w:rPr>
                <w:sz w:val="17"/>
                <w:szCs w:val="17"/>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 majority of the directors elected or then in</w:t>
            </w:r>
          </w:p>
        </w:tc>
      </w:tr>
      <w:tr>
        <w:trPr>
          <w:trHeight w:val="218"/>
        </w:trPr>
        <w:tc>
          <w:tcPr>
            <w:tcW w:w="3060" w:type="dxa"/>
            <w:vAlign w:val="bottom"/>
          </w:tcPr>
          <w:p>
            <w:pPr>
              <w:spacing w:after="0"/>
              <w:rPr>
                <w:sz w:val="18"/>
                <w:szCs w:val="18"/>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office.</w:t>
            </w:r>
          </w:p>
        </w:tc>
      </w:tr>
      <w:tr>
        <w:trPr>
          <w:trHeight w:val="403"/>
        </w:trPr>
        <w:tc>
          <w:tcPr>
            <w:tcW w:w="3060" w:type="dxa"/>
            <w:vAlign w:val="bottom"/>
          </w:tcPr>
          <w:p>
            <w:pPr>
              <w:spacing w:after="0"/>
              <w:rPr>
                <w:sz w:val="24"/>
                <w:szCs w:val="24"/>
                <w:color w:val="auto"/>
              </w:rPr>
            </w:pPr>
          </w:p>
        </w:tc>
        <w:tc>
          <w:tcPr>
            <w:tcW w:w="356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0</wp:posOffset>
            </wp:positionV>
            <wp:extent cx="71412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7"/>
          <w:szCs w:val="17"/>
          <w:color w:val="auto"/>
        </w:rPr>
        <w:t>There are no prohibitions in relation to cumulative voting under the Companies Act but our amended and restated articles of association do not provide for cumulative voting.</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memorandum and articles of association may only be amended by a special resolution of the shareholders.</w:t>
      </w: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Nomination and removal of directors and filling of board vacancies are governed by the terms of the memorandum and articles of association.</w:t>
      </w:r>
    </w:p>
    <w:p>
      <w:pPr>
        <w:sectPr>
          <w:pgSz w:w="11900" w:h="16838" w:orient="portrait"/>
          <w:cols w:equalWidth="0" w:num="2">
            <w:col w:w="6620" w:space="220"/>
            <w:col w:w="4260"/>
          </w:cols>
          <w:pgMar w:left="460" w:top="623" w:right="339" w:bottom="1440" w:gutter="0" w:footer="0" w:header="0"/>
        </w:sectPr>
      </w:pPr>
    </w:p>
    <w:bookmarkStart w:id="97" w:name="page98"/>
    <w:bookmarkEnd w:id="97"/>
    <w:p>
      <w:pPr>
        <w:spacing w:after="0"/>
        <w:tabs>
          <w:tab w:leader="none" w:pos="2980" w:val="left"/>
        </w:tabs>
        <w:rPr>
          <w:sz w:val="20"/>
          <w:szCs w:val="20"/>
          <w:color w:val="auto"/>
        </w:rPr>
      </w:pPr>
      <w:r>
        <w:rPr>
          <w:rFonts w:ascii="Times New Roman" w:cs="Times New Roman" w:eastAsia="Times New Roman" w:hAnsi="Times New Roman"/>
          <w:sz w:val="17"/>
          <w:szCs w:val="17"/>
          <w:i w:val="1"/>
          <w:iCs w:val="1"/>
          <w:color w:val="auto"/>
        </w:rPr>
        <w:t>Mergers and Similar Arrangements</w:t>
      </w:r>
      <w:r>
        <w:rPr>
          <w:sz w:val="20"/>
          <w:szCs w:val="20"/>
          <w:color w:val="auto"/>
        </w:rPr>
        <w:tab/>
      </w:r>
      <w:r>
        <w:rPr>
          <w:rFonts w:ascii="Times New Roman" w:cs="Times New Roman" w:eastAsia="Times New Roman" w:hAnsi="Times New Roman"/>
          <w:sz w:val="17"/>
          <w:szCs w:val="17"/>
          <w:color w:val="auto"/>
        </w:rPr>
        <w:t>Under Delaware law, with certain exceptions, a</w:t>
      </w:r>
    </w:p>
    <w:p>
      <w:pPr>
        <w:spacing w:after="0" w:line="26" w:lineRule="exact"/>
        <w:rPr>
          <w:sz w:val="20"/>
          <w:szCs w:val="20"/>
          <w:color w:val="auto"/>
        </w:rPr>
      </w:pPr>
    </w:p>
    <w:p>
      <w:pPr>
        <w:ind w:left="3000"/>
        <w:spacing w:after="0"/>
        <w:tabs>
          <w:tab w:leader="none" w:pos="3660" w:val="left"/>
          <w:tab w:leader="none" w:pos="4800" w:val="left"/>
          <w:tab w:leader="none" w:pos="5120" w:val="left"/>
          <w:tab w:leader="none" w:pos="5560" w:val="left"/>
          <w:tab w:leader="none" w:pos="5860" w:val="left"/>
          <w:tab w:leader="none" w:pos="6220" w:val="left"/>
        </w:tabs>
        <w:rPr>
          <w:sz w:val="20"/>
          <w:szCs w:val="20"/>
          <w:color w:val="auto"/>
        </w:rPr>
      </w:pPr>
      <w:r>
        <w:rPr>
          <w:rFonts w:ascii="Times New Roman" w:cs="Times New Roman" w:eastAsia="Times New Roman" w:hAnsi="Times New Roman"/>
          <w:sz w:val="17"/>
          <w:szCs w:val="17"/>
          <w:color w:val="auto"/>
        </w:rPr>
        <w:t>merger,</w:t>
        <w:tab/>
        <w:t>consolidation,</w:t>
        <w:tab/>
        <w:t>or</w:t>
        <w:tab/>
        <w:t>sale</w:t>
        <w:tab/>
        <w:t>of</w:t>
        <w:tab/>
        <w:t>all</w:t>
      </w:r>
      <w:r>
        <w:rPr>
          <w:sz w:val="20"/>
          <w:szCs w:val="20"/>
          <w:color w:val="auto"/>
        </w:rPr>
        <w:tab/>
      </w:r>
      <w:r>
        <w:rPr>
          <w:rFonts w:ascii="Times New Roman" w:cs="Times New Roman" w:eastAsia="Times New Roman" w:hAnsi="Times New Roman"/>
          <w:sz w:val="16"/>
          <w:szCs w:val="16"/>
          <w:color w:val="auto"/>
        </w:rPr>
        <w:t>or</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substantially all of the assets of a corporation</w:t>
      </w:r>
    </w:p>
    <w:p>
      <w:pPr>
        <w:spacing w:after="0" w:line="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must be approved by the board of directors and</w:t>
      </w:r>
    </w:p>
    <w:p>
      <w:pPr>
        <w:spacing w:after="0" w:line="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by a majority of the outstanding voting power of</w:t>
      </w:r>
    </w:p>
    <w:p>
      <w:pPr>
        <w:spacing w:after="0" w:line="6" w:lineRule="exact"/>
        <w:rPr>
          <w:sz w:val="20"/>
          <w:szCs w:val="20"/>
          <w:color w:val="auto"/>
        </w:rPr>
      </w:pPr>
    </w:p>
    <w:p>
      <w:pPr>
        <w:ind w:left="3000"/>
        <w:spacing w:after="0"/>
        <w:tabs>
          <w:tab w:leader="none" w:pos="3320" w:val="left"/>
          <w:tab w:leader="none" w:pos="3900" w:val="left"/>
          <w:tab w:leader="none" w:pos="4540" w:val="left"/>
          <w:tab w:leader="none" w:pos="4820" w:val="left"/>
          <w:tab w:leader="none" w:pos="5240" w:val="left"/>
          <w:tab w:leader="none" w:pos="5940" w:val="left"/>
        </w:tabs>
        <w:rPr>
          <w:sz w:val="20"/>
          <w:szCs w:val="20"/>
          <w:color w:val="auto"/>
        </w:rPr>
      </w:pPr>
      <w:r>
        <w:rPr>
          <w:rFonts w:ascii="Times New Roman" w:cs="Times New Roman" w:eastAsia="Times New Roman" w:hAnsi="Times New Roman"/>
          <w:sz w:val="17"/>
          <w:szCs w:val="17"/>
          <w:color w:val="auto"/>
        </w:rPr>
        <w:t>the</w:t>
        <w:tab/>
        <w:t>shares</w:t>
        <w:tab/>
        <w:t>entitled</w:t>
        <w:tab/>
        <w:t>to</w:t>
        <w:tab/>
        <w:t>vote</w:t>
        <w:tab/>
        <w:t>thereon.</w:t>
      </w:r>
      <w:r>
        <w:rPr>
          <w:sz w:val="20"/>
          <w:szCs w:val="20"/>
          <w:color w:val="auto"/>
        </w:rPr>
        <w:tab/>
      </w:r>
      <w:r>
        <w:rPr>
          <w:rFonts w:ascii="Times New Roman" w:cs="Times New Roman" w:eastAsia="Times New Roman" w:hAnsi="Times New Roman"/>
          <w:sz w:val="16"/>
          <w:szCs w:val="16"/>
          <w:color w:val="auto"/>
        </w:rPr>
        <w:t>Under</w:t>
      </w:r>
    </w:p>
    <w:p>
      <w:pPr>
        <w:spacing w:after="0" w:line="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Delaware law, a shareholder of a corporation</w:t>
      </w:r>
    </w:p>
    <w:p>
      <w:pPr>
        <w:spacing w:after="0" w:line="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participating in certain mergers are entitled to</w:t>
      </w:r>
    </w:p>
    <w:p>
      <w:pPr>
        <w:spacing w:after="0" w:line="6" w:lineRule="exact"/>
        <w:rPr>
          <w:sz w:val="20"/>
          <w:szCs w:val="20"/>
          <w:color w:val="auto"/>
        </w:rPr>
      </w:pPr>
    </w:p>
    <w:p>
      <w:pPr>
        <w:ind w:left="3000"/>
        <w:spacing w:after="0"/>
        <w:tabs>
          <w:tab w:leader="none" w:pos="3780" w:val="left"/>
          <w:tab w:leader="none" w:pos="4340" w:val="left"/>
          <w:tab w:leader="none" w:pos="5120" w:val="left"/>
          <w:tab w:leader="none" w:pos="5440" w:val="left"/>
          <w:tab w:leader="none" w:pos="6040" w:val="left"/>
        </w:tabs>
        <w:rPr>
          <w:sz w:val="20"/>
          <w:szCs w:val="20"/>
          <w:color w:val="auto"/>
        </w:rPr>
      </w:pPr>
      <w:r>
        <w:rPr>
          <w:rFonts w:ascii="Times New Roman" w:cs="Times New Roman" w:eastAsia="Times New Roman" w:hAnsi="Times New Roman"/>
          <w:sz w:val="17"/>
          <w:szCs w:val="17"/>
          <w:color w:val="auto"/>
        </w:rPr>
        <w:t>appraisal</w:t>
        <w:tab/>
        <w:t>rights</w:t>
        <w:tab/>
        <w:t>pursuant</w:t>
        <w:tab/>
        <w:t>to</w:t>
        <w:tab/>
        <w:t>which</w:t>
        <w:tab/>
        <w:t>such</w:t>
      </w:r>
    </w:p>
    <w:p>
      <w:pPr>
        <w:spacing w:after="0" w:line="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6"/>
          <w:szCs w:val="16"/>
          <w:color w:val="auto"/>
        </w:rPr>
        <w:t>shareholder may receive cash in the amount of the</w:t>
      </w:r>
    </w:p>
    <w:p>
      <w:pPr>
        <w:spacing w:after="0" w:line="1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fair value (as determined by the Delaware Court</w:t>
      </w:r>
    </w:p>
    <w:p>
      <w:pPr>
        <w:spacing w:after="0" w:line="6" w:lineRule="exact"/>
        <w:rPr>
          <w:sz w:val="20"/>
          <w:szCs w:val="20"/>
          <w:color w:val="auto"/>
        </w:rPr>
      </w:pPr>
    </w:p>
    <w:p>
      <w:pPr>
        <w:ind w:left="3000"/>
        <w:spacing w:after="0"/>
        <w:tabs>
          <w:tab w:leader="none" w:pos="3260" w:val="left"/>
          <w:tab w:leader="none" w:pos="4100" w:val="left"/>
          <w:tab w:leader="none" w:pos="4380" w:val="left"/>
          <w:tab w:leader="none" w:pos="4740" w:val="left"/>
          <w:tab w:leader="none" w:pos="5300" w:val="left"/>
          <w:tab w:leader="none" w:pos="5740" w:val="left"/>
          <w:tab w:leader="none" w:pos="6040" w:val="left"/>
        </w:tabs>
        <w:rPr>
          <w:sz w:val="20"/>
          <w:szCs w:val="20"/>
          <w:color w:val="auto"/>
        </w:rPr>
      </w:pPr>
      <w:r>
        <w:rPr>
          <w:rFonts w:ascii="Times New Roman" w:cs="Times New Roman" w:eastAsia="Times New Roman" w:hAnsi="Times New Roman"/>
          <w:sz w:val="17"/>
          <w:szCs w:val="17"/>
          <w:color w:val="auto"/>
        </w:rPr>
        <w:t>of</w:t>
        <w:tab/>
        <w:t>Chancery)</w:t>
        <w:tab/>
        <w:t>of</w:t>
        <w:tab/>
        <w:t>the</w:t>
        <w:tab/>
        <w:t>shares</w:t>
        <w:tab/>
        <w:t>held</w:t>
        <w:tab/>
        <w:t>by</w:t>
        <w:tab/>
        <w:t>such</w:t>
      </w:r>
    </w:p>
    <w:p>
      <w:pPr>
        <w:spacing w:after="0" w:line="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shareholder in lieu of the consideration such</w:t>
      </w:r>
    </w:p>
    <w:p>
      <w:pPr>
        <w:spacing w:after="0" w:line="6" w:lineRule="exact"/>
        <w:rPr>
          <w:sz w:val="20"/>
          <w:szCs w:val="20"/>
          <w:color w:val="auto"/>
        </w:rPr>
      </w:pPr>
    </w:p>
    <w:p>
      <w:pPr>
        <w:ind w:left="3000"/>
        <w:spacing w:after="0"/>
        <w:tabs>
          <w:tab w:leader="none" w:pos="3900" w:val="left"/>
          <w:tab w:leader="none" w:pos="4460" w:val="left"/>
          <w:tab w:leader="none" w:pos="5260" w:val="left"/>
          <w:tab w:leader="none" w:pos="5880" w:val="left"/>
          <w:tab w:leader="none" w:pos="6140" w:val="left"/>
        </w:tabs>
        <w:rPr>
          <w:sz w:val="20"/>
          <w:szCs w:val="20"/>
          <w:color w:val="auto"/>
        </w:rPr>
      </w:pPr>
      <w:r>
        <w:rPr>
          <w:rFonts w:ascii="Times New Roman" w:cs="Times New Roman" w:eastAsia="Times New Roman" w:hAnsi="Times New Roman"/>
          <w:sz w:val="17"/>
          <w:szCs w:val="17"/>
          <w:color w:val="auto"/>
        </w:rPr>
        <w:t>shareholder</w:t>
        <w:tab/>
        <w:t>would</w:t>
        <w:tab/>
        <w:t>otherwise</w:t>
        <w:tab/>
        <w:t>receive</w:t>
        <w:tab/>
        <w:t>in</w:t>
      </w:r>
      <w:r>
        <w:rPr>
          <w:sz w:val="20"/>
          <w:szCs w:val="20"/>
          <w:color w:val="auto"/>
        </w:rPr>
        <w:tab/>
      </w:r>
      <w:r>
        <w:rPr>
          <w:rFonts w:ascii="Times New Roman" w:cs="Times New Roman" w:eastAsia="Times New Roman" w:hAnsi="Times New Roman"/>
          <w:sz w:val="16"/>
          <w:szCs w:val="16"/>
          <w:color w:val="auto"/>
        </w:rPr>
        <w:t>the</w:t>
      </w:r>
    </w:p>
    <w:p>
      <w:pPr>
        <w:spacing w:after="0" w:line="6"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transaction.</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Companies Act provides for the merger or consolidation of two or more companies into a single entity. The legislation makes a distinction between a “consolidation” and a “merger.” In a consolidation, a new entity is formed from the combination of each participating company, and the separate consolidating parties, as a consequence, cease to exist and are each stricken by the Registrar of Companies. In a merger, one company remains as the surviving entity, having in effect absorbed the other merging parties that are then stricken and cease to exist.</w:t>
      </w:r>
    </w:p>
    <w:p>
      <w:pPr>
        <w:spacing w:after="0" w:line="1191" w:lineRule="exact"/>
        <w:rPr>
          <w:sz w:val="20"/>
          <w:szCs w:val="20"/>
          <w:color w:val="auto"/>
        </w:rPr>
      </w:pPr>
    </w:p>
    <w:p>
      <w:pPr>
        <w:sectPr>
          <w:pgSz w:w="11900" w:h="16838" w:orient="portrait"/>
          <w:cols w:equalWidth="0" w:num="2">
            <w:col w:w="6380" w:space="220"/>
            <w:col w:w="4260"/>
          </w:cols>
          <w:pgMar w:left="700" w:top="623" w:right="339" w:bottom="1440" w:gutter="0" w:footer="0" w:header="0"/>
        </w:sectPr>
      </w:pPr>
    </w:p>
    <w:p>
      <w:pPr>
        <w:jc w:val="both"/>
        <w:ind w:left="3000"/>
        <w:spacing w:after="0" w:line="269" w:lineRule="auto"/>
        <w:rPr>
          <w:sz w:val="20"/>
          <w:szCs w:val="20"/>
          <w:color w:val="auto"/>
        </w:rPr>
      </w:pPr>
      <w:r>
        <w:rPr>
          <w:rFonts w:ascii="Times New Roman" w:cs="Times New Roman" w:eastAsia="Times New Roman" w:hAnsi="Times New Roman"/>
          <w:sz w:val="16"/>
          <w:szCs w:val="16"/>
          <w:color w:val="auto"/>
        </w:rPr>
        <w:t>Delaware law also provides that a parent entity, by resolution of its board of directors, may merge with any subsidiary corporation, of which it owns at least 90% of each class of capital stock without a vote by shareholders of such subsidiary. Upon any such merger, dissenting shareholders of the subsidiary would have appraisal rights unless the subsidiary is wholly owned.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14605</wp:posOffset>
            </wp:positionV>
            <wp:extent cx="71412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7"/>
          <w:szCs w:val="17"/>
          <w:color w:val="auto"/>
        </w:rPr>
        <w:t>Two or more Cayman-registered companies may merge or consolidate. Cayman-registered companies may also merge or consolidate with foreign companies provided that the laws of the foreign jurisdiction permit such merger or consolidation.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Under the Companies Act, a plan of merger or consolidation shall be authorized by each constituent company by way of (i) a special resolution of the members of each such constituent company; and (ii) such other authorization, if any, as may be specified in such constituent company’s memorandum and articles of association.</w:t>
      </w:r>
    </w:p>
    <w:p>
      <w:pPr>
        <w:sectPr>
          <w:pgSz w:w="11900" w:h="16838" w:orient="portrait"/>
          <w:cols w:equalWidth="0" w:num="2">
            <w:col w:w="6380" w:space="220"/>
            <w:col w:w="4260"/>
          </w:cols>
          <w:pgMar w:left="700" w:top="623" w:right="339" w:bottom="1440" w:gutter="0" w:footer="0" w:header="0"/>
          <w:type w:val="continuous"/>
        </w:sectPr>
      </w:pPr>
    </w:p>
    <w:bookmarkStart w:id="98" w:name="page99"/>
    <w:bookmarkEnd w:id="98"/>
    <w:p>
      <w:pPr>
        <w:ind w:left="5860"/>
        <w:spacing w:after="0"/>
        <w:rPr>
          <w:sz w:val="20"/>
          <w:szCs w:val="20"/>
          <w:color w:val="auto"/>
        </w:rPr>
      </w:pPr>
      <w:r>
        <w:rPr>
          <w:rFonts w:ascii="Times New Roman" w:cs="Times New Roman" w:eastAsia="Times New Roman" w:hAnsi="Times New Roman"/>
          <w:sz w:val="17"/>
          <w:szCs w:val="17"/>
          <w:color w:val="auto"/>
        </w:rPr>
        <w:t>A merger between a Cayman parent company and its Cayman</w:t>
      </w:r>
    </w:p>
    <w:p>
      <w:pPr>
        <w:spacing w:after="0" w:line="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subsidiary or subsidiaries does not require authorization by a</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resolution of shareholders of that Cayman subsidiary if a copy</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of the plan of merger is given to every member of that Cayman</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subsidiary to be merged unless that member agrees otherwise.</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For this purpose a subsidiary is a company of which at least</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ninety percent (90%) of the votes are owned by the parent</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company.</w:t>
      </w:r>
    </w:p>
    <w:p>
      <w:pPr>
        <w:spacing w:after="0" w:line="1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The consent of each holder of a fixed or floating security</w:t>
      </w:r>
    </w:p>
    <w:p>
      <w:pPr>
        <w:spacing w:after="0" w:line="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interest over a constituent company is required unless this</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requirement is waived by a court in the Cayman Islands.</w:t>
      </w:r>
    </w:p>
    <w:p>
      <w:pPr>
        <w:spacing w:after="0" w:line="1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Save in certain circumstances, a dissentient shareholder of a</w:t>
      </w:r>
    </w:p>
    <w:p>
      <w:pPr>
        <w:spacing w:after="0" w:line="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Cayman constituent company is entitled to payment of the fair</w:t>
      </w:r>
    </w:p>
    <w:p>
      <w:pPr>
        <w:spacing w:after="0" w:line="6" w:lineRule="exact"/>
        <w:rPr>
          <w:sz w:val="20"/>
          <w:szCs w:val="20"/>
          <w:color w:val="auto"/>
        </w:rPr>
      </w:pPr>
    </w:p>
    <w:p>
      <w:pPr>
        <w:ind w:left="5860"/>
        <w:spacing w:after="0"/>
        <w:tabs>
          <w:tab w:leader="none" w:pos="6360" w:val="left"/>
          <w:tab w:leader="none" w:pos="6640" w:val="left"/>
          <w:tab w:leader="none" w:pos="6980" w:val="left"/>
          <w:tab w:leader="none" w:pos="7540" w:val="left"/>
          <w:tab w:leader="none" w:pos="8020" w:val="left"/>
          <w:tab w:leader="none" w:pos="8840" w:val="left"/>
          <w:tab w:leader="none" w:pos="9120" w:val="left"/>
          <w:tab w:leader="none" w:pos="9340" w:val="left"/>
          <w:tab w:leader="none" w:pos="9960" w:val="left"/>
        </w:tabs>
        <w:rPr>
          <w:sz w:val="20"/>
          <w:szCs w:val="20"/>
          <w:color w:val="auto"/>
        </w:rPr>
      </w:pPr>
      <w:r>
        <w:rPr>
          <w:rFonts w:ascii="Times New Roman" w:cs="Times New Roman" w:eastAsia="Times New Roman" w:hAnsi="Times New Roman"/>
          <w:sz w:val="17"/>
          <w:szCs w:val="17"/>
          <w:color w:val="auto"/>
        </w:rPr>
        <w:t>value</w:t>
        <w:tab/>
        <w:t>of</w:t>
        <w:tab/>
        <w:t>his</w:t>
        <w:tab/>
        <w:t>shares</w:t>
        <w:tab/>
        <w:t>upon</w:t>
        <w:tab/>
        <w:t>dissenting</w:t>
        <w:tab/>
        <w:t>to</w:t>
        <w:tab/>
        <w:t>a</w:t>
        <w:tab/>
        <w:t>merger</w:t>
      </w:r>
      <w:r>
        <w:rPr>
          <w:sz w:val="20"/>
          <w:szCs w:val="20"/>
          <w:color w:val="auto"/>
        </w:rPr>
        <w:tab/>
      </w:r>
      <w:r>
        <w:rPr>
          <w:rFonts w:ascii="Times New Roman" w:cs="Times New Roman" w:eastAsia="Times New Roman" w:hAnsi="Times New Roman"/>
          <w:sz w:val="16"/>
          <w:szCs w:val="16"/>
          <w:color w:val="auto"/>
        </w:rPr>
        <w:t>or</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consolidation. The exercise of appraisal rights will preclude</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the exercise of any other rights save for the right to seek relief</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on the grounds that the merger or consolidation is void or</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unlawful.</w:t>
      </w:r>
    </w:p>
    <w:p>
      <w:pPr>
        <w:spacing w:after="0" w:line="1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In addition, there are statutory provisions that facilitate the</w:t>
      </w:r>
    </w:p>
    <w:p>
      <w:pPr>
        <w:spacing w:after="0" w:line="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reconstruction and amalgamation of companies, provided that</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the arrangement is approved by seventy-five percent (75%) in</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value of the shareholders or class of shareholders, as the case</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may be, that are present and voting either in person or by</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proxy at a meeting, or meetings, convened for that purpose.</w:t>
      </w:r>
    </w:p>
    <w:p>
      <w:pPr>
        <w:spacing w:after="0" w:line="6" w:lineRule="exact"/>
        <w:rPr>
          <w:sz w:val="20"/>
          <w:szCs w:val="20"/>
          <w:color w:val="auto"/>
        </w:rPr>
      </w:pPr>
    </w:p>
    <w:p>
      <w:pPr>
        <w:ind w:left="5860"/>
        <w:spacing w:after="0"/>
        <w:tabs>
          <w:tab w:leader="none" w:pos="6260" w:val="left"/>
          <w:tab w:leader="none" w:pos="7100" w:val="left"/>
          <w:tab w:leader="none" w:pos="7380" w:val="left"/>
          <w:tab w:leader="none" w:pos="7740" w:val="left"/>
          <w:tab w:leader="none" w:pos="8480" w:val="left"/>
          <w:tab w:leader="none" w:pos="8860" w:val="left"/>
          <w:tab w:leader="none" w:pos="9900" w:val="left"/>
        </w:tabs>
        <w:rPr>
          <w:sz w:val="20"/>
          <w:szCs w:val="20"/>
          <w:color w:val="auto"/>
        </w:rPr>
      </w:pPr>
      <w:r>
        <w:rPr>
          <w:rFonts w:ascii="Times New Roman" w:cs="Times New Roman" w:eastAsia="Times New Roman" w:hAnsi="Times New Roman"/>
          <w:sz w:val="17"/>
          <w:szCs w:val="17"/>
          <w:color w:val="auto"/>
        </w:rPr>
        <w:t>The</w:t>
        <w:tab/>
        <w:t>convening</w:t>
        <w:tab/>
        <w:t>of</w:t>
        <w:tab/>
        <w:t>the</w:t>
        <w:tab/>
        <w:t>meetings</w:t>
        <w:tab/>
        <w:t>and</w:t>
        <w:tab/>
        <w:t>subsequently</w:t>
      </w:r>
      <w:r>
        <w:rPr>
          <w:sz w:val="20"/>
          <w:szCs w:val="20"/>
          <w:color w:val="auto"/>
        </w:rPr>
        <w:tab/>
      </w:r>
      <w:r>
        <w:rPr>
          <w:rFonts w:ascii="Times New Roman" w:cs="Times New Roman" w:eastAsia="Times New Roman" w:hAnsi="Times New Roman"/>
          <w:sz w:val="16"/>
          <w:szCs w:val="16"/>
          <w:color w:val="auto"/>
        </w:rPr>
        <w:t>the</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arrangement must be sanctioned by the Grand Court of the</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Cayman Islands. While a dissenting shareholder has the right</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to express to the court the view that the transaction ought not</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to be approved, the court can be expected to approve the</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arrangement if it determines that:</w:t>
      </w:r>
    </w:p>
    <w:p>
      <w:pPr>
        <w:spacing w:after="0" w:line="192" w:lineRule="exact"/>
        <w:rPr>
          <w:sz w:val="20"/>
          <w:szCs w:val="20"/>
          <w:color w:val="auto"/>
        </w:rPr>
      </w:pPr>
    </w:p>
    <w:p>
      <w:pPr>
        <w:ind w:left="6080" w:hanging="214"/>
        <w:spacing w:after="0" w:line="274" w:lineRule="auto"/>
        <w:tabs>
          <w:tab w:leader="none" w:pos="60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statutory provisions as to the required majority vote have been met;</w:t>
      </w:r>
    </w:p>
    <w:p>
      <w:pPr>
        <w:spacing w:after="0" w:line="158" w:lineRule="exact"/>
        <w:rPr>
          <w:rFonts w:ascii="Times New Roman" w:cs="Times New Roman" w:eastAsia="Times New Roman" w:hAnsi="Times New Roman"/>
          <w:sz w:val="17"/>
          <w:szCs w:val="17"/>
          <w:color w:val="auto"/>
        </w:rPr>
      </w:pPr>
    </w:p>
    <w:p>
      <w:pPr>
        <w:ind w:left="6080" w:hanging="214"/>
        <w:spacing w:after="0" w:line="274" w:lineRule="auto"/>
        <w:tabs>
          <w:tab w:leader="none" w:pos="60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shareholders have been fairly represented at the meeting in question;</w:t>
      </w:r>
    </w:p>
    <w:p>
      <w:pPr>
        <w:spacing w:after="0" w:line="15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99" w:name="page100"/>
    <w:bookmarkEnd w:id="99"/>
    <w:p>
      <w:pPr>
        <w:jc w:val="both"/>
        <w:ind w:left="6080" w:hanging="214"/>
        <w:spacing w:after="0" w:line="261" w:lineRule="auto"/>
        <w:tabs>
          <w:tab w:leader="none" w:pos="60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such that may be reasonably approved by an intelligent and honest man of that class acting in respect of his interest; and</w:t>
      </w:r>
    </w:p>
    <w:p>
      <w:pPr>
        <w:spacing w:after="0" w:line="169" w:lineRule="exact"/>
        <w:rPr>
          <w:rFonts w:ascii="Times New Roman" w:cs="Times New Roman" w:eastAsia="Times New Roman" w:hAnsi="Times New Roman"/>
          <w:sz w:val="17"/>
          <w:szCs w:val="17"/>
          <w:color w:val="auto"/>
        </w:rPr>
      </w:pPr>
    </w:p>
    <w:p>
      <w:pPr>
        <w:jc w:val="both"/>
        <w:ind w:left="6080" w:hanging="214"/>
        <w:spacing w:after="0" w:line="261" w:lineRule="auto"/>
        <w:tabs>
          <w:tab w:leader="none" w:pos="60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not one that would more properly be sanctioned under some other provision of the Companies Act or that would amount to a “fraud on the minority”.</w:t>
      </w:r>
    </w:p>
    <w:p>
      <w:pPr>
        <w:spacing w:after="0" w:line="16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When a takeover offer is made and accepted by holders of not</w:t>
      </w:r>
    </w:p>
    <w:p>
      <w:pPr>
        <w:spacing w:after="0" w:line="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less than 90.0% of the shares affected within four (4) months,</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the offeror may, within a two (2) month period commencing on</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the expiration of such four (4) month period, require the</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holders of the remaining shares to transfer such shares on the</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terms of the offer. An objection can be made to the Grand</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Court of the Cayman Islands, but this is unlikely to succeed in</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the case of an offer which has been so approved unless there is</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evidence of fraud, bad faith or collusion.</w:t>
      </w:r>
    </w:p>
    <w:p>
      <w:pPr>
        <w:spacing w:after="0" w:line="1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If an arrangement and reconstruction is thus approved, the</w:t>
      </w:r>
    </w:p>
    <w:p>
      <w:pPr>
        <w:spacing w:after="0" w:line="2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dissenting shareholder would have no rights comparable to</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appraisal rights, which would otherwise ordinarily be available</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6"/>
          <w:szCs w:val="16"/>
          <w:color w:val="auto"/>
        </w:rPr>
        <w:t>to dissenting shareholders of Delaware corporations, providing</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rights to receive payment in cash for the judicially determined</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value of the shares.</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27" w:right="339" w:bottom="1440" w:gutter="0" w:footer="0" w:header="0"/>
        </w:sectPr>
      </w:pPr>
    </w:p>
    <w:bookmarkStart w:id="100" w:name="page101"/>
    <w:bookmarkEnd w:id="100"/>
    <w:p>
      <w:pPr>
        <w:spacing w:after="0"/>
        <w:tabs>
          <w:tab w:leader="none" w:pos="3360" w:val="left"/>
        </w:tabs>
        <w:rPr>
          <w:sz w:val="20"/>
          <w:szCs w:val="20"/>
          <w:color w:val="auto"/>
        </w:rPr>
      </w:pPr>
      <w:r>
        <w:rPr>
          <w:rFonts w:ascii="Times New Roman" w:cs="Times New Roman" w:eastAsia="Times New Roman" w:hAnsi="Times New Roman"/>
          <w:sz w:val="17"/>
          <w:szCs w:val="17"/>
          <w:b w:val="1"/>
          <w:bCs w:val="1"/>
          <w:i w:val="1"/>
          <w:iCs w:val="1"/>
          <w:color w:val="auto"/>
        </w:rPr>
        <w:t>Shareholder Suits</w:t>
      </w:r>
      <w:r>
        <w:rPr>
          <w:sz w:val="20"/>
          <w:szCs w:val="20"/>
          <w:color w:val="auto"/>
        </w:rPr>
        <w:tab/>
      </w:r>
      <w:r>
        <w:rPr>
          <w:rFonts w:ascii="Times New Roman" w:cs="Times New Roman" w:eastAsia="Times New Roman" w:hAnsi="Times New Roman"/>
          <w:sz w:val="17"/>
          <w:szCs w:val="17"/>
          <w:color w:val="auto"/>
        </w:rPr>
        <w:t>Class actions and derivative actions generally are</w:t>
      </w:r>
    </w:p>
    <w:p>
      <w:pPr>
        <w:spacing w:after="0" w:line="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available to shareholders under Delaware law for,</w:t>
      </w:r>
    </w:p>
    <w:p>
      <w:pPr>
        <w:spacing w:after="0" w:line="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among other things, breach of fiduciary duty,</w:t>
      </w:r>
    </w:p>
    <w:p>
      <w:pPr>
        <w:spacing w:after="0" w:line="6" w:lineRule="exact"/>
        <w:rPr>
          <w:sz w:val="20"/>
          <w:szCs w:val="20"/>
          <w:color w:val="auto"/>
        </w:rPr>
      </w:pPr>
    </w:p>
    <w:p>
      <w:pPr>
        <w:jc w:val="right"/>
        <w:spacing w:after="0"/>
        <w:tabs>
          <w:tab w:leader="none" w:pos="2580" w:val="left"/>
          <w:tab w:leader="none" w:pos="2040" w:val="left"/>
          <w:tab w:leader="none" w:pos="1640" w:val="left"/>
          <w:tab w:leader="none" w:pos="1000" w:val="left"/>
          <w:tab w:leader="none" w:pos="640" w:val="left"/>
          <w:tab w:leader="none" w:pos="120" w:val="left"/>
        </w:tabs>
        <w:rPr>
          <w:sz w:val="20"/>
          <w:szCs w:val="20"/>
          <w:color w:val="auto"/>
        </w:rPr>
      </w:pPr>
      <w:r>
        <w:rPr>
          <w:rFonts w:ascii="Times New Roman" w:cs="Times New Roman" w:eastAsia="Times New Roman" w:hAnsi="Times New Roman"/>
          <w:sz w:val="17"/>
          <w:szCs w:val="17"/>
          <w:color w:val="auto"/>
        </w:rPr>
        <w:t>corporate</w:t>
        <w:tab/>
        <w:t>waste</w:t>
        <w:tab/>
        <w:t>and</w:t>
        <w:tab/>
        <w:t>actions</w:t>
        <w:tab/>
        <w:t>not</w:t>
        <w:tab/>
        <w:t>taken</w:t>
        <w:tab/>
        <w:t>in</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accordance with applicable law.</w:t>
      </w:r>
    </w:p>
    <w:p>
      <w:pPr>
        <w:spacing w:after="0" w:line="19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In such actions, the court generally has discretion</w:t>
      </w:r>
    </w:p>
    <w:p>
      <w:pPr>
        <w:spacing w:after="0" w:line="2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to permit the winning party to recover attorneys’</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fees incurred in connection with such action but</w:t>
      </w:r>
    </w:p>
    <w:p>
      <w:pPr>
        <w:spacing w:after="0" w:line="6" w:lineRule="exact"/>
        <w:rPr>
          <w:sz w:val="20"/>
          <w:szCs w:val="20"/>
          <w:color w:val="auto"/>
        </w:rPr>
      </w:pPr>
    </w:p>
    <w:p>
      <w:pPr>
        <w:ind w:left="3380"/>
        <w:spacing w:after="0"/>
        <w:tabs>
          <w:tab w:leader="none" w:pos="3840" w:val="left"/>
          <w:tab w:leader="none" w:pos="4680" w:val="left"/>
          <w:tab w:leader="none" w:pos="4960" w:val="left"/>
          <w:tab w:leader="none" w:pos="5520" w:val="left"/>
          <w:tab w:leader="none" w:pos="6040" w:val="left"/>
        </w:tabs>
        <w:rPr>
          <w:sz w:val="20"/>
          <w:szCs w:val="20"/>
          <w:color w:val="auto"/>
        </w:rPr>
      </w:pPr>
      <w:r>
        <w:rPr>
          <w:rFonts w:ascii="Times New Roman" w:cs="Times New Roman" w:eastAsia="Times New Roman" w:hAnsi="Times New Roman"/>
          <w:sz w:val="17"/>
          <w:szCs w:val="17"/>
          <w:color w:val="auto"/>
        </w:rPr>
        <w:t>such</w:t>
        <w:tab/>
        <w:t>discretion</w:t>
        <w:tab/>
        <w:t>is</w:t>
        <w:tab/>
        <w:t>rarely</w:t>
        <w:tab/>
        <w:t>used.</w:t>
      </w:r>
      <w:r>
        <w:rPr>
          <w:sz w:val="20"/>
          <w:szCs w:val="20"/>
          <w:color w:val="auto"/>
        </w:rPr>
        <w:tab/>
      </w:r>
      <w:r>
        <w:rPr>
          <w:rFonts w:ascii="Times New Roman" w:cs="Times New Roman" w:eastAsia="Times New Roman" w:hAnsi="Times New Roman"/>
          <w:sz w:val="16"/>
          <w:szCs w:val="16"/>
          <w:color w:val="auto"/>
        </w:rPr>
        <w:t>Generally,</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Delaware follows the American rule under which</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each party bears its own costs.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7"/>
          <w:szCs w:val="17"/>
          <w:color w:val="auto"/>
        </w:rPr>
        <w:t>In principle, we will normally be the proper plaintiff and as a general rule a derivative action may not be brought by a minority shareholder. However, based on English authorities, which would in all likelihood be of persuasive authority in the Cayman Islands, there are exceptions to the foregoing principle, including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hanging="214"/>
        <w:spacing w:after="0"/>
        <w:tabs>
          <w:tab w:leader="none" w:pos="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acts or proposes to act illegally or ultra vires;</w:t>
      </w:r>
    </w:p>
    <w:p>
      <w:pPr>
        <w:spacing w:after="0" w:line="22" w:lineRule="exact"/>
        <w:rPr>
          <w:rFonts w:ascii="Times New Roman" w:cs="Times New Roman" w:eastAsia="Times New Roman" w:hAnsi="Times New Roman"/>
          <w:sz w:val="17"/>
          <w:szCs w:val="17"/>
          <w:color w:val="auto"/>
        </w:rPr>
      </w:pPr>
    </w:p>
    <w:p>
      <w:pPr>
        <w:jc w:val="both"/>
        <w:ind w:left="220" w:hanging="214"/>
        <w:spacing w:after="0" w:line="247" w:lineRule="auto"/>
        <w:tabs>
          <w:tab w:leader="none" w:pos="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 complained of, although not ultra vires, could only be effected duly if authorized by more than a simple majority vote that has not been obtained; and</w:t>
      </w:r>
    </w:p>
    <w:p>
      <w:pPr>
        <w:spacing w:after="0" w:line="1" w:lineRule="exact"/>
        <w:rPr>
          <w:rFonts w:ascii="Times New Roman" w:cs="Times New Roman" w:eastAsia="Times New Roman" w:hAnsi="Times New Roman"/>
          <w:sz w:val="17"/>
          <w:szCs w:val="17"/>
          <w:color w:val="auto"/>
        </w:rPr>
      </w:pPr>
    </w:p>
    <w:p>
      <w:pPr>
        <w:ind w:left="220" w:hanging="214"/>
        <w:spacing w:after="0" w:line="255" w:lineRule="auto"/>
        <w:tabs>
          <w:tab w:leader="none" w:pos="2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who control the company are perpetrating a “fraud on the minority.</w:t>
      </w:r>
    </w:p>
    <w:p>
      <w:pPr>
        <w:spacing w:after="0" w:line="170" w:lineRule="exact"/>
        <w:rPr>
          <w:sz w:val="20"/>
          <w:szCs w:val="20"/>
          <w:color w:val="auto"/>
        </w:rPr>
      </w:pPr>
    </w:p>
    <w:p>
      <w:pPr>
        <w:sectPr>
          <w:pgSz w:w="11900" w:h="16838" w:orient="portrait"/>
          <w:cols w:equalWidth="0" w:num="2">
            <w:col w:w="6760" w:space="220"/>
            <w:col w:w="4260"/>
          </w:cols>
          <w:pgMar w:left="320" w:top="623" w:right="339" w:bottom="1440" w:gutter="0" w:footer="0" w:header="0"/>
        </w:sectPr>
      </w:pPr>
    </w:p>
    <w:p>
      <w:pPr>
        <w:spacing w:after="0"/>
        <w:tabs>
          <w:tab w:leader="none" w:pos="3360" w:val="left"/>
          <w:tab w:leader="none" w:pos="3980" w:val="left"/>
          <w:tab w:leader="none" w:pos="4800" w:val="left"/>
          <w:tab w:leader="none" w:pos="5280" w:val="left"/>
          <w:tab w:leader="none" w:pos="6320" w:val="left"/>
          <w:tab w:leader="none" w:pos="6660" w:val="left"/>
        </w:tabs>
        <w:rPr>
          <w:sz w:val="20"/>
          <w:szCs w:val="20"/>
          <w:color w:val="auto"/>
        </w:rPr>
      </w:pPr>
      <w:r>
        <w:rPr>
          <w:rFonts w:ascii="Times New Roman" w:cs="Times New Roman" w:eastAsia="Times New Roman" w:hAnsi="Times New Roman"/>
          <w:sz w:val="17"/>
          <w:szCs w:val="17"/>
          <w:b w:val="1"/>
          <w:bCs w:val="1"/>
          <w:i w:val="1"/>
          <w:iCs w:val="1"/>
          <w:color w:val="auto"/>
        </w:rPr>
        <w:t>Inspection of Corporate Records</w:t>
      </w:r>
      <w:r>
        <w:rPr>
          <w:sz w:val="20"/>
          <w:szCs w:val="20"/>
          <w:color w:val="auto"/>
        </w:rPr>
        <w:tab/>
      </w:r>
      <w:r>
        <w:rPr>
          <w:rFonts w:ascii="Times New Roman" w:cs="Times New Roman" w:eastAsia="Times New Roman" w:hAnsi="Times New Roman"/>
          <w:sz w:val="17"/>
          <w:szCs w:val="17"/>
          <w:color w:val="auto"/>
        </w:rPr>
        <w:t>Under</w:t>
        <w:tab/>
        <w:t>Delaware</w:t>
        <w:tab/>
        <w:t>law,</w:t>
        <w:tab/>
        <w:t>shareholders</w:t>
        <w:tab/>
        <w:t>of</w:t>
      </w:r>
      <w:r>
        <w:rPr>
          <w:sz w:val="20"/>
          <w:szCs w:val="20"/>
          <w:color w:val="auto"/>
        </w:rPr>
        <w:tab/>
      </w:r>
      <w:r>
        <w:rPr>
          <w:rFonts w:ascii="Times New Roman" w:cs="Times New Roman" w:eastAsia="Times New Roman" w:hAnsi="Times New Roman"/>
          <w:sz w:val="13"/>
          <w:szCs w:val="13"/>
          <w:color w:val="auto"/>
        </w:rPr>
        <w:t>a</w:t>
      </w:r>
    </w:p>
    <w:p>
      <w:pPr>
        <w:spacing w:after="0" w:line="2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corporation, upon written demand under oath</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stating the purpose thereof, have the right during</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normal business hours to inspect for any proper</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color w:val="auto"/>
        </w:rPr>
        <w:t>purpose, and to make copies and extracts of list(s)</w:t>
      </w:r>
    </w:p>
    <w:p>
      <w:pPr>
        <w:spacing w:after="0" w:line="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of shareholders and other books and records of</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the corporation and its subsidiaries, if any, to the</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extent the books and records of such subsidiaries</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are available to the corporation.</w:t>
      </w:r>
    </w:p>
    <w:p>
      <w:pPr>
        <w:spacing w:after="0" w:line="1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7"/>
          <w:szCs w:val="17"/>
          <w:color w:val="auto"/>
        </w:rPr>
        <w:t>Shareholders of a Cayman Islands exempted company have no general right under Cayman Islands law to inspect or obtain copies of a list of shareholders or other corporate records (other than copies of our memorandum and articles, the register of mortgages or charges, and any special resolutions passed by our shareholders) of the company. However, these rights may be provided in the company’s memorandum and articles of association.</w:t>
      </w:r>
    </w:p>
    <w:p>
      <w:pPr>
        <w:sectPr>
          <w:pgSz w:w="11900" w:h="16838" w:orient="portrait"/>
          <w:cols w:equalWidth="0" w:num="2">
            <w:col w:w="6760" w:space="220"/>
            <w:col w:w="4260"/>
          </w:cols>
          <w:pgMar w:left="320" w:top="623"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Approval of Corporate Matters by Written Consent</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7"/>
          <w:szCs w:val="17"/>
          <w:color w:val="auto"/>
        </w:rPr>
        <w:t>Under Delaware law, a shareholder has the right to put any proposal before the annual meeting of shareholders, provided it complies with the notice provisions in the corporation’s governing documents. A special meeting may be called by the board of directors or any other person authorized to do so in the corporation’s governing documents, but shareholders may be precluded from calling special meetings.</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Delaware law permits shareholders to take action by written consent signed by the holders of outstanding shares having not less than the minimum number of votes that would be necessary to authorize or take such action at a meeting of shareholders unless otherwise provided in the corporation’s certificate of incorporation. A corporation must send prompt notice of the taking of the corporate action approved by shareholders without a meeting by less than unanimous written consent to those shareholders who have not consented in writing and who would have otherwise been entitled to notice of the meeting at which such action would have been taken.</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Companies Act does not provide shareholders any right to bring business before a meeting or requisition a general meeting. However, these rights may be provided in the company’s memorandum and articles of association.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shareholders are entitled to requisition a general meeting in accordance with the provisions of the Articles, but the Articles does not expressly provide for any shareholders proposal rights.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Companies Act allows a special resolution to be passed in writing if signed by all the voting shareholders (if authorized by the memorandum and articles of association).</w:t>
      </w:r>
    </w:p>
    <w:p>
      <w:pPr>
        <w:spacing w:after="0" w:line="2585" w:lineRule="exact"/>
        <w:rPr>
          <w:sz w:val="20"/>
          <w:szCs w:val="20"/>
          <w:color w:val="auto"/>
        </w:rPr>
      </w:pPr>
    </w:p>
    <w:p>
      <w:pPr>
        <w:sectPr>
          <w:pgSz w:w="11900" w:h="16838" w:orient="portrait"/>
          <w:cols w:equalWidth="0" w:num="3">
            <w:col w:w="2880" w:space="500"/>
            <w:col w:w="3380" w:space="220"/>
            <w:col w:w="4260"/>
          </w:cols>
          <w:pgMar w:left="320" w:top="623" w:right="339" w:bottom="1440" w:gutter="0" w:footer="0" w:header="0"/>
        </w:sect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Calling of Special Shareholders Meetings</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7"/>
          <w:szCs w:val="17"/>
          <w:color w:val="auto"/>
        </w:rPr>
        <w:t>Delaware law permits the board of directors or any person who is authorized under a corporation’s certificate of incorporation or bylaws to call a special meeting of shareholders.</w:t>
      </w:r>
    </w:p>
    <w:p>
      <w:pPr>
        <w:spacing w:after="0" w:line="17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-2145030</wp:posOffset>
            </wp:positionH>
            <wp:positionV relativeFrom="paragraph">
              <wp:posOffset>14605</wp:posOffset>
            </wp:positionV>
            <wp:extent cx="71412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Companies Act does not have provisions governing the proceedings of shareholders meetings which are usually provided in the memorandum and articles of association.</w:t>
      </w:r>
    </w:p>
    <w:p>
      <w:pPr>
        <w:sectPr>
          <w:pgSz w:w="11900" w:h="16838" w:orient="portrait"/>
          <w:cols w:equalWidth="0" w:num="3">
            <w:col w:w="2880" w:space="500"/>
            <w:col w:w="3380" w:space="220"/>
            <w:col w:w="4260"/>
          </w:cols>
          <w:pgMar w:left="320" w:top="623"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color w:val="auto"/>
        </w:rPr>
        <w:t>Anti-money Laundering — Cayman Islands</w:t>
      </w:r>
    </w:p>
    <w:p>
      <w:pPr>
        <w:spacing w:after="0" w:line="212"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51"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Depending on the circumstances of each application, a detailed verification of identity might not be required where:</w:t>
      </w:r>
    </w:p>
    <w:p>
      <w:pPr>
        <w:spacing w:after="0" w:line="169" w:lineRule="exact"/>
        <w:rPr>
          <w:sz w:val="20"/>
          <w:szCs w:val="20"/>
          <w:color w:val="auto"/>
        </w:rPr>
      </w:pPr>
    </w:p>
    <w:p>
      <w:pPr>
        <w:ind w:left="1220" w:hanging="614"/>
        <w:spacing w:after="0"/>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subscriber makes the payment for their investment from an account held in the subscriber’s name at a recognized financial institution; or</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subscriber is regulated by a recognized regulatory authority and is based or incorporated in, or formed under the law of, a recognized jurisdiction; or</w:t>
      </w:r>
    </w:p>
    <w:p>
      <w:pPr>
        <w:spacing w:after="0" w:line="158" w:lineRule="exact"/>
        <w:rPr>
          <w:rFonts w:ascii="Times New Roman" w:cs="Times New Roman" w:eastAsia="Times New Roman" w:hAnsi="Times New Roman"/>
          <w:sz w:val="17"/>
          <w:szCs w:val="17"/>
          <w:color w:val="auto"/>
        </w:rPr>
      </w:pPr>
    </w:p>
    <w:p>
      <w:pPr>
        <w:ind w:left="1220" w:hanging="614"/>
        <w:spacing w:after="0" w:line="307" w:lineRule="auto"/>
        <w:tabs>
          <w:tab w:leader="none" w:pos="122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34"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Data Protection in the Cayman Islands — Privacy Notice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This privacy notice explains the manner in which we collect, process, and maintain personal data about our investors pursuant to the Data Protection Act (Revised) of the Cayman Islands, as amended from time to time and any regulations, codes of practice, or orders promulgated pursuant thereto (the “DPA</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committed to processing personal data in accordance with the DPA. In our use of personal data, we will be characterized under the DPA as a “data controller,” whilst certain of our service providers, affiliates, and delegates may act as “data processors” under the DPA. These service providers may process personal information for their own lawful purposes in connection with services provided to us.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3" w:name="page104"/>
    <w:bookmarkEnd w:id="103"/>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By virtue of your investment in our Company, we and certain of our service providers may collect, record, store, transfer, and otherwise process personal data by which individuals may be directly or indirectly identified.</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Your personal data will be processed fairly and for lawful purposes, including (a) where the processing is necessary for us to perform a contract to which you are a party or for taking pre-contractual steps at your request, (b) where the processing is necessary for compliance with any legal, tax, or regulatory obligation to which we are subject, or (c) where the processing is for the purposes of legitimate interests pursued by us or by a service provider to whom the data are disclosed. As a data controller, we will only use your personal data for the purposes for which we collected it. If we need to use your personal data for an unrelated purpose, we will contact you.</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anticipate that we will share your personal data with our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Your personal data shall not be held by our Company for longer than necessary with regard to the purposes of the data processing.</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will not sell your personal data. Any transfer of personal data outside of the Cayman Islands shall be in accordance with the requirements of the DPA.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 necessary, we will ensure that separate and appropriate legal agreements are put in place with the recipient of that data.</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our Company, this will be relevant for those individuals and you should inform such individuals of the content.</w:t>
      </w:r>
    </w:p>
    <w:p>
      <w:pPr>
        <w:spacing w:after="0" w:line="169"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You have certain rights under the DPA, including (a) the right to be informed as to how we collect and use your personal data (and this privacy notice fulfils our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you consider that your personal data has not been handled correctly, or you are not satisfied with our responses to any requests you have made regarding the use of your personal data, you have the right to complain to the Cayman Islands’ Ombudsman. The Ombudsman can be contacted by calling +1 (345) 946-6283 or by email at info@ombudsman.ky.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Legislation of the Cayman Islands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Cayman Islands, together with several other non-European Union jurisdictions, have recently introduced legislation aimed at addressing concerns raised by the Council of the European Union as to offshore structures engaged in certain activities which attract profits without real economic activity. With effect from January 1, 2019, the International Tax Co-operation (Economic Substance) Act (Revised) (the “Substance Act”) came into force in the Cayman Islands introducing certain economic substance requirements for in-scope Cayman Islands entities which are engaged in certain “relevant activities,” which in the case of exempted companies incorporated before January 1, 2019, applies in respect of financial years commencing July 1, 2019, onwards. However, it is anticipated that our Company may remain out of scope of the legislation or else be subject to more limited substance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Anti-Takeover Provisions in our Charter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Pursuant to Rule 144 under the Securities Act (“Rule 144”), a person who has beneficially owned restricted Ordinary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Persons who have beneficially owned restricted Ordinary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69" w:lineRule="exact"/>
        <w:rPr>
          <w:sz w:val="20"/>
          <w:szCs w:val="20"/>
          <w:color w:val="auto"/>
        </w:rPr>
      </w:pPr>
    </w:p>
    <w:p>
      <w:pPr>
        <w:ind w:left="1220" w:hanging="614"/>
        <w:spacing w:after="0"/>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percent (1%) of the total number of shares of Ordinary Shares then issued and outstanding; or</w:t>
      </w:r>
    </w:p>
    <w:p>
      <w:pPr>
        <w:spacing w:after="0" w:line="207" w:lineRule="exact"/>
        <w:rPr>
          <w:rFonts w:ascii="Times New Roman" w:cs="Times New Roman" w:eastAsia="Times New Roman" w:hAnsi="Times New Roman"/>
          <w:sz w:val="17"/>
          <w:szCs w:val="17"/>
          <w:color w:val="auto"/>
        </w:rPr>
      </w:pPr>
    </w:p>
    <w:p>
      <w:pPr>
        <w:ind w:left="1220" w:hanging="614"/>
        <w:spacing w:after="0" w:line="274" w:lineRule="auto"/>
        <w:tabs>
          <w:tab w:leader="none" w:pos="12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of the Ordinary Shares during the four calendar weeks preceding the filing of a notice on Form 144 with respect to the sale.</w:t>
      </w:r>
    </w:p>
    <w:p>
      <w:pPr>
        <w:spacing w:after="0" w:line="159"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Sales by our affiliates under Rule 144 are also limited by manner of sale provisions and notice requirements and to the availability of current public information about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 of Securities</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Ordinary Shares are listed on the Nasdaq Capital Market under the symbol “DGNX”. In addition to the Nasdaq Capital Market, out Ordinary Shares are listed to trade on the Frankfurt Stock Exchange (Open Market) and the Tradegate Exchange under the symbol “I0Q.”</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321" w:gutter="0" w:footer="0" w:header="0"/>
        </w:sectPr>
      </w:pPr>
    </w:p>
    <w:bookmarkStart w:id="104" w:name="page105"/>
    <w:bookmarkEnd w:id="104"/>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SECURITYHOLDERS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the beneficial ownership, within the meaning of Rule 13d-3 under the Exchange Act, of our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Ordinary Shares as of the date of this prospectus, and as adjusted to reflect the sale of the Ordinary Shares offered in this offering for:</w:t>
      </w:r>
    </w:p>
    <w:p>
      <w:pPr>
        <w:spacing w:after="0" w:line="192" w:lineRule="exact"/>
        <w:rPr>
          <w:sz w:val="20"/>
          <w:szCs w:val="20"/>
          <w:color w:val="auto"/>
        </w:rPr>
      </w:pPr>
    </w:p>
    <w:p>
      <w:pPr>
        <w:ind w:left="740" w:hanging="134"/>
        <w:spacing w:after="0"/>
        <w:tabs>
          <w:tab w:leader="none" w:pos="7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executive officers; and</w:t>
      </w:r>
    </w:p>
    <w:p>
      <w:pPr>
        <w:spacing w:after="0" w:line="207" w:lineRule="exact"/>
        <w:rPr>
          <w:rFonts w:ascii="Times New Roman" w:cs="Times New Roman" w:eastAsia="Times New Roman" w:hAnsi="Times New Roman"/>
          <w:sz w:val="17"/>
          <w:szCs w:val="17"/>
          <w:color w:val="auto"/>
        </w:rPr>
      </w:pPr>
    </w:p>
    <w:p>
      <w:pPr>
        <w:ind w:left="740" w:hanging="134"/>
        <w:spacing w:after="0"/>
        <w:tabs>
          <w:tab w:leader="none" w:pos="7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own beneficially more than 5% of our Ordinary Shares.</w:t>
      </w:r>
    </w:p>
    <w:p>
      <w:pPr>
        <w:spacing w:after="0" w:line="208" w:lineRule="exact"/>
        <w:rPr>
          <w:sz w:val="20"/>
          <w:szCs w:val="20"/>
          <w:color w:val="auto"/>
        </w:rPr>
      </w:pPr>
    </w:p>
    <w:p>
      <w:pPr>
        <w:jc w:val="both"/>
        <w:ind w:firstLine="1009"/>
        <w:spacing w:after="0" w:line="253" w:lineRule="auto"/>
        <w:rPr>
          <w:sz w:val="20"/>
          <w:szCs w:val="20"/>
          <w:color w:val="auto"/>
        </w:rPr>
      </w:pPr>
      <w:r>
        <w:rPr>
          <w:rFonts w:ascii="Times New Roman" w:cs="Times New Roman" w:eastAsia="Times New Roman" w:hAnsi="Times New Roman"/>
          <w:sz w:val="17"/>
          <w:szCs w:val="17"/>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as of September 1, 2025 is based on 25,243,763 Ordinary Shares issued and outstanding with the following exceptions (1) the percentage for Rhino Ventures Limited and Miles Pelham assumes the exercise of 11,250,000 IPO Warrants held by Rhino Ventures Limited, and the exercise of the 4,170,520 warrants to purchase Ordinary Shares equal to 51% of the Company’s outstanding Ordinary Shares at the time the warrants are exercised which are assumed to convert into 12,874,319 Ordinary Shares, based on 25,243,763 Ordinary Shares outstanding.</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prospectus are deemed outstanding, but are not deemed outstanding for computing the percentage ownership of any other person.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9"/>
              </w:rPr>
              <w:t>Percentage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400" w:type="dxa"/>
            <w:vAlign w:val="bottom"/>
            <w:gridSpan w:val="2"/>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Ordinary Shares</w:t>
            </w:r>
          </w:p>
        </w:tc>
        <w:tc>
          <w:tcPr>
            <w:tcW w:w="1400" w:type="dxa"/>
            <w:vAlign w:val="bottom"/>
            <w:gridSpan w:val="2"/>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0" w:type="dxa"/>
            <w:vAlign w:val="bottom"/>
          </w:tcPr>
          <w:p>
            <w:pPr>
              <w:spacing w:after="0"/>
              <w:rPr>
                <w:sz w:val="1"/>
                <w:szCs w:val="1"/>
                <w:color w:val="auto"/>
              </w:rPr>
            </w:pPr>
          </w:p>
        </w:tc>
      </w:tr>
      <w:tr>
        <w:trPr>
          <w:trHeight w:val="222"/>
        </w:trPr>
        <w:tc>
          <w:tcPr>
            <w:tcW w:w="49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beneficially owned</w:t>
            </w:r>
          </w:p>
        </w:tc>
        <w:tc>
          <w:tcPr>
            <w:tcW w:w="1400" w:type="dxa"/>
            <w:vAlign w:val="bottom"/>
            <w:gridSpan w:val="2"/>
          </w:tcPr>
          <w:p>
            <w:pPr>
              <w:jc w:val="center"/>
              <w:ind w:right="136"/>
              <w:spacing w:after="0"/>
              <w:rPr>
                <w:sz w:val="20"/>
                <w:szCs w:val="20"/>
                <w:color w:val="auto"/>
              </w:rPr>
            </w:pPr>
            <w:r>
              <w:rPr>
                <w:rFonts w:ascii="Times New Roman" w:cs="Times New Roman" w:eastAsia="Times New Roman" w:hAnsi="Times New Roman"/>
                <w:sz w:val="17"/>
                <w:szCs w:val="17"/>
                <w:b w:val="1"/>
                <w:bCs w:val="1"/>
                <w:color w:val="auto"/>
                <w:w w:val="97"/>
              </w:rPr>
              <w:t>owned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00" w:type="dxa"/>
            <w:vAlign w:val="bottom"/>
            <w:tcBorders>
              <w:top w:val="single" w:sz="8" w:color="auto"/>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jc w:val="right"/>
              <w:spacing w:after="0" w:line="166"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Miles Pelham(1)</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34,308,946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4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Rhino Ventures Limited(1)</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34,014,566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Blick (2)</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294,380</w:t>
            </w:r>
          </w:p>
        </w:tc>
        <w:tc>
          <w:tcPr>
            <w:tcW w:w="14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Graham Bridges (3)</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180,400</w:t>
            </w:r>
          </w:p>
        </w:tc>
        <w:tc>
          <w:tcPr>
            <w:tcW w:w="1400" w:type="dxa"/>
            <w:vAlign w:val="bottom"/>
            <w:gridSpan w:val="2"/>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Christian Thierfelder (4)</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180,400</w:t>
            </w:r>
          </w:p>
        </w:tc>
        <w:tc>
          <w:tcPr>
            <w:tcW w:w="14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34,964,126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Five Percent Holders:</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HBM IV, Inc. (5)</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3,663,062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1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20" w:hanging="119"/>
        <w:spacing w:after="0"/>
        <w:tabs>
          <w:tab w:leader="none" w:pos="1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49" w:lineRule="auto"/>
        <w:tabs>
          <w:tab w:leader="none" w:pos="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Rhino Ventures Limited, a British Virgin Islands limited liability company, is wholly-owned and managed by Miles Pelham, who has voting and dispositive control over the Ordinary Shares held by Rhino Ventures Limited. The business address of Rhino Ventures Limited is Craigmuir Chambers, Road Town, Tortola, VS 1110, British Virgin Islands. In addition to holding 9,890,247 Ordinary Shares, Rhino Ventures Limited also beneficially owns shares based in its right to exercise the following warrants within the next sixty (60) days (a) 4,170,520 warrants to purchase Ordinary Shares equal to 51% of the Company’s outstanding Ordinary Shares at the time the warrants are exercised, exercisable at a price of $6.13 per warrant and expire on May 27, 2027 and (b) (i) warrants to purchase 2,250,000 Ordinary Shares, exercisable at a price of $6.15 per share and which expire 9 months after January 23, 2025 and (ii) warrants to purchase 2,250,000 Ordinary Shares, exercisable at a price of $7.18 per share and which expire 12 months after January 23, 2025 (iii) warrants to purchase 2,250,000 Ordinary Shares, exercisable at a price of $8.20 per share and which expire 15 months after January 23, 2025, (iv) warrants to purchase 2,250,000 Ordinary Shares, exercisable at a price of $10.25 per share and which expire 18 months after January 23, 2025 and (v) warrants to purchase 2,250,000 Ordinary Shares, exercisable at a price of $12.30 per share and which expire 24 months after January 23, 2025. The 4,170,520 warrants to purchase Ordinary Shares equal to 51% of the Company’s outstanding Ordinary Shares at the time the warrants are exercised held by Rhino Ventures Limited, which if exercised today would be 12,874,319 Ordinary Shares, based on 25,243,763 Ordinary Shares outstanding. Miles Pelham holds 294,380 Ordinary Shares and unexercised employee share options to acquire 303,400 Ordinary Shares in his own name, in addition to beneficially owning 10,184,627 Ordinary Shares. Accordingly, Miles Pelham beneficially owns 34,308,946 or 69.5%.</w:t>
      </w:r>
    </w:p>
    <w:p>
      <w:pPr>
        <w:spacing w:after="0" w:line="18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Blick, Chief Executive Officer at Diginex Limited holds 294,380 and is resident in Hong Kong</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Graham Bridges, Chief Technology Officer at Diginex Limited holds 180,400 Ordinary Shares and is resident in Hong Kong</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 Thierfelder, Chief Operating Officer at Diginex Limited holds 180,400 Ordinary Shares and is resident in Monaco.</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49" w:lineRule="auto"/>
        <w:tabs>
          <w:tab w:leader="none" w:pos="60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HBM IV, Inc. is incorporated in the State of Delaware. HBM IV, Inc. held 2,583,820 shares of Diginex Limited Preferred Shares which converted into 2,583,820 Ordinary Shares of Diginex Limited upon the registration statement being declared effective on December 20, 2024. In addition, HBM IV, Inc held a $2 million convertible loan note that converted into 1,079,242 Ordinary Shares, upon the registration statement being declared effective on December 20, 2024. In total HBM IV, Inc hold 3,663,062 Ordinary Shares. Pursuant to the definition of “beneficial owner” set forth in Rule 13d-3 under the Securities Exchange Act of 1934, as amended, each of HBM IV, Inc., Hearst Communications, Inc., Hearst Holdings, Inc., The Hearst Corporation, and The Hearst Family Trust may be deemed to beneficially own the shares held by HBM IV, Inc. Hearst Communications, Inc. has the power to direct the voting and disposition of the shares as the controlling stockholder of HBM IV, Inc. Hearst Holdings, Inc. has the power to direct the voting and disposition of the shares as the controlling stockholder of Hearst Communications, Inc. The Hearst Corporation has the power to direct the voting and disposition of the shares as the controlling stockholder of Hearst Holdings, Inc. The Hearst Family Trust has the power to direct the voting and disposition of the shares as the controlling stockholder of The Hearst Corporation. No natural person ultimately has the investment and/or voting power over the shares of Diginex Limited beneficially owned by HBM IV, Inc. The Hearst Family Trust (the “Trust”), as referenced above, is controlled by three or more trustees, none of whom individually has investment and/or voting power over the shares beneficially owned by the Trust. The address of each of HBM IV, Inc., Hearst Communications, Inc., Hearst Holdings, Inc., The Hearst Corporation and The Hearst Family Trust is 300 West 57th Street, New York, NY 10019, USA.</w:t>
      </w:r>
    </w:p>
    <w:p>
      <w:pPr>
        <w:spacing w:after="0" w:line="187" w:lineRule="exact"/>
        <w:rPr>
          <w:rFonts w:ascii="Times New Roman" w:cs="Times New Roman" w:eastAsia="Times New Roman" w:hAnsi="Times New Roman"/>
          <w:sz w:val="17"/>
          <w:szCs w:val="17"/>
          <w:color w:val="auto"/>
        </w:rPr>
      </w:pPr>
    </w:p>
    <w:p>
      <w:pPr>
        <w:jc w:val="both"/>
        <w:ind w:left="600" w:hanging="297"/>
        <w:spacing w:after="0" w:line="307" w:lineRule="auto"/>
        <w:tabs>
          <w:tab w:leader="none" w:pos="600"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percentage is calculated based on 49,368,083 outstanding Ordinary Shares of Diginex, which includes the 11,250,000 Ordinary Shares underlying the IPO Warrants owned by Rhino Ventures Limited and 12,874,319 Ordinary Shares on the assumption that 4,170,520 warrants had been exercised into 51% of</w:t>
      </w:r>
    </w:p>
    <w:p>
      <w:pPr>
        <w:sectPr>
          <w:pgSz w:w="11900" w:h="16844" w:orient="portrait"/>
          <w:cols w:equalWidth="0" w:num="1">
            <w:col w:w="11240"/>
          </w:cols>
          <w:pgMar w:left="320" w:top="623" w:right="339" w:bottom="0" w:gutter="0" w:footer="0" w:header="0"/>
        </w:sectPr>
      </w:pPr>
    </w:p>
    <w:bookmarkStart w:id="105" w:name="page106"/>
    <w:bookmarkEnd w:id="105"/>
    <w:p>
      <w:pPr>
        <w:ind w:left="600"/>
        <w:spacing w:after="0"/>
        <w:rPr>
          <w:sz w:val="20"/>
          <w:szCs w:val="20"/>
          <w:color w:val="auto"/>
        </w:rPr>
      </w:pPr>
      <w:r>
        <w:rPr>
          <w:rFonts w:ascii="Times New Roman" w:cs="Times New Roman" w:eastAsia="Times New Roman" w:hAnsi="Times New Roman"/>
          <w:sz w:val="17"/>
          <w:szCs w:val="17"/>
          <w:color w:val="auto"/>
        </w:rPr>
        <w:t>the 25,243,763 Ordinary Shares currently outstanding.</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As of the date of this Prospectus, we have 31 shareholders of record. All of our officers, directors and shareholders as of the date of this Prospectus are subject to lock-up agreements in connection with the IPO. See “Shares Eligible For Future Sale — Lock-Up Agreements.”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We believe that Diginex Limited’s offers, sales and issuances of the securities to its shareholders were exempt from registration either (a) under Section 4(a)</w:t>
      </w:r>
    </w:p>
    <w:p>
      <w:pPr>
        <w:spacing w:after="0" w:line="34" w:lineRule="exact"/>
        <w:rPr>
          <w:sz w:val="20"/>
          <w:szCs w:val="20"/>
          <w:color w:val="auto"/>
        </w:rPr>
      </w:pPr>
    </w:p>
    <w:p>
      <w:pPr>
        <w:jc w:val="both"/>
        <w:ind w:firstLine="1"/>
        <w:spacing w:after="0" w:line="270" w:lineRule="auto"/>
        <w:tabs>
          <w:tab w:leader="none" w:pos="24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Securities Act and the rules and regulations promulgated thereunder, in that the transactions were between an issuer and sophisticated investors or members of its senior executive management and did not involve any public offering within the meaning of Section 4(a)(2), (b) under Regulation S promulgated under the Securities Act in that offers, sales and issuances were not made to persons in the United States and no directed selling efforts were made in the United States, or (c) under Rule 701 promulgated under the Securities Act in that the transactions were underwritten compensatory benefit plans or written compensatory contracts.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Solutions Business Acquisition</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May 15, 2020, Diginex Limited, a company incorporated in Hong Kong, an entity related to the Company (“Diginex HK”), together with Diginex Solutions Limited, sold the legal entities of Diginex Solutions (HK) Limited and Diginex USA LLC, together with the trademarks associated with the Diginex name, to a related party, Rhino Ventures Limited, an entity controlled by Miles Pelham, the founder and former chairman of Diginex HK. The consideration of $6,000,000, that was paid by Rhino Ventures Limited for Diginex Solutions (HK) Limited and Diginex USA LLC, was netted against the shareholder loan between Diginex HK and Pelham Limited, another entity controlled by Miles Pelham. In addition, Diginex HK agreed to fund the business for six months post the sale at a 25% discount to the projected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Services Limited Acquisition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September 20, 2021, Diginex Solutions (HK) Limited acquired Diginex Services Limited, a company incorporated in the United Kingdom and controlled by Rhino Ventures Limited for no cash payment. Prior to the acquisition Diginex Solutions (HK) Limited had been funding Diginex Services Limited for, primarily, the provision of IT maintenance and development services.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Rhino Ventures Loan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Rhino Ventures Limited advanced a loan to Diginex Solutions (HK) Limited. At March 31, 2024 the outstanding balance was $1.6 million and charged interest of 8% per annum. During the year ended March 31, 2025, Rhino Ventures Limited continued to fund Diginex and on 28 May 2024 converted $1.9 million of the outstanding loan into equity as part consideration for an $8.0 million capital raise. The $8 million capital raise was supplemented by an interest free cash advance by Rhino Ventures of $6.1 million (March 31, 2024: $5.3 million). Upon completion of the $8 million capital raise, Rhino Ventures Limited was issued 5,086 shares in DSL which amounted to 4,170,520 Ordinary Shares in Diginex Limited following the Restructure. In addition, Rhino Ventures was also issued warrants, which, post the Restructure, amounted to 4,170,520 warrants with an exercise price of $6.13 per warrant. The warrants are exercisable for a period of three years from the date they were issued, May 27, 2024. The warrants, if fully exercised, will result in the issuance of shares equal to 51% of the Company’s outstanding Ordinary Shares at the time the warrants are exercised. This amount will be prorated in the event of partial exercise of the warrants.</w:t>
      </w:r>
    </w:p>
    <w:p>
      <w:pPr>
        <w:spacing w:after="0" w:line="18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addition, upon pricing of the IPO in January 2025, Rhino Ventures agreed to convert $3 million of an outstanding loan at the listing price. The outstanding loan amounted to $3.5 million and on January 21, 2025, $3.0 million of the outstanding loan was converted into Ordinary Shares at a price of $4.10 resulting in the issuance of 731,707 Ordinary Shares. The balance of the loan, $0.5 million, was repaid in cash to Rhino Ventures Limited.</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March 31, 2025 there was no loan outstanding between Diginex and Rhino Ventures Limited.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Diginex Holdings Loan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June 28, 2022 Diginex Holdings Limited, a company controlled by Rhino Ventures Limited advanced a loan of $1 million to Diginex Solutions (HK) Limited, bearing an 8% interest coupon. The loan remained outstanding at $1 million but as part of the Restructure, this loan was transferred into a $1 million convertible loan note of which Rhino Ventures Limited holds $517,535 of the principal amount of the convertible loan note and Working Capital Innovation Fund II L.P. holds $482,465 of the principal amount. Both loan notes converted into Ordinary Shares upon the registration statement being declared effective on December 20,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Loan Notes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Between August 2022 and July 2023 DSL raised $3.35 million through the issuance of Convertible Loan Notes to existing DSL shareholders. The Convertible Loan Notes mature on the second anniversary of the effective date, bear an 8% coupon and convert into Ordinary Shares into equity upon the Company becoming publicly listed. In the year ended 31 March 2024, Working Capital Innovation Fund II LP invested a further $100k and as part of the Restructuring, a $1 million loan due from DSL to a related company, Diginex Holdings Limited, was transferred into a $1 million convertible loan note of which Rhino Ventures Limited holds $517,535 of the principal amount of the convertible loan note and Working Capital Innovation Fund II L.P. holds $482,465 of the principal amount of the convertible loan note. The terms of the new convertible loan notes also charge interest at 8% per annum and had a maturity date of December 31, 2024. On August 3, 2024 a Convertible Loan Note issued to HBM IV, Inc for US$1.0 million had the maturity date extended from August 3, 2024 to January 3, 2025. The purchasers of Convertible Loan Notes included certain holders of more than 5% of the Company’s capital stock and certain directors or their respective affiliates. The following table sets forth the Convertible Loan Notes issued to these related parties: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Principal Amount of</w:t>
            </w:r>
          </w:p>
        </w:tc>
      </w:tr>
      <w:tr>
        <w:trPr>
          <w:trHeight w:val="202"/>
        </w:trPr>
        <w:tc>
          <w:tcPr>
            <w:tcW w:w="7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w w:val="99"/>
              </w:rPr>
              <w:t>Convertible Loan</w:t>
            </w:r>
          </w:p>
        </w:tc>
      </w:tr>
      <w:tr>
        <w:trPr>
          <w:trHeight w:val="222"/>
        </w:trPr>
        <w:tc>
          <w:tcPr>
            <w:tcW w:w="7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w:t>
            </w:r>
          </w:p>
        </w:tc>
        <w:tc>
          <w:tcPr>
            <w:tcW w:w="100" w:type="dxa"/>
            <w:vAlign w:val="bottom"/>
          </w:tcPr>
          <w:p>
            <w:pPr>
              <w:spacing w:after="0"/>
              <w:rPr>
                <w:sz w:val="19"/>
                <w:szCs w:val="19"/>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Notes</w:t>
            </w:r>
          </w:p>
        </w:tc>
      </w:tr>
      <w:tr>
        <w:trPr>
          <w:trHeight w:val="195"/>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HBM IV, Inc.</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7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Nalimz Holdings Limited</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Pr>
          <w:p>
            <w:pPr>
              <w:spacing w:after="0"/>
              <w:rPr>
                <w:sz w:val="17"/>
                <w:szCs w:val="17"/>
                <w:color w:val="auto"/>
              </w:rPr>
            </w:pPr>
          </w:p>
        </w:tc>
      </w:tr>
      <w:tr>
        <w:trPr>
          <w:trHeight w:val="202"/>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Rhino Ventures Limited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517,535</w:t>
            </w: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All Convertible Loan Notes converted into 2,347,134 Ordinary Shares upon the registration statement being declared effective on December 20,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Preferred Shares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HBM IV, Inc. held 2,583,820 Preferred Shares in the Company. Upon the registration statement being declared effective on December 20, 2024, the Preferred Shares were converted into 2,583,820 Ordinary Shares. At the time of this document there are no issued or outstanding Preferred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Miles Pelham compensation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During the years ended March 31, 2024 and 2025, Miles Pelham, the owner of Rhino Ventures Limited was paid $250,000 per annum for the provision of management services to the Group. In the year ended March 31, 2025 he also received a bonus of $10,417 post the completion of the IPO. This amount is included in the aggregate compensation of approximately $1.6 million amount set forth in the section “Compensation – Executive Officer and Director Compensation.”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51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i w:val="1"/>
          <w:iCs w:val="1"/>
          <w:color w:val="auto"/>
        </w:rPr>
        <w:t>Related Party Revenue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During the years ended March 31, 2024 and 2025, Diginex provided commercial services to certain shareholders. During the period, Diginex engaged with Sustainable Fitch Limited, a related party with HBM IV, Inc. and Hafnia SG Pte. Ltd earning $30,000 in the year ended March 31, 2025 (March 31, 2024: $56,000) and $12,680 during the year ended March 31, 2025 (March 31, 2024: $10,977)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Restructuring</w:t>
      </w:r>
    </w:p>
    <w:p>
      <w:pPr>
        <w:spacing w:after="0" w:line="212" w:lineRule="exact"/>
        <w:rPr>
          <w:sz w:val="20"/>
          <w:szCs w:val="20"/>
          <w:color w:val="auto"/>
        </w:rPr>
      </w:pPr>
    </w:p>
    <w:p>
      <w:pPr>
        <w:jc w:val="both"/>
        <w:ind w:firstLine="605"/>
        <w:spacing w:after="0" w:line="266" w:lineRule="auto"/>
        <w:rPr>
          <w:sz w:val="20"/>
          <w:szCs w:val="20"/>
          <w:color w:val="auto"/>
        </w:rPr>
      </w:pPr>
      <w:r>
        <w:rPr>
          <w:rFonts w:ascii="Times New Roman" w:cs="Times New Roman" w:eastAsia="Times New Roman" w:hAnsi="Times New Roman"/>
          <w:sz w:val="16"/>
          <w:szCs w:val="16"/>
          <w:color w:val="auto"/>
        </w:rPr>
        <w:t>Diginex Limited is a Cayman Islands exempted company, incorporated under the laws of the Cayman Islands on January 26, 2024. 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substantially the same securities to such shareholders in exchange for the securities of DSL held by Original Shareholders (the “Exchange”). Prior to the Exchange there were 16,756 ordinary shares of DSL issued and outstanding, 3,151 preferred shares of DSL issued and outstanding and 10,172 warrants of DSL issued and outstanding. In the Exchange, each of the securities of DSL were exchanged for substantially the same securities of Diginex Limited at an exchange ratio of one</w:t>
      </w:r>
    </w:p>
    <w:p>
      <w:pPr>
        <w:spacing w:after="0" w:line="3" w:lineRule="exact"/>
        <w:rPr>
          <w:sz w:val="20"/>
          <w:szCs w:val="20"/>
          <w:color w:val="auto"/>
        </w:rPr>
      </w:pPr>
    </w:p>
    <w:p>
      <w:pPr>
        <w:ind w:firstLine="1"/>
        <w:spacing w:after="0" w:line="255" w:lineRule="auto"/>
        <w:tabs>
          <w:tab w:leader="none" w:pos="23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share of DSL for four hundred and ten (410) Ordinary Shares of Diginex Limited, one (1) preferred share of DSL for four hundred and ten (410) Preferred Shares of Diginex Limited and one (1) warrant of DSL for four hundred and ten (410) warrants of Diginex Limited.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IPO Warrants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January 23, 2025, the Company issued Rhino Ventures Limited the warrants identified below (“IPO Warrants”) in recognition of the continuous financial support Rhino Ventures Limited has provided to the Company over previous years that has been critical to sustaining operations and achieving the IPO. There were no goods or services exchanged with Rhino Ventures Limited for the issuance of the IPO warrants. No new direct consideration was received at the time of issuance, as the warrants were granted to acknowledge the historical value provided by Rhino Ventures Limited.</w:t>
      </w:r>
    </w:p>
    <w:p>
      <w:pPr>
        <w:spacing w:after="0" w:line="175" w:lineRule="exact"/>
        <w:rPr>
          <w:sz w:val="20"/>
          <w:szCs w:val="20"/>
          <w:color w:val="auto"/>
        </w:rPr>
      </w:pPr>
    </w:p>
    <w:p>
      <w:pPr>
        <w:ind w:left="600" w:hanging="297"/>
        <w:spacing w:after="0"/>
        <w:tabs>
          <w:tab w:leader="none" w:pos="6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600" w:right="520" w:hanging="297"/>
        <w:spacing w:after="0" w:line="515" w:lineRule="auto"/>
        <w:tabs>
          <w:tab w:leader="none" w:pos="6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 On May 6, 2025, Rhino Ventures Limited conveyed, transferred and assigned the following IPO Warrants to Nomas Global Investments-L.L.C-S.P.C.:</w:t>
      </w:r>
    </w:p>
    <w:p>
      <w:pPr>
        <w:spacing w:after="0" w:line="1" w:lineRule="exact"/>
        <w:rPr>
          <w:rFonts w:ascii="Times New Roman" w:cs="Times New Roman" w:eastAsia="Times New Roman" w:hAnsi="Times New Roman"/>
          <w:sz w:val="16"/>
          <w:szCs w:val="16"/>
          <w:color w:val="auto"/>
        </w:rPr>
      </w:pPr>
    </w:p>
    <w:p>
      <w:pPr>
        <w:ind w:left="1220" w:hanging="311"/>
        <w:spacing w:after="0"/>
        <w:tabs>
          <w:tab w:leader="none" w:pos="122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4 - Warrants to purchase 2,250,000 Ordinary Shares at an exercise price of $8.20 per share, which expire 15 months from January 23, 2025</w:t>
      </w:r>
    </w:p>
    <w:p>
      <w:pPr>
        <w:spacing w:after="0" w:line="33" w:lineRule="exact"/>
        <w:rPr>
          <w:rFonts w:ascii="Times New Roman" w:cs="Times New Roman" w:eastAsia="Times New Roman" w:hAnsi="Times New Roman"/>
          <w:sz w:val="16"/>
          <w:szCs w:val="16"/>
          <w:color w:val="auto"/>
        </w:rPr>
      </w:pPr>
    </w:p>
    <w:p>
      <w:pPr>
        <w:ind w:left="1220" w:hanging="311"/>
        <w:spacing w:after="0"/>
        <w:tabs>
          <w:tab w:leader="none" w:pos="122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5 - Warrants to purchase 2,250,000 Ordinary Shares at an exercise price of $10.25 per share, which expire 18 months from January 23, 2025</w:t>
      </w:r>
    </w:p>
    <w:p>
      <w:pPr>
        <w:spacing w:after="0" w:line="17" w:lineRule="exact"/>
        <w:rPr>
          <w:rFonts w:ascii="Times New Roman" w:cs="Times New Roman" w:eastAsia="Times New Roman" w:hAnsi="Times New Roman"/>
          <w:sz w:val="16"/>
          <w:szCs w:val="16"/>
          <w:color w:val="auto"/>
        </w:rPr>
      </w:pPr>
    </w:p>
    <w:p>
      <w:pPr>
        <w:ind w:left="1220" w:hanging="311"/>
        <w:spacing w:after="0"/>
        <w:tabs>
          <w:tab w:leader="none" w:pos="122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Tranche 6 - Warrants to purchase 2,250,000 Ordinary Shares at an exercise price of $12.30 per share, which expire 24 months from January 23, 2025</w:t>
      </w:r>
    </w:p>
    <w:p>
      <w:pPr>
        <w:spacing w:after="0" w:line="203"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 Following the acquisition of these Ordinary Shares and at the time of this Prospectus, Rhino Ventures Limited owns 9,890,247 Ordinary Shares, not including the derivative securities of Diginex owned by Rhino Ventures Limited.</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August 22, 2025, the Nomas WPA was rescinded by mutual agreement of Rhino Ventures Limited and Nomas Global Investments-L.L.C-S.P.C and the Nomas Warrants were returned to Rhino Ventures Limited and the previously issued promissory note from Nomas Global Investments L.L.C-S.P.C to Rhino Ventures Limited in the amount of $50,000,000 as the initial consideration under the Nomas WPA has been cancelled. Accordingly, Rhino Ventures Limited is the owner of 100% of the outstanding IPO Warrants.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August 18, 2025 Diginex announced an eight (8) for one (1) forward stock split to be paid in the form of a bonus share issuance. Each shareholder of the Company of record at the close of business on September 5, 2025 will receive 7 bonus ordinary shares for every one ordinary share held on the record date. The Company expects the bonus shares will be distributed on September 8, 2025.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SHARES ELIGIBLE FOR FUTURE SALE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All of the Ordinary Shares sold in the Offering, will be freely transferable by persons other than our “affiliates” without restriction or further registration under the Securities Act. Sales of substantial amounts of our Ordinary Shares in the public market could have a material adverse effect on the prevailing market prices of our Ordinary Shares. Future sales of substantial amounts of our Ordinary Shares in the public market could adversely affect prevailing market prices of our Ordinary Shares from time to time and could impair our ability to raise equity capital in the future.</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Upon the closing of the Offering, Diginex Limited will have 27,493,763 Ordinary Shares outstanding immediately after the Offering, assuming all of the IPO Warrants to acquire 2,250,000 Ordinary Shares are exercised. In addition, Diginex Limited will have 17,345 vested but not yet exercised options issued to employees and contractors, 368,826 unvested employee share options and unvested employee share options exercisable for such number of Ordinary Shares equal to 1.7% of the issued and outstanding shares of the Company at the time of vesting.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Lock-up agreements</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directors, officers and major shareholders have agreed, subject to some exceptions, not to transfer or dispose of, directly or indirectly, any of our Shares, or any securities convertible into or exchangeable or exercisable for our Shares, for a period of six months after the date of our initial public offering. After the expiration of the lock up period Ordinary Shares held by our directors, officers and major shareholders may be sold subject to the restrictions under Rule 144 under the Securities Act or by means of registered public offerings.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Selling Shareholder, with respect to their Ordinary Shares sold pursuant to the Resale Prospectus in the IPO, has not entered into Lock-up Agreements. See “Risk Factor — The future sales of Ordinary Shares by existing shareholders, including the sales pursuant to this prospectus, may adversely affect the market price of our Ordinary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Rule 144</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general, under Rule 144 as currently in effect, a person who has beneficially owned our “restricted securities” within the meaning of Rule144 for at least six months is entitled to sell the restricted securities without registration under the Securities Act, subject to certain restrictions. Persons who are our affiliates may sell within any three-month period a number of restricted securities that does not exceed the greater of the following:</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1% of the number of shares of Ordinary Shares then outstanding, which will equal approximately 274,938 Ordinary Shares based on the number of Ordinary Shares outstanding immediately after the consummation of the Offering, or the average weekly trading volume of our Ordinary Shares on the Nasdaq Capital Market during the four calendar weeks preceding the date on which notice of the sale is filed with the SEC.</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Sales under Rule 144 by persons who are deemed our affiliates are subject to manner-of-sale provisions, notice requirements and the availability of current public information about us. Persons who are not our affiliates and have beneficially owned our restricted securities for more than six months but not more than one year may sell the restricted securities without registration under the Securities Act, subject to the availability of current public information about us. Persons who are not our affiliates and have beneficially owned our restricted securities for more than one year may freely sell the restricted securities without registration under the Securities Act.</w:t>
      </w:r>
    </w:p>
    <w:p>
      <w:pPr>
        <w:spacing w:after="0" w:line="1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In addition, in each case, any shares that are subject to lock-up arrangements would only become eligible for sale when the lock-up period expires.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Income Tax Considerations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following discussion is a summary of U.S. federal income tax considerations generally applicable to U.S. Holders (as defined below) of the ownership and disposition of our Ordinary Shares. This summary applies only to U.S. Holders that hold our Ordinary Shares as capital assets (generally, property held for investment) and that have the U.S. dollar as their functional currency. This summary is based on U.S. tax laws in effect as of the date of this prospectus, on U.S. Treasury regulations in effect or, in some cases, proposed as of the date of this prospectus, and judicial and administrative interpretations thereof available on or before such date. All of the foregoing authorities are subject to change, which could apply retroactively and could affect the tax consequences described below. No ruling has been sought from the Internal Revenue Service (“IRS”) with respect to any U.S. federal income tax considerations described below, and there can be no assurance that the IRS or a court will not take a contrary position.</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This summary does not address the Medicare tax on certain investment income, U.S. federal estate, gift, backup withholding, and alternative minimum tax considerations, or any state, local, and non-U.S. tax considerations, relating to the ownership and disposition of our Ordinary Shares. The following summary does not address all aspects of U.S. federal income taxation that may be important to particular investors in light of their individual circumstances or to persons in special tax situations such as:</w:t>
      </w:r>
    </w:p>
    <w:p>
      <w:pPr>
        <w:spacing w:after="0" w:line="175" w:lineRule="exact"/>
        <w:rPr>
          <w:sz w:val="20"/>
          <w:szCs w:val="20"/>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institutions or financial services entities;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underwriters;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pension plans;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cooperatives;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investment trusts;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grantor trusts;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that elect to use a mark-to-market method of accounting;</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governments or agencies or instrumentalities thereof;</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former U.S. citizens or long-term residents;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 (including private foundations);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liable for alternative minimum tax;</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holding stock as part of a straddle, hedging, conversion or other integrated transaction;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whose functional currency is not the U.S. dollar;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passive foreign investment companies;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actually or constructively own 5% or more of the total combined voting power of all classes of our voting stock;</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or other entities taxable as partnerships for U.S. federal income tax purposes, or persons holding Ordinary Shares through such entities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officers or directors; or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who are not U.S. Holders.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0" w:name="page111"/>
    <w:bookmarkEnd w:id="110"/>
    <w:p>
      <w:pPr>
        <w:ind w:left="600"/>
        <w:spacing w:after="0"/>
        <w:rPr>
          <w:sz w:val="20"/>
          <w:szCs w:val="20"/>
          <w:color w:val="auto"/>
        </w:rPr>
      </w:pPr>
      <w:r>
        <w:rPr>
          <w:rFonts w:ascii="Times New Roman" w:cs="Times New Roman" w:eastAsia="Times New Roman" w:hAnsi="Times New Roman"/>
          <w:sz w:val="17"/>
          <w:szCs w:val="17"/>
          <w:color w:val="auto"/>
        </w:rPr>
        <w:t>For purposes of this discussion, a “U.S. Holder” is a beneficial owner of our Ordinary Shares that is, for U.S. federal income tax purposes:</w:t>
      </w:r>
    </w:p>
    <w:p>
      <w:pPr>
        <w:spacing w:after="0" w:line="208" w:lineRule="exact"/>
        <w:rPr>
          <w:sz w:val="20"/>
          <w:szCs w:val="20"/>
          <w:color w:val="auto"/>
        </w:rPr>
      </w:pPr>
    </w:p>
    <w:p>
      <w:pPr>
        <w:ind w:left="600" w:hanging="297"/>
        <w:spacing w:after="0"/>
        <w:tabs>
          <w:tab w:leader="none" w:pos="6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for U.S. federal income tax purposes) created or organized in the United States or under the laws of the United States, any state thereof or the District of Columbia;</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taxation regardless of its source; or</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a partnership (or other entity treated as a partnership for U.S. federal income tax purposes) is a beneficial owner of our Ordinary Shares, the tax treatment of a partner in the partnership will generally depend upon the status of the partner and the activities of the partnership. Partnerships holding our Ordinary Shares and their partners are urged to consult their tax advisors regarding an investment in our Ordinary Shares.</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PERSONS CONSIDERING AN INVESTMENT IN OUR ORDINARY SHARES SHOULD CONSULT THEIR OWN TAX ADVISORS AS TO THE PARTICULAR TAX CONSEQUENCES APPLICABLE TO THEM RELATING TO THE PURCHASE, OWNERSHIP AND DISPOSITION OF OUR ORDINARY SHARES INCLUDING THE APPLICABILITY OF U.S. FEDERAL, STATE AND LOCAL TAX LAWS AND NON-U.S. TAX LAWS.</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Taxation of Dividends and Other Distributions on Our Ordinary Shares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Subject to the PFIC rules discussed below, a U.S. Holder generally will be required to include in gross income, in accordance with such U.S. Holder’s method of accounting for United States federal income tax purposes, as dividends the amount of any distribution paid on the Ordinary Shares to the extent the distribution is paid out of our current or accumulated earnings and profits (as determined under United States federal income tax principles). Such dividends paid by us will be taxable to a corporate U.S. Holder as dividend income and will not be eligible for the dividends-received deduction generally allowed to domestic corporations in respect of dividends received from other domestic corporations. Dividends received by certain non-corporate U.S. Holders (including individuals) may be “qualified dividend income,” which is taxed at the lower capital gains rate, provided that our Ordinary Shares are readily tradable on an established securities market in the United States and the U.S. Holder satisfies certain holding periods and other requirements. In this regard, shares generally are considered to be readily tradable on an established securities market in the United States if they are listed on Nasdaq, as our Ordinary Shares are currently listed on.</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Distributions in excess of such earnings and profits generally will be applied against and reduce the U.S. Holder’s basis in its Ordinary Shares (but not below zero) and, to the extent in excess of such basis, will be treated as gain from the sale or exchange of such Ordinary Shares. In the event that we do not maintain calculations of our earnings and profits under United States federal income tax principles, a U.S. Holder should expect that all cash distributions will be reported as dividends for United States federal income tax purposes. U.S. Holders should consult their own tax advisors regarding the availability of the lower rate for any cash dividends paid with respect to our Ordinary Shares.</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Ordinary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11" w:name="page112"/>
    <w:bookmarkEnd w:id="111"/>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Taxation of Sale or Other Disposition of Ordinary Shares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Subject to the discussion below under “</w:t>
      </w:r>
      <w:r>
        <w:rPr>
          <w:rFonts w:ascii="Times New Roman" w:cs="Times New Roman" w:eastAsia="Times New Roman" w:hAnsi="Times New Roman"/>
          <w:sz w:val="17"/>
          <w:szCs w:val="17"/>
          <w:i w:val="1"/>
          <w:iCs w:val="1"/>
          <w:color w:val="auto"/>
        </w:rPr>
        <w:t>Passive Foreign Investment Company Rules</w:t>
      </w:r>
      <w:r>
        <w:rPr>
          <w:rFonts w:ascii="Times New Roman" w:cs="Times New Roman" w:eastAsia="Times New Roman" w:hAnsi="Times New Roman"/>
          <w:sz w:val="17"/>
          <w:szCs w:val="17"/>
          <w:color w:val="auto"/>
        </w:rPr>
        <w:t>,” a U.S. Holder will generally recognize capital gain or loss upon the sale or other disposition of Ordinary Shares in an amount equal to the difference between the amount realized upon the disposition and the U.S. Holder’s adjusted tax basis in such Ordinary Shares. Any capital gain or loss will be long term if the Ordinary Shares have been held for more than one year and will generally be U.S.-source gain or loss for U.S. foreign tax credit purposes. Long-term capital gains of non-corporate taxpayers are currently eligible for reduced rates of taxation. The deductibility of a capital loss may be subject to limitations. U.S. Holders are urged to consult their tax advisors regarding the tax consequences if a foreign tax is imposed on a disposition of our Ordinary Shares, including the availability of the foreign tax credit under their particular circumstances.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Rules</w:t>
      </w:r>
    </w:p>
    <w:p>
      <w:pPr>
        <w:spacing w:after="0" w:line="212"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66"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No assurance can be given as to whether we may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the IPO.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Ordinary Shares, we generally would continue to be treated as a PFIC for all succeeding years during which such U.S. Holder held our Ordinary Shares even if we cease to be a PFIC in subsequent years, unless certain elections are made. Our U.S. counsel expresses no opinion with respect to our PFIC status for any taxable year.</w:t>
      </w:r>
    </w:p>
    <w:p>
      <w:pPr>
        <w:spacing w:after="0" w:line="168" w:lineRule="exact"/>
        <w:rPr>
          <w:sz w:val="20"/>
          <w:szCs w:val="20"/>
          <w:color w:val="auto"/>
        </w:rPr>
      </w:pPr>
    </w:p>
    <w:p>
      <w:pPr>
        <w:jc w:val="both"/>
        <w:ind w:firstLine="605"/>
        <w:spacing w:after="0" w:line="273" w:lineRule="auto"/>
        <w:rPr>
          <w:sz w:val="20"/>
          <w:szCs w:val="20"/>
          <w:color w:val="auto"/>
        </w:rPr>
      </w:pPr>
      <w:r>
        <w:rPr>
          <w:rFonts w:ascii="Times New Roman" w:cs="Times New Roman" w:eastAsia="Times New Roman" w:hAnsi="Times New Roman"/>
          <w:sz w:val="16"/>
          <w:szCs w:val="16"/>
          <w:color w:val="auto"/>
        </w:rPr>
        <w:t>If we are classified as a PFIC for any taxable year during which a U.S. Holder holds our Ordinary Shares, and unless the U.S. Holder makes a mark-to-market election (as described below), the U.S. Holder will generally be subject to special tax rules that have a penalizing effect, regardless of whether we remain a PFIC, on</w:t>
      </w:r>
    </w:p>
    <w:p>
      <w:pPr>
        <w:spacing w:after="0" w:line="1" w:lineRule="exact"/>
        <w:rPr>
          <w:sz w:val="20"/>
          <w:szCs w:val="20"/>
          <w:color w:val="auto"/>
        </w:rPr>
      </w:pPr>
    </w:p>
    <w:p>
      <w:pPr>
        <w:jc w:val="both"/>
        <w:ind w:firstLine="1"/>
        <w:spacing w:after="0" w:line="251" w:lineRule="auto"/>
        <w:tabs>
          <w:tab w:leader="none" w:pos="202"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Ordinary Shares), and (ii) any gain realized on the sale or other disposition of Ordinary Shares. Under these rules,</w:t>
      </w:r>
    </w:p>
    <w:p>
      <w:pPr>
        <w:spacing w:after="0" w:line="17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Holder’s gain or excess distribution will be allocated ratably over the U.S. Holder’s holding period for the Ordinary Shares;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allocated to each prior taxable year, other than a pre-PFIC year, will be subject to tax at the highest tax rate in effect for individuals or corporations, as appropriate, for that year; 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2" w:name="page113"/>
    <w:bookmarkEnd w:id="112"/>
    <w:p>
      <w:pPr>
        <w:ind w:left="600" w:hanging="297"/>
        <w:spacing w:after="0" w:line="274" w:lineRule="auto"/>
        <w:tabs>
          <w:tab w:leader="none" w:pos="6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tax equal to the interest charge generally applicable to underpayments of tax will be imposed in respect of the tax attributable to each prior taxable year, other than a pre-PFIC year, of the U.S. Holder.</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we are treated as a PFIC for any taxable year during which a U.S. Holder holds our Ordinary Shares, or if any of our subsidiaries is also a PFIC, such U.S. Holder would be treated as owning a proportionate amount (by value) of the shares of any lower-tier PFICs for purposes of the application of these rules. U.S. Holders are urged to consult their tax advisors regarding the application of the PFIC rules to any of our subsidiaries.</w:t>
      </w:r>
    </w:p>
    <w:p>
      <w:pPr>
        <w:spacing w:after="0" w:line="16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As an alternative to the foregoing rules, a U.S. Holder of “marketable stock” in a PFIC may make a mark-to-market election with respect to such stock, provided that such stock is “regularly traded” within the meaning of applicable U.S. Treasury regulations. If our Ordinary Shares qualify as being regularly traded, and an election is made, the U.S. Holder will generally (i) include as ordinary income for each taxable year that we are a PFIC the excess, if any, of the fair market value of Ordinary Shares held at the end of the taxable year over the adjusted tax basis of such Ordinary Shares and (ii) deduct as an ordinary loss the excess, if any, of the adjusted tax basis of the Ordinary Shares over the fair market value of such Ordinary Shares held at the end of the taxable year, but such deduction will only be allowed to the extent of the amount previously included in income as a result of the mark-to-market election. The U.S. Holder’s adjusted tax basis in the Ordinary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Ordinary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7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Furthermore, as an alternative to the foregoing rules, a U.S. Holder that owns stock of a PFIC generally may make a “qualified electing fund” election regarding such corporation to elect out of the PFIC rules described above regarding excess distributions and recognized gains. However, we do not intend to provide information necessary for U.S. Holders to make qualified electing fund elections which, if available, would result in tax treatment different from the general tax treatment for PFICs described above.</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If a U.S. Holder owns our Ordinary Shares during any taxable year that we are a PFIC, the U.S. Holder must generally file an annual Internal Revenue Service Form 8621 and provide such other information as may be required by the U.S. Treasury Department, whether or not a mark-to-market election is or has been made. If we are or become a PFIC, you should consult your tax advisor regarding any reporting requirements that may apply to you.</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You should consult your tax advisors regarding how the PFIC rules apply to your investment in our Ordinary Shares.</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Information Reporting and Backup Withholding</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spacing w:after="0" w:line="15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76"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155"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b w:val="1"/>
          <w:bCs w:val="1"/>
          <w:color w:val="auto"/>
        </w:rPr>
        <w:t>EACH PROSPECTIVE INVESTOR SHOULD CONSULT ITS OWN TAX ADVISOR REGARDING THE PARTICULAR U.S. FEDERAL, STATE, LOCAL AND NON-U.S. TAX CONSEQUENCES OF PURCHASING, HOLDING AND DISPOSING OF OUR ORDINARY SHARES, INCLUDING THE CONSEQUENCES OF ANY PROPOSED CHANGE IN APPLICABLE LAWS.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t>Cayman Islands Tax Considerations</w:t>
      </w:r>
    </w:p>
    <w:p>
      <w:pPr>
        <w:spacing w:after="0" w:line="212" w:lineRule="exact"/>
        <w:rPr>
          <w:sz w:val="20"/>
          <w:szCs w:val="20"/>
          <w:color w:val="auto"/>
        </w:rPr>
      </w:pPr>
    </w:p>
    <w:p>
      <w:pPr>
        <w:jc w:val="both"/>
        <w:ind w:firstLine="404"/>
        <w:spacing w:after="0" w:line="253"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appreciations and there is no taxation in the nature of inheritance tax or estate duty. There are no other taxes likely to be material to us or holders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a party to a double tax treaty entered with the United Kingdom in 2010 but is otherwise not a party to any double tax treaties that are applicable to any payments made to or by our Company. There are no exchange control regulations or currency restrictions in the Cayman Islands.</w:t>
      </w:r>
    </w:p>
    <w:p>
      <w:pPr>
        <w:spacing w:after="0" w:line="176" w:lineRule="exact"/>
        <w:rPr>
          <w:sz w:val="20"/>
          <w:szCs w:val="20"/>
          <w:color w:val="auto"/>
        </w:rPr>
      </w:pPr>
    </w:p>
    <w:p>
      <w:pPr>
        <w:jc w:val="both"/>
        <w:ind w:firstLine="404"/>
        <w:spacing w:after="0" w:line="261" w:lineRule="auto"/>
        <w:rPr>
          <w:sz w:val="20"/>
          <w:szCs w:val="20"/>
          <w:color w:val="auto"/>
        </w:rPr>
      </w:pPr>
      <w:r>
        <w:rPr>
          <w:rFonts w:ascii="Times New Roman" w:cs="Times New Roman" w:eastAsia="Times New Roman" w:hAnsi="Times New Roman"/>
          <w:sz w:val="17"/>
          <w:szCs w:val="17"/>
          <w:color w:val="auto"/>
        </w:rPr>
        <w:t>Payments of dividends and capital in respect of the Ordinary Shares will not be subject to taxation in the Cayman Islands and no withholding will be required on the payment of a dividend or capital to any holder of the Ordinary Shares, nor will gains derived from the disposal of the Ordinary Shares be subject to Cayman Islands income or corporation tax.</w:t>
      </w:r>
    </w:p>
    <w:p>
      <w:pPr>
        <w:spacing w:after="0" w:line="169" w:lineRule="exact"/>
        <w:rPr>
          <w:sz w:val="20"/>
          <w:szCs w:val="20"/>
          <w:color w:val="auto"/>
        </w:rPr>
      </w:pPr>
    </w:p>
    <w:p>
      <w:pPr>
        <w:jc w:val="both"/>
        <w:ind w:firstLine="404"/>
        <w:spacing w:after="0" w:line="261" w:lineRule="auto"/>
        <w:rPr>
          <w:sz w:val="20"/>
          <w:szCs w:val="20"/>
          <w:color w:val="auto"/>
        </w:rPr>
      </w:pPr>
      <w:r>
        <w:rPr>
          <w:rFonts w:ascii="Times New Roman" w:cs="Times New Roman" w:eastAsia="Times New Roman" w:hAnsi="Times New Roman"/>
          <w:sz w:val="17"/>
          <w:szCs w:val="17"/>
          <w:color w:val="auto"/>
        </w:rPr>
        <w:t>The Cayman Islands enacted the International Tax Co-operation (Economic Substance) Act (As Revised) together with the Guidance Notes published by the Cayman Islands Tax Information Authority from time to time. The Company is required to comply with the economic substance requirements from July 1, 2019 and make an annual report in the Cayman Islands as to whether or not it is carrying on any relevant activities and if it is, it must satisfy an economic substance test.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SELLING SHAREHOLDERS</w:t>
      </w:r>
    </w:p>
    <w:p>
      <w:pPr>
        <w:spacing w:after="0" w:line="212"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The following table sets forth the name of the Selling Shareholder, the number of Ordinary Shares owned by each Selling Shareholder immediately prior to the date of this Resale Prospectus and the number of shares to be offered by the Selling Shareholder pursuant to this Resale Prospectus. The table also provides information regarding the beneficial ownership of our Ordinary Shares by the Selling Shareholder as adjusted to reflect the assumed sale of all of the shares offered under this Resale Prospectus.</w:t>
      </w:r>
    </w:p>
    <w:p>
      <w:pPr>
        <w:spacing w:after="0" w:line="175"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Applicable percentage of ownership is based on 49,368,083 Ordinary Shares outstanding immediately after the offering, assuming none of the Ordinary Shares held by the Selling Shareholder are sold.</w:t>
      </w:r>
    </w:p>
    <w:p>
      <w:pPr>
        <w:spacing w:after="0" w:line="159"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These rules generally attribute beneficial ownership of securities to persons who possess sole or shared voting power or investment power with respect to those securities. The person is also deemed to be a beneficial owner of any security of which that person has a right to acquire beneficial ownership within 60 days. Unless otherwise indicated, the person identified in this table has sole voting and investment power with respect to all shares shown as beneficially owned by him, her or it, subject to applicable community property laws.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Maximum</w:t>
            </w: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0" w:type="dxa"/>
            <w:vAlign w:val="bottom"/>
          </w:tcPr>
          <w:p>
            <w:pPr>
              <w:spacing w:after="0"/>
              <w:rPr>
                <w:sz w:val="1"/>
                <w:szCs w:val="1"/>
                <w:color w:val="auto"/>
              </w:rPr>
            </w:pPr>
          </w:p>
        </w:tc>
      </w:tr>
      <w:tr>
        <w:trPr>
          <w:trHeight w:val="17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2"/>
          </w:tcPr>
          <w:p>
            <w:pPr>
              <w:jc w:val="center"/>
              <w:ind w:right="360"/>
              <w:spacing w:after="0" w:line="172" w:lineRule="exact"/>
              <w:rPr>
                <w:sz w:val="20"/>
                <w:szCs w:val="20"/>
                <w:color w:val="auto"/>
              </w:rPr>
            </w:pPr>
            <w:r>
              <w:rPr>
                <w:rFonts w:ascii="Times New Roman" w:cs="Times New Roman" w:eastAsia="Times New Roman" w:hAnsi="Times New Roman"/>
                <w:sz w:val="17"/>
                <w:szCs w:val="17"/>
                <w:b w:val="1"/>
                <w:bCs w:val="1"/>
                <w:color w:val="auto"/>
                <w:w w:val="98"/>
              </w:rPr>
              <w:t>Ordinary</w:t>
            </w:r>
          </w:p>
        </w:tc>
        <w:tc>
          <w:tcPr>
            <w:tcW w:w="1420" w:type="dxa"/>
            <w:vAlign w:val="bottom"/>
            <w:gridSpan w:val="2"/>
          </w:tcPr>
          <w:p>
            <w:pPr>
              <w:jc w:val="center"/>
              <w:ind w:right="320"/>
              <w:spacing w:after="0" w:line="172"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420" w:type="dxa"/>
            <w:vAlign w:val="bottom"/>
            <w:gridSpan w:val="2"/>
            <w:vMerge w:val="continue"/>
          </w:tcPr>
          <w:p>
            <w:pPr>
              <w:spacing w:after="0"/>
              <w:rPr>
                <w:sz w:val="14"/>
                <w:szCs w:val="14"/>
                <w:color w:val="auto"/>
              </w:rPr>
            </w:pPr>
          </w:p>
        </w:tc>
        <w:tc>
          <w:tcPr>
            <w:tcW w:w="1260" w:type="dxa"/>
            <w:vAlign w:val="bottom"/>
            <w:gridSpan w:val="2"/>
          </w:tcPr>
          <w:p>
            <w:pPr>
              <w:jc w:val="center"/>
              <w:ind w:right="140"/>
              <w:spacing w:after="0" w:line="172" w:lineRule="exact"/>
              <w:rPr>
                <w:sz w:val="20"/>
                <w:szCs w:val="20"/>
                <w:color w:val="auto"/>
              </w:rPr>
            </w:pPr>
            <w:r>
              <w:rPr>
                <w:rFonts w:ascii="Times New Roman" w:cs="Times New Roman" w:eastAsia="Times New Roman" w:hAnsi="Times New Roman"/>
                <w:sz w:val="17"/>
                <w:szCs w:val="17"/>
                <w:b w:val="1"/>
                <w:bCs w:val="1"/>
                <w:color w:val="auto"/>
                <w:w w:val="98"/>
              </w:rPr>
              <w:t>Ordinary</w:t>
            </w:r>
          </w:p>
        </w:tc>
        <w:tc>
          <w:tcPr>
            <w:tcW w:w="0" w:type="dxa"/>
            <w:vAlign w:val="bottom"/>
          </w:tcPr>
          <w:p>
            <w:pPr>
              <w:spacing w:after="0"/>
              <w:rPr>
                <w:sz w:val="1"/>
                <w:szCs w:val="1"/>
                <w:color w:val="auto"/>
              </w:rPr>
            </w:pPr>
          </w:p>
        </w:tc>
      </w:tr>
      <w:tr>
        <w:trPr>
          <w:trHeight w:val="202"/>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0" w:type="dxa"/>
            <w:vAlign w:val="bottom"/>
          </w:tcPr>
          <w:p>
            <w:pPr>
              <w:spacing w:after="0"/>
              <w:rPr>
                <w:sz w:val="1"/>
                <w:szCs w:val="1"/>
                <w:color w:val="auto"/>
              </w:rPr>
            </w:pPr>
          </w:p>
        </w:tc>
      </w:tr>
      <w:tr>
        <w:trPr>
          <w:trHeight w:val="202"/>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Shares to be</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0" w:type="dxa"/>
            <w:vAlign w:val="bottom"/>
          </w:tcPr>
          <w:p>
            <w:pPr>
              <w:spacing w:after="0"/>
              <w:rPr>
                <w:sz w:val="1"/>
                <w:szCs w:val="1"/>
                <w:color w:val="auto"/>
              </w:rPr>
            </w:pPr>
          </w:p>
        </w:tc>
      </w:tr>
      <w:tr>
        <w:trPr>
          <w:trHeight w:val="202"/>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Sold</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0" w:type="dxa"/>
            <w:vAlign w:val="bottom"/>
          </w:tcPr>
          <w:p>
            <w:pPr>
              <w:spacing w:after="0"/>
              <w:rPr>
                <w:sz w:val="1"/>
                <w:szCs w:val="1"/>
                <w:color w:val="auto"/>
              </w:rPr>
            </w:pPr>
          </w:p>
        </w:tc>
      </w:tr>
      <w:tr>
        <w:trPr>
          <w:trHeight w:val="202"/>
        </w:trPr>
        <w:tc>
          <w:tcPr>
            <w:tcW w:w="3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Owned Prior</w:t>
            </w: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Before the</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Pursuant to</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Owned after</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After</w:t>
            </w:r>
          </w:p>
        </w:tc>
        <w:tc>
          <w:tcPr>
            <w:tcW w:w="0" w:type="dxa"/>
            <w:vAlign w:val="bottom"/>
          </w:tcPr>
          <w:p>
            <w:pPr>
              <w:spacing w:after="0"/>
              <w:rPr>
                <w:sz w:val="1"/>
                <w:szCs w:val="1"/>
                <w:color w:val="auto"/>
              </w:rPr>
            </w:pPr>
          </w:p>
        </w:tc>
      </w:tr>
      <w:tr>
        <w:trPr>
          <w:trHeight w:val="252"/>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 of Selling Shareholder</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line="251" w:lineRule="exact"/>
              <w:rPr>
                <w:sz w:val="20"/>
                <w:szCs w:val="20"/>
                <w:color w:val="auto"/>
              </w:rPr>
            </w:pPr>
            <w:r>
              <w:rPr>
                <w:rFonts w:ascii="Times New Roman" w:cs="Times New Roman" w:eastAsia="Times New Roman" w:hAnsi="Times New Roman"/>
                <w:sz w:val="17"/>
                <w:szCs w:val="17"/>
                <w:b w:val="1"/>
                <w:bCs w:val="1"/>
                <w:color w:val="auto"/>
                <w:w w:val="93"/>
              </w:rPr>
              <w:t>to Offering</w:t>
            </w:r>
            <w:r>
              <w:rPr>
                <w:rFonts w:ascii="Times New Roman" w:cs="Times New Roman" w:eastAsia="Times New Roman" w:hAnsi="Times New Roman"/>
                <w:sz w:val="28"/>
                <w:szCs w:val="28"/>
                <w:b w:val="1"/>
                <w:bCs w:val="1"/>
                <w:color w:val="auto"/>
                <w:w w:val="93"/>
                <w:vertAlign w:val="superscript"/>
              </w:rPr>
              <w:t>(1)</w:t>
            </w:r>
          </w:p>
        </w:tc>
        <w:tc>
          <w:tcPr>
            <w:tcW w:w="4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 (%)</w:t>
            </w:r>
          </w:p>
        </w:tc>
        <w:tc>
          <w:tcPr>
            <w:tcW w:w="36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this Prospectus</w:t>
            </w:r>
          </w:p>
        </w:tc>
        <w:tc>
          <w:tcPr>
            <w:tcW w:w="3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line="251" w:lineRule="exact"/>
              <w:rPr>
                <w:sz w:val="20"/>
                <w:szCs w:val="20"/>
                <w:color w:val="auto"/>
              </w:rPr>
            </w:pPr>
            <w:r>
              <w:rPr>
                <w:rFonts w:ascii="Times New Roman" w:cs="Times New Roman" w:eastAsia="Times New Roman" w:hAnsi="Times New Roman"/>
                <w:sz w:val="17"/>
                <w:szCs w:val="17"/>
                <w:b w:val="1"/>
                <w:bCs w:val="1"/>
                <w:color w:val="auto"/>
                <w:w w:val="92"/>
              </w:rPr>
              <w:t>Offering</w:t>
            </w:r>
            <w:r>
              <w:rPr>
                <w:rFonts w:ascii="Times New Roman" w:cs="Times New Roman" w:eastAsia="Times New Roman" w:hAnsi="Times New Roman"/>
                <w:sz w:val="28"/>
                <w:szCs w:val="28"/>
                <w:b w:val="1"/>
                <w:bCs w:val="1"/>
                <w:color w:val="auto"/>
                <w:w w:val="92"/>
                <w:vertAlign w:val="superscript"/>
              </w:rPr>
              <w:t>(2)</w:t>
            </w:r>
          </w:p>
        </w:tc>
        <w:tc>
          <w:tcPr>
            <w:tcW w:w="3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Offering (%)</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9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Rhino Ventures Limited(3)</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34,014,566(4)</w:t>
            </w:r>
          </w:p>
        </w:tc>
        <w:tc>
          <w:tcPr>
            <w:tcW w:w="4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7"/>
                <w:szCs w:val="17"/>
                <w:color w:val="auto"/>
              </w:rPr>
              <w:t>68.9%</w:t>
            </w: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4,500,000</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29,514,566</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59.8%</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300" w:hanging="299"/>
        <w:spacing w:after="0" w:line="254" w:lineRule="auto"/>
        <w:tabs>
          <w:tab w:leader="none" w:pos="3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is determined in accordance with the rules and regulations of the SEC. In computing the number of shares beneficially owned by a person and the percentage ownership of that person, securities that are currently convertible or exercisable into Ordinary Shares, or convertible or exercisable into our Ordinary Shares within 60 days of the date hereof are deemed outstanding. Such shares, however, are not deemed outstanding for the purposes of computing the percentage ownership of any other person. Except as indicated in the footnotes to the following table, each stockholder named in the table has sole voting and investment power with respect to the shares set forth opposite such stockholder’s name.</w:t>
      </w:r>
    </w:p>
    <w:p>
      <w:pPr>
        <w:spacing w:after="0" w:line="175"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the sale of the 4,500,000 Ordinary Shares including 2,250,000 Ordinary Shares underlying the IPO Warrants held by the Selling Shareholder pursuant to the Resale Prospectus filed herewith.</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51" w:lineRule="auto"/>
        <w:tabs>
          <w:tab w:leader="none" w:pos="3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Rhino Ventures Limited, a British Virgin Islands limited liability company, is wholly-owned and managed by Miles Pelham, who has voting and dispositive control over the Ordinary Shares held by Rhino Ventures Limited. The business address of Rhino Ventures Limited is Craigmuir Chambers, Road Town, Tortola, VS 1110, British Virgin Islands. In addition to holding 9,890,247 Ordinary Shares, Rhino Ventures Limited also holds (a) 4,170,520 warrants to purchase Ordinary Shares in an amount equal to 51% of the Company’s outstanding Ordinary Shares at the time the warrants are exercised, exercisable at a price of $6.13 per warrant and expire on May 27, 2027 and (b) (i) warrants to purchase 2,250,000 Ordinary Shares, exercisable at a price of $6.15 per share and which expire 9 months after January 23, 2025, (ii) warrants to purchase 2,250,000 Ordinary Shares, exercisable at a price of $7.18 per share and which expire 12 months after January 23, 2025 (iii) warrants to purchase 2,250,000 Ordinary Shares, exercisable at a price of $8.20 per share and which expire 15 months after January 23, 2025, (iv) warrants to purchase 2,250,000 Ordinary Shares, exercisable at a price of $10.25 per share and which expire 18 months after January 23, 2025 and (v) warrants to purchase 2,250,000 Ordinary Shares, exercisable at a price of $12.30 per share and which expire 24 months after January 23, 2025.</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Selling Shareholder, with respect to their Ordinary Shares sold pursuant to the Resale Prospectus in this offering, have not entered into Lock-up Agreements. See “Risk Factor — The future sales of Ordinary Shares by existing shareholders, including the sales pursuant to the Resale Prospectus, may adversely affect the market price of our Ordinary Shares.”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b w:val="1"/>
          <w:bCs w:val="1"/>
          <w:color w:val="auto"/>
        </w:rPr>
        <w:t>SELLING SHAREHOLDERS PLAN OF DISTRIBUTION</w:t>
      </w:r>
    </w:p>
    <w:p>
      <w:pPr>
        <w:spacing w:after="0" w:line="212"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Selling Shareholder and any of their pledgees, donees, assignees and successors-in-interest may, from time to time, sell any or all of their Ordinary Shares being offered under this Resale Prospectus on any stock exchange, market or trading facility on which shares of our Ordinary Shares are traded or in private transactions. These sales may be at fixed or negotiated prices. The Selling Shareholder may use any one or more of the following methods when disposing of shares:</w:t>
      </w:r>
    </w:p>
    <w:p>
      <w:pPr>
        <w:spacing w:after="0" w:line="169" w:lineRule="exact"/>
        <w:rPr>
          <w:sz w:val="20"/>
          <w:szCs w:val="20"/>
          <w:color w:val="auto"/>
        </w:rPr>
      </w:pPr>
    </w:p>
    <w:p>
      <w:pPr>
        <w:ind w:left="600" w:hanging="297"/>
        <w:spacing w:after="0"/>
        <w:tabs>
          <w:tab w:leader="none" w:pos="6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shares as agent but may position; and resell a portion of the block as principal to facilitate the transaction;</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resales by the broker-dealer for its account;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cover short sales made after the date that the registration statement of which this Resale Prospectus is a part is declared effective by the SEC;</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 may agree with the Selling Shareholder to sell a specified number of such shares at a stipulated price per share;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of these methods of sale;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208"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The shares may also be sold under Rule 144 under the Securities Act of 1933, as amended, if available for the Selling Shareholder, rather than under this Resale Prospectus. The Selling Shareholder has the sole and absolute discretion not to accept any purchase offer or make any sale of shares if they deem the purchase price to be unsatisfactory at any particular time.</w:t>
      </w:r>
    </w:p>
    <w:p>
      <w:pPr>
        <w:spacing w:after="0" w:line="16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The Selling Shareholder may pledge their shares to their brokers under the margin provisions of customer agreements. If the Selling Shareholder defaults on a margin loan, the broker may, from time to time, offer and sell the pledged shares.</w:t>
      </w:r>
    </w:p>
    <w:p>
      <w:pPr>
        <w:spacing w:after="0" w:line="15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Broker-dealers engaged by the Selling Shareholder may arrange for other broker-dealers to participate in sales. Broker-dealers may receive commissions or discounts from the Selling Shareholder (or, if any broker-dealer acts as agent for the purchaser of shares, from the purchaser) in amounts to be negotiated, which commissions as to a particular broker or dealer may be in excess of customary commissions to the extent permitted by applicable law.</w:t>
      </w:r>
    </w:p>
    <w:p>
      <w:pPr>
        <w:spacing w:after="0" w:line="169" w:lineRule="exact"/>
        <w:rPr>
          <w:sz w:val="20"/>
          <w:szCs w:val="20"/>
          <w:color w:val="auto"/>
        </w:rPr>
      </w:pPr>
    </w:p>
    <w:p>
      <w:pPr>
        <w:jc w:val="both"/>
        <w:ind w:firstLine="303"/>
        <w:spacing w:after="0" w:line="261" w:lineRule="auto"/>
        <w:rPr>
          <w:sz w:val="20"/>
          <w:szCs w:val="20"/>
          <w:color w:val="auto"/>
        </w:rPr>
      </w:pPr>
      <w:r>
        <w:rPr>
          <w:rFonts w:ascii="Times New Roman" w:cs="Times New Roman" w:eastAsia="Times New Roman" w:hAnsi="Times New Roman"/>
          <w:sz w:val="17"/>
          <w:szCs w:val="17"/>
          <w:color w:val="auto"/>
        </w:rPr>
        <w:t>If sales of shares offered under this Resale Prospectus are made to broker-dealers as principals, we would be required to file a post-effective amendment to the registration statement of which this Resale Prospectus is a part. In the post-effective amendment, we would be required to disclose the names of any participating broker-dealers and the compensation arrangements relating to such sales.</w:t>
      </w:r>
    </w:p>
    <w:p>
      <w:pPr>
        <w:spacing w:after="0" w:line="169"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The Selling Shareholder and any broker-dealers or agents that are involved in selling the shares offered under this Resale Prospectus may be deemed to be “underwriters” within the meaning of the Securities Act in connection with these sales. Commissions received by these broker-dealers or agents and any profit on the resale of the shares purchased by them may be deemed to be underwriting discount under the Securities Act. Any broker-dealers or agents that are deemed to be underwriters may not sell shares offered under this Resale Prospectus unless and until we set forth the names of the underwriters and the material details of their underwriting arrangements in a supplement to this Resale Prospectus or, if required, in a replacement resale prospectus included in a post-effective amendment to the registration statement of which this Resale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5" w:name="page116"/>
    <w:bookmarkEnd w:id="115"/>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The Selling Shareholder and any other persons participating in the sale or distribution of the shares offered under this Resale Prospectus will be subject to applicable provisions of the Exchange Act, and the rules and regulations under that act, including Regulation M. These provisions may restrict activities of, and limit the timing of purchases and sales of any of the shares by, the Selling Shareholder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w:t>
      </w:r>
    </w:p>
    <w:p>
      <w:pPr>
        <w:spacing w:after="0" w:line="176"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Rule 2710 requires members firms to satisfy the filing requirements of Rule 2710 in connection with the resale, on behalf of Selling Shareholder, of the securities on a principal or agency basis. NASD Notice to Members 88-101 states that in the event the Selling Shareholder intends to sell any of the shares registered for resale in this Resale Prospectus through a member of FINRA participating in a distribution of our securities, such member is responsible for insuring that a timely filing, if required, is first made with the Corporate Finance Department of FINRA and disclosing to FINRA the following:</w:t>
      </w:r>
    </w:p>
    <w:p>
      <w:pPr>
        <w:spacing w:after="0" w:line="175" w:lineRule="exact"/>
        <w:rPr>
          <w:sz w:val="20"/>
          <w:szCs w:val="20"/>
          <w:color w:val="auto"/>
        </w:rPr>
      </w:pPr>
    </w:p>
    <w:p>
      <w:pPr>
        <w:ind w:left="600" w:hanging="297"/>
        <w:spacing w:after="0"/>
        <w:tabs>
          <w:tab w:leader="none" w:pos="6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intends to take possession of the registered securities or to facilitate the transfer of such certificates;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complete details of how the Selling Shareholder’ shares are and will be held, including location of the particular accounts;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member firm or any direct or indirect affiliates thereof have entered into, will facilitate or otherwise participate in any type of payment transaction with the Selling Shareholder, including details regarding any such transactions; and</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any of the securities offered by the Selling Shareholder are sold, transferred, assigned or hypothecated by any Selling Shareholder in a transaction that directly or indirectly involves a member firm of FINRA or any affiliates thereof, that prior to or at the time of said transaction the member firm will timely file all relevant documents with respect to such transaction(s) with the Corporate Finance Department of FINRA for review.</w:t>
      </w:r>
    </w:p>
    <w:p>
      <w:pPr>
        <w:spacing w:after="0" w:line="169" w:lineRule="exact"/>
        <w:rPr>
          <w:sz w:val="20"/>
          <w:szCs w:val="20"/>
          <w:color w:val="auto"/>
        </w:rPr>
      </w:pPr>
    </w:p>
    <w:p>
      <w:pPr>
        <w:jc w:val="both"/>
        <w:ind w:firstLine="303"/>
        <w:spacing w:after="0" w:line="277" w:lineRule="auto"/>
        <w:rPr>
          <w:sz w:val="20"/>
          <w:szCs w:val="20"/>
          <w:color w:val="auto"/>
        </w:rPr>
      </w:pPr>
      <w:r>
        <w:rPr>
          <w:rFonts w:ascii="Times New Roman" w:cs="Times New Roman" w:eastAsia="Times New Roman" w:hAnsi="Times New Roman"/>
          <w:sz w:val="16"/>
          <w:szCs w:val="16"/>
          <w:color w:val="auto"/>
        </w:rPr>
        <w:t>No FINRA member firm may receive compensation in excess of that allowable under FINRA rules, including Rule 2710, in connection with the resale of the securities by the Selling Shareholder. If any of the ordinary shares offered for sale pursuant to this Resale Prospectus are transferred other than pursuant to a sale under this Resale Prospectus, then subsequent holders could not use this Resale Prospectus until a post-effective amendment or prospectus supplement is filed, naming such holders. We offer no assurance as to whether any of the Selling Shareholder will sell all or any portion of the shares offered under this Resale Prospectus.</w:t>
      </w:r>
    </w:p>
    <w:p>
      <w:pPr>
        <w:spacing w:after="0" w:line="15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have agreed to pay all fees and expenses we incur incident to the registration of the shares being offered under this Resale Prospectus. However, each Selling Shareholder and purchaser is responsible for paying any discount, and similar selling expenses they incur.</w:t>
      </w:r>
    </w:p>
    <w:p>
      <w:pPr>
        <w:spacing w:after="0" w:line="159" w:lineRule="exact"/>
        <w:rPr>
          <w:sz w:val="20"/>
          <w:szCs w:val="20"/>
          <w:color w:val="auto"/>
        </w:rPr>
      </w:pPr>
    </w:p>
    <w:p>
      <w:pPr>
        <w:jc w:val="both"/>
        <w:ind w:firstLine="303"/>
        <w:spacing w:after="0" w:line="274" w:lineRule="auto"/>
        <w:rPr>
          <w:sz w:val="20"/>
          <w:szCs w:val="20"/>
          <w:color w:val="auto"/>
        </w:rPr>
      </w:pPr>
      <w:r>
        <w:rPr>
          <w:rFonts w:ascii="Times New Roman" w:cs="Times New Roman" w:eastAsia="Times New Roman" w:hAnsi="Times New Roman"/>
          <w:sz w:val="17"/>
          <w:szCs w:val="17"/>
          <w:color w:val="auto"/>
        </w:rPr>
        <w:t>We and the Selling Shareholder have agreed to indemnify one another against certain losses, damages and liabilities arising in connection with this Resale Prospectus, including liabilities under the Securities Act.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Loeb &amp; Loeb LLP is our U.S. and Hong Kong legal counsel. Ogier is our Cayman counsel.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financial statements of Diginex Limited as of March 31, 2025, 2024, and 2023, and for the years then ended, included in Prospectus have been audited by UHY LLP, an independent registered public accounting firm, as stated in their report thereon and included in this Prospectus, in reliance upon such report and upon the authority of such firm as experts in accounting and auditing.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ENFORCEMENT OF CIVIL LIABILITIES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are incorporated under the laws of the Cayman Islands as an exempted company with limited liability. We are incorporated in the Cayman Islands in order to enjoy the following benefits: (a) political and economic stability; (b) an effective judicial system; (c) a favorable tax system; (d) the absence of exchange control or currency restrictions; and (e) the availability of professional and support services. However, certain disadvantages accompany incorporation in the Cayman Islands. These disadvantages include:</w:t>
      </w:r>
    </w:p>
    <w:p>
      <w:pPr>
        <w:spacing w:after="0" w:line="175" w:lineRule="exact"/>
        <w:rPr>
          <w:sz w:val="20"/>
          <w:szCs w:val="20"/>
          <w:color w:val="auto"/>
        </w:rPr>
      </w:pPr>
    </w:p>
    <w:p>
      <w:pPr>
        <w:ind w:left="600" w:hanging="297"/>
        <w:spacing w:after="0" w:line="274" w:lineRule="auto"/>
        <w:tabs>
          <w:tab w:leader="none" w:pos="6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Cayman Islands has a less exhaustive body of securities laws than the United States and these securities laws provide significantly less protection to investors; and</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Cayman Islands companies may not have standing to sue before the federal courts of the United States.</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Our constitutional documents do not contain provisions requiring that disputes, including those arising under the securities laws of the United States, among us, our officers, directors and shareholders, be arbitrated.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been advised by our Cayman Islands legal counsel that there is uncertainty as to whether the courts of the Cayman Islands would:</w:t>
      </w:r>
    </w:p>
    <w:p>
      <w:pPr>
        <w:spacing w:after="0" w:line="208" w:lineRule="exact"/>
        <w:rPr>
          <w:sz w:val="20"/>
          <w:szCs w:val="20"/>
          <w:color w:val="auto"/>
        </w:rPr>
      </w:pPr>
    </w:p>
    <w:p>
      <w:pPr>
        <w:ind w:left="600" w:hanging="297"/>
        <w:spacing w:after="0"/>
        <w:tabs>
          <w:tab w:leader="none" w:pos="6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 or enforce against us judgments of courts of the United States based on certain civil liability provisions of U.S. securities laws; and</w:t>
      </w:r>
    </w:p>
    <w:p>
      <w:pPr>
        <w:spacing w:after="0" w:line="22"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entertain original actions brought in each respective jurisdiction against us or our directors or officers predicated upon the securities laws of the United States or any state in the United States.</w:t>
      </w:r>
    </w:p>
    <w:p>
      <w:pPr>
        <w:spacing w:after="0" w:line="174"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There is no statutory enforcement in the Cayman Islands of judgments obtained in the United States, although the courts of the Cayman Islands will in certain circumstances recognize and enforce a foreign judgment, without any re-examination or re-litigation of matters adjudicated upon, provided such judgment:</w:t>
      </w:r>
    </w:p>
    <w:p>
      <w:pPr>
        <w:spacing w:after="0" w:line="159" w:lineRule="exact"/>
        <w:rPr>
          <w:sz w:val="20"/>
          <w:szCs w:val="20"/>
          <w:color w:val="auto"/>
        </w:rPr>
      </w:pPr>
    </w:p>
    <w:p>
      <w:pPr>
        <w:ind w:left="600" w:hanging="297"/>
        <w:spacing w:after="0"/>
        <w:tabs>
          <w:tab w:leader="none" w:pos="6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given by a foreign court of competent jurisdiction;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imposes on the judgment debtor a liability to pay a liquidated sum for which the judgment has been given;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final;</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in respect of taxes, a fine or a penalty;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not obtained by fraud; and</w:t>
      </w:r>
    </w:p>
    <w:p>
      <w:pPr>
        <w:spacing w:after="0" w:line="207" w:lineRule="exact"/>
        <w:rPr>
          <w:rFonts w:ascii="Times New Roman" w:cs="Times New Roman" w:eastAsia="Times New Roman" w:hAnsi="Times New Roman"/>
          <w:sz w:val="17"/>
          <w:szCs w:val="17"/>
          <w:color w:val="auto"/>
        </w:rPr>
      </w:pPr>
    </w:p>
    <w:p>
      <w:pPr>
        <w:ind w:left="5500" w:right="3000" w:hanging="5197"/>
        <w:spacing w:after="0" w:line="522" w:lineRule="auto"/>
        <w:tabs>
          <w:tab w:leader="none" w:pos="608"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of a kind the enforcement of which is contrary to natural justice or the public policy of the Cayman Islands.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7" w:name="page118"/>
    <w:bookmarkEnd w:id="117"/>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subject to the informational requirements of the Exchange Act that are applicable to foreign private issuers. Accordingly, we are required to file or furnish reports and other information with the SEC. The SEC maintains an internet website at http://www.sec.gov, from which you can electronically access the registration statement, this Prospectus and our other materials.</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Our corporate website is </w:t>
      </w:r>
      <w:r>
        <w:rPr>
          <w:rFonts w:ascii="Times New Roman" w:cs="Times New Roman" w:eastAsia="Times New Roman" w:hAnsi="Times New Roman"/>
          <w:sz w:val="17"/>
          <w:szCs w:val="17"/>
          <w:i w:val="1"/>
          <w:iCs w:val="1"/>
          <w:color w:val="auto"/>
        </w:rPr>
        <w:t>https://www.diginex.com</w:t>
      </w:r>
      <w:r>
        <w:rPr>
          <w:rFonts w:ascii="Times New Roman" w:cs="Times New Roman" w:eastAsia="Times New Roman" w:hAnsi="Times New Roman"/>
          <w:sz w:val="17"/>
          <w:szCs w:val="17"/>
          <w:color w:val="auto"/>
        </w:rPr>
        <w:t>. The information contained on our website is not a part of this prospectus.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FINANCIAL STATEMENTS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273050</wp:posOffset>
            </wp:positionV>
            <wp:extent cx="71412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2"/>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w w:val="97"/>
              </w:rPr>
              <w:t>Table of Contents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046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Consolidated financial statements as of and for the years ended 31 March 2023, 2024 and 2025</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Pages</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6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44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(Firm ID: 1195)</w:t>
            </w:r>
          </w:p>
        </w:tc>
        <w:tc>
          <w:tcPr>
            <w:tcW w:w="78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58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5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0440" w:type="dxa"/>
            <w:vAlign w:val="bottom"/>
            <w:gridSpan w:val="8"/>
          </w:tcPr>
          <w:p>
            <w:pPr>
              <w:spacing w:after="0" w:line="164" w:lineRule="exact"/>
              <w:rPr>
                <w:sz w:val="20"/>
                <w:szCs w:val="20"/>
                <w:color w:val="auto"/>
              </w:rPr>
            </w:pPr>
            <w:r>
              <w:rPr>
                <w:rFonts w:ascii="Times New Roman" w:cs="Times New Roman" w:eastAsia="Times New Roman" w:hAnsi="Times New Roman"/>
                <w:sz w:val="17"/>
                <w:szCs w:val="17"/>
                <w:color w:val="0000EE"/>
              </w:rPr>
              <w:t>Consolidated Statements of Profit or Loss and Other Comprehensive Loss</w:t>
            </w:r>
          </w:p>
        </w:tc>
        <w:tc>
          <w:tcPr>
            <w:tcW w:w="78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tcBorders>
              <w:top w:val="single" w:sz="8" w:color="0000EE"/>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Consolidated Statements of Financial Position</w:t>
            </w:r>
          </w:p>
        </w:tc>
        <w:tc>
          <w:tcPr>
            <w:tcW w:w="5480" w:type="dxa"/>
            <w:vAlign w:val="bottom"/>
            <w:gridSpan w:val="2"/>
            <w:shd w:val="clear" w:color="auto" w:fill="CCEEFF"/>
          </w:tcPr>
          <w:p>
            <w:pPr>
              <w:spacing w:after="0"/>
              <w:rPr>
                <w:sz w:val="15"/>
                <w:szCs w:val="15"/>
                <w:color w:val="auto"/>
              </w:rPr>
            </w:pPr>
          </w:p>
        </w:tc>
        <w:tc>
          <w:tcPr>
            <w:tcW w:w="78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5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74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7"/>
                <w:szCs w:val="17"/>
                <w:color w:val="0000EE"/>
                <w:w w:val="97"/>
              </w:rPr>
              <w:t>Consolidated Statements of Changes in Equity (Deficit)</w:t>
            </w:r>
          </w:p>
        </w:tc>
        <w:tc>
          <w:tcPr>
            <w:tcW w:w="6700" w:type="dxa"/>
            <w:vAlign w:val="bottom"/>
            <w:gridSpan w:val="4"/>
          </w:tcPr>
          <w:p>
            <w:pPr>
              <w:spacing w:after="0"/>
              <w:rPr>
                <w:sz w:val="14"/>
                <w:szCs w:val="14"/>
                <w:color w:val="auto"/>
              </w:rPr>
            </w:pPr>
          </w:p>
        </w:tc>
        <w:tc>
          <w:tcPr>
            <w:tcW w:w="78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7"/>
              </w:rPr>
              <w:t>F-5 - F-6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660" w:type="dxa"/>
            <w:vAlign w:val="bottom"/>
            <w:tcBorders>
              <w:bottom w:val="single" w:sz="8" w:color="0000EE"/>
            </w:tcBorders>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Consolidated Statements of Cash Flows</w:t>
            </w:r>
          </w:p>
        </w:tc>
        <w:tc>
          <w:tcPr>
            <w:tcW w:w="7780" w:type="dxa"/>
            <w:vAlign w:val="bottom"/>
            <w:tcBorders>
              <w:bottom w:val="single" w:sz="8" w:color="CCEEFF"/>
            </w:tcBorders>
            <w:gridSpan w:val="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F-7-F-8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40" w:type="dxa"/>
            <w:vAlign w:val="bottom"/>
            <w:gridSpan w:val="8"/>
          </w:tcPr>
          <w:p>
            <w:pPr>
              <w:spacing w:after="0" w:line="164" w:lineRule="exact"/>
              <w:rPr>
                <w:sz w:val="20"/>
                <w:szCs w:val="20"/>
                <w:color w:val="auto"/>
              </w:rPr>
            </w:pPr>
            <w:r>
              <w:rPr>
                <w:rFonts w:ascii="Times New Roman" w:cs="Times New Roman" w:eastAsia="Times New Roman" w:hAnsi="Times New Roman"/>
                <w:sz w:val="17"/>
                <w:szCs w:val="17"/>
                <w:color w:val="0000EE"/>
              </w:rPr>
              <w:t>Notes to the Consolidated Financial Statements</w:t>
            </w:r>
          </w:p>
        </w:tc>
        <w:tc>
          <w:tcPr>
            <w:tcW w:w="78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7"/>
              </w:rPr>
              <w:t>F-9- F-47</w:t>
            </w: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266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2"/>
          </w:tcPr>
          <w:p>
            <w:pPr>
              <w:jc w:val="center"/>
              <w:ind w:right="4200"/>
              <w:spacing w:after="0"/>
              <w:rPr>
                <w:sz w:val="20"/>
                <w:szCs w:val="20"/>
                <w:color w:val="auto"/>
              </w:rPr>
            </w:pPr>
            <w:r>
              <w:rPr>
                <w:rFonts w:ascii="Times New Roman" w:cs="Times New Roman" w:eastAsia="Times New Roman" w:hAnsi="Times New Roman"/>
                <w:sz w:val="17"/>
                <w:szCs w:val="17"/>
                <w:color w:val="auto"/>
              </w:rPr>
              <w:t>F-1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120" w:name="page121"/>
    <w:bookmarkEnd w:id="120"/>
    <w:p>
      <w:pPr>
        <w:ind w:left="29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Shareholders of Diginex Limited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the accompanying consolidated financial statements of Diginex Limited (the “Company”), which comprise the consolidated statements of financial position as of March 31, 2025 and 2024, and the related consolidated statements of profit or loss and other comprehensive loss, changes in equity, and cash flows for the years then ended, and the related notes to the financial statements. In our opinion, the consolidated financial statements referred to above present fairly, in all material respects, the financial position of Diginex Limited as of March 31, 2025 and 2024, and the results of their operations and their cash flows for the years then ended in accordance with International Financial Reporting Standards issued by the International Accounting Standards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UHY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July 11,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PROFIT OR LOSS AND OTHER COMPREHENSIVE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31 March 2023, 2024 and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47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Notes</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47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2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2,040,602</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1,299,538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1,625,763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24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(10,344,514)</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(9,363,345)</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(8,900,491)</w:t>
            </w:r>
          </w:p>
        </w:tc>
      </w:tr>
      <w:tr>
        <w:trPr>
          <w:trHeight w:val="194"/>
        </w:trPr>
        <w:tc>
          <w:tcPr>
            <w:tcW w:w="47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OPERATING LOSS</w:t>
            </w:r>
          </w:p>
        </w:tc>
        <w:tc>
          <w:tcPr>
            <w:tcW w:w="1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(8,303,912)</w:t>
            </w:r>
          </w:p>
        </w:tc>
        <w:tc>
          <w:tcPr>
            <w:tcW w:w="34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(8,063,807)</w:t>
            </w:r>
          </w:p>
        </w:tc>
        <w:tc>
          <w:tcPr>
            <w:tcW w:w="3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(7,274,728)</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gains or (losses)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3,501,200</w:t>
            </w:r>
          </w:p>
        </w:tc>
        <w:tc>
          <w:tcPr>
            <w:tcW w:w="340" w:type="dxa"/>
            <w:vAlign w:val="bottom"/>
          </w:tcPr>
          <w:p>
            <w:pPr>
              <w:spacing w:after="0"/>
              <w:rPr>
                <w:sz w:val="17"/>
                <w:szCs w:val="17"/>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3,753,988</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(1,762,410)</w:t>
            </w: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cost, net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(410,167)</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(552,651)</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(220,460)</w:t>
            </w:r>
          </w:p>
        </w:tc>
      </w:tr>
      <w:tr>
        <w:trPr>
          <w:trHeight w:val="194"/>
        </w:trPr>
        <w:tc>
          <w:tcPr>
            <w:tcW w:w="472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LOSS BEFORE TAX</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(5,212,879)</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(4,862,470)</w:t>
            </w:r>
          </w:p>
        </w:tc>
        <w:tc>
          <w:tcPr>
            <w:tcW w:w="320" w:type="dxa"/>
            <w:vAlign w:val="bottom"/>
          </w:tcPr>
          <w:p>
            <w:pPr>
              <w:spacing w:after="0"/>
              <w:rPr>
                <w:sz w:val="16"/>
                <w:szCs w:val="16"/>
                <w:color w:val="auto"/>
              </w:rPr>
            </w:pPr>
          </w:p>
        </w:tc>
        <w:tc>
          <w:tcPr>
            <w:tcW w:w="14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(9,257,598)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(8,917)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49"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LOSS FOR THE YEAR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Items that may be reclassified subsequently to profit or loss: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 gain (loss) on translation of foreign operations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COMPREHENSIVE LOSS FOR THE YEAR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PER SHARE ATTRIBUTABLE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ORDINARY EQUITY HOLDERS OF THE COMPANY</w:t>
      </w:r>
    </w:p>
    <w:p>
      <w:pPr>
        <w:spacing w:after="0" w:line="20" w:lineRule="exact"/>
        <w:rPr>
          <w:sz w:val="20"/>
          <w:szCs w:val="20"/>
          <w:color w:val="auto"/>
        </w:rPr>
      </w:pPr>
      <w:r>
        <w:rPr>
          <w:sz w:val="20"/>
          <w:szCs w:val="20"/>
          <w:color w:val="auto"/>
        </w:rPr>
        <w:br w:type="column"/>
      </w:r>
    </w:p>
    <w:p>
      <w:pPr>
        <w:jc w:val="both"/>
        <w:ind w:left="740"/>
        <w:spacing w:after="0"/>
        <w:tabs>
          <w:tab w:leader="none" w:pos="2540" w:val="left"/>
          <w:tab w:leader="none" w:pos="4300" w:val="left"/>
        </w:tabs>
        <w:rPr>
          <w:sz w:val="20"/>
          <w:szCs w:val="20"/>
          <w:color w:val="auto"/>
        </w:rPr>
      </w:pPr>
      <w:r>
        <w:rPr>
          <w:rFonts w:ascii="Times New Roman" w:cs="Times New Roman" w:eastAsia="Times New Roman" w:hAnsi="Times New Roman"/>
          <w:sz w:val="17"/>
          <w:szCs w:val="17"/>
          <w:color w:val="auto"/>
        </w:rPr>
        <w:t>(5,212,879)</w:t>
      </w:r>
      <w:r>
        <w:rPr>
          <w:sz w:val="20"/>
          <w:szCs w:val="20"/>
          <w:color w:val="auto"/>
        </w:rPr>
        <w:tab/>
      </w:r>
      <w:r>
        <w:rPr>
          <w:rFonts w:ascii="Times New Roman" w:cs="Times New Roman" w:eastAsia="Times New Roman" w:hAnsi="Times New Roman"/>
          <w:sz w:val="17"/>
          <w:szCs w:val="17"/>
          <w:color w:val="auto"/>
        </w:rPr>
        <w:t>(4,871,387)</w:t>
      </w:r>
      <w:r>
        <w:rPr>
          <w:sz w:val="20"/>
          <w:szCs w:val="20"/>
          <w:color w:val="auto"/>
        </w:rPr>
        <w:tab/>
      </w:r>
      <w:r>
        <w:rPr>
          <w:rFonts w:ascii="Times New Roman" w:cs="Times New Roman" w:eastAsia="Times New Roman" w:hAnsi="Times New Roman"/>
          <w:sz w:val="16"/>
          <w:szCs w:val="16"/>
          <w:color w:val="auto"/>
        </w:rPr>
        <w:t>(9,257,598)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3810</wp:posOffset>
            </wp:positionV>
            <wp:extent cx="7141210" cy="144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40" w:type="dxa"/>
            <w:vAlign w:val="bottom"/>
          </w:tcPr>
          <w:p>
            <w:pPr>
              <w:spacing w:after="0"/>
              <w:rPr>
                <w:sz w:val="20"/>
                <w:szCs w:val="20"/>
                <w:color w:val="auto"/>
              </w:rPr>
            </w:pP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(7,684)</w:t>
            </w: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1,680</w:t>
            </w:r>
          </w:p>
        </w:tc>
      </w:tr>
      <w:tr>
        <w:trPr>
          <w:trHeight w:val="207"/>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(5,212,849</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(4,879,071</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(9,255,918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-303530</wp:posOffset>
            </wp:positionV>
            <wp:extent cx="7141210" cy="135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1210" cy="13589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-15240</wp:posOffset>
            </wp:positionV>
            <wp:extent cx="7141210" cy="168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210" cy="168275"/>
                    </a:xfrm>
                    <a:prstGeom prst="rect">
                      <a:avLst/>
                    </a:prstGeom>
                    <a:noFill/>
                  </pic:spPr>
                </pic:pic>
              </a:graphicData>
            </a:graphic>
          </wp:anchor>
        </w:drawing>
      </w:r>
    </w:p>
    <w:p>
      <w:pPr>
        <w:spacing w:after="0" w:line="660" w:lineRule="exact"/>
        <w:rPr>
          <w:sz w:val="20"/>
          <w:szCs w:val="20"/>
          <w:color w:val="auto"/>
        </w:rPr>
      </w:pPr>
    </w:p>
    <w:p>
      <w:pPr>
        <w:sectPr>
          <w:pgSz w:w="11900" w:h="16838" w:orient="portrait"/>
          <w:cols w:equalWidth="0" w:num="2">
            <w:col w:w="5380" w:space="720"/>
            <w:col w:w="5140"/>
          </w:cols>
          <w:pgMar w:left="320" w:top="649"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loss per share</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(0.33)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(0.51)</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 loss per share</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(0.53)</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(0.75)</w:t>
            </w: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top w:val="single" w:sz="8" w:color="CCEEFF"/>
            </w:tcBorders>
            <w:gridSpan w:val="3"/>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97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above consolidated statements of profit or loss and other comprehensive loss should be read in conjunction with the accompanying notes.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2160"/>
              <w:spacing w:after="0"/>
              <w:rPr>
                <w:sz w:val="20"/>
                <w:szCs w:val="20"/>
                <w:color w:val="auto"/>
              </w:rPr>
            </w:pPr>
            <w:r>
              <w:rPr>
                <w:rFonts w:ascii="Times New Roman" w:cs="Times New Roman" w:eastAsia="Times New Roman" w:hAnsi="Times New Roman"/>
                <w:sz w:val="17"/>
                <w:szCs w:val="17"/>
                <w:color w:val="auto"/>
              </w:rPr>
              <w:t>F-3</w:t>
            </w:r>
          </w:p>
        </w:tc>
        <w:tc>
          <w:tcPr>
            <w:tcW w:w="1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FINANCIAL POSITION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 31 March 2024 and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2"/>
          </w:tcPr>
          <w:p>
            <w:pPr>
              <w:jc w:val="right"/>
              <w:ind w:right="301"/>
              <w:spacing w:after="0"/>
              <w:rPr>
                <w:sz w:val="20"/>
                <w:szCs w:val="20"/>
                <w:color w:val="auto"/>
              </w:rPr>
            </w:pPr>
            <w:r>
              <w:rPr>
                <w:rFonts w:ascii="Times New Roman" w:cs="Times New Roman" w:eastAsia="Times New Roman" w:hAnsi="Times New Roman"/>
                <w:sz w:val="17"/>
                <w:szCs w:val="17"/>
                <w:color w:val="auto"/>
              </w:rPr>
              <w:t>At</w:t>
            </w:r>
          </w:p>
        </w:tc>
        <w:tc>
          <w:tcPr>
            <w:tcW w:w="17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At</w:t>
            </w:r>
          </w:p>
        </w:tc>
        <w:tc>
          <w:tcPr>
            <w:tcW w:w="0" w:type="dxa"/>
            <w:vAlign w:val="bottom"/>
          </w:tcPr>
          <w:p>
            <w:pPr>
              <w:spacing w:after="0"/>
              <w:rPr>
                <w:sz w:val="1"/>
                <w:szCs w:val="1"/>
                <w:color w:val="auto"/>
              </w:rPr>
            </w:pPr>
          </w:p>
        </w:tc>
      </w:tr>
      <w:tr>
        <w:trPr>
          <w:trHeight w:val="218"/>
        </w:trPr>
        <w:tc>
          <w:tcPr>
            <w:tcW w:w="6080" w:type="dxa"/>
            <w:vAlign w:val="bottom"/>
          </w:tcPr>
          <w:p>
            <w:pPr>
              <w:spacing w:after="0"/>
              <w:rPr>
                <w:sz w:val="18"/>
                <w:szCs w:val="18"/>
                <w:color w:val="auto"/>
              </w:rPr>
            </w:pPr>
          </w:p>
        </w:tc>
        <w:tc>
          <w:tcPr>
            <w:tcW w:w="13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Notes</w:t>
            </w: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31 March 2025</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225,672</w:t>
            </w: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357,202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Rental deposit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45,463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Plant and equipment</w:t>
            </w: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2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non-current assets</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271,135</w:t>
            </w: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392,633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Trade receivables, net</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1,394,545</w:t>
            </w: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182,334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750</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Other receivables, deposit and prepayment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13</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1,066,191</w:t>
            </w: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253,476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bank balance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27</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399,400</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3,111,141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current assets</w:t>
            </w:r>
          </w:p>
        </w:tc>
        <w:tc>
          <w:tcPr>
            <w:tcW w:w="1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5,972,027</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581,784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2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(200,660)</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(788,798)</w:t>
            </w: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Other payables and accruals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220" w:type="dxa"/>
            <w:vAlign w:val="bottom"/>
          </w:tcPr>
          <w:p>
            <w:pPr>
              <w:spacing w:after="0"/>
              <w:rPr>
                <w:sz w:val="17"/>
                <w:szCs w:val="17"/>
                <w:color w:val="auto"/>
              </w:rPr>
            </w:pP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(706,874)</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(596,870)</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payables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(8,917)</w:t>
            </w: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revenues</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15</w:t>
            </w:r>
          </w:p>
        </w:tc>
        <w:tc>
          <w:tcPr>
            <w:tcW w:w="220" w:type="dxa"/>
            <w:vAlign w:val="bottom"/>
          </w:tcPr>
          <w:p>
            <w:pPr>
              <w:spacing w:after="0"/>
              <w:rPr>
                <w:sz w:val="17"/>
                <w:szCs w:val="17"/>
                <w:color w:val="auto"/>
              </w:rPr>
            </w:pP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(505,424)</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(322,826)</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a related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16</w:t>
            </w:r>
          </w:p>
        </w:tc>
        <w:tc>
          <w:tcPr>
            <w:tcW w:w="2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(34,579)</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(34,579)</w:t>
            </w: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Due to immediate holding 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16</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(5,345,929)</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from immediate holding company</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16</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(1,930,993)</w:t>
            </w: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Loan from a related company</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16</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(1,140,931)</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 current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19</w:t>
            </w:r>
          </w:p>
        </w:tc>
        <w:tc>
          <w:tcPr>
            <w:tcW w:w="2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(126,808)</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(122,076)</w:t>
            </w:r>
          </w:p>
        </w:tc>
        <w:tc>
          <w:tcPr>
            <w:tcW w:w="0" w:type="dxa"/>
            <w:vAlign w:val="bottom"/>
          </w:tcPr>
          <w:p>
            <w:pPr>
              <w:spacing w:after="0"/>
              <w:rPr>
                <w:sz w:val="1"/>
                <w:szCs w:val="1"/>
                <w:color w:val="auto"/>
              </w:rPr>
            </w:pP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Convertible loan notes, current</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18</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(3,975,534)</w:t>
            </w:r>
          </w:p>
        </w:tc>
        <w:tc>
          <w:tcPr>
            <w:tcW w:w="0" w:type="dxa"/>
            <w:vAlign w:val="bottom"/>
          </w:tcPr>
          <w:p>
            <w:pPr>
              <w:spacing w:after="0"/>
              <w:rPr>
                <w:sz w:val="1"/>
                <w:szCs w:val="1"/>
                <w:color w:val="auto"/>
              </w:rPr>
            </w:pPr>
          </w:p>
        </w:tc>
      </w:tr>
      <w:tr>
        <w:trPr>
          <w:trHeight w:val="194"/>
        </w:trPr>
        <w:tc>
          <w:tcPr>
            <w:tcW w:w="6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(1,574,345)</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(14,267,453)</w:t>
            </w:r>
          </w:p>
        </w:tc>
        <w:tc>
          <w:tcPr>
            <w:tcW w:w="10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19</w:t>
            </w:r>
          </w:p>
        </w:tc>
        <w:tc>
          <w:tcPr>
            <w:tcW w:w="220" w:type="dxa"/>
            <w:vAlign w:val="bottom"/>
          </w:tcPr>
          <w:p>
            <w:pPr>
              <w:spacing w:after="0"/>
              <w:rPr>
                <w:sz w:val="17"/>
                <w:szCs w:val="17"/>
                <w:color w:val="auto"/>
              </w:rPr>
            </w:pP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(110,867)</w:t>
            </w: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(243,280)</w:t>
            </w: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shares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(9,359,000)</w:t>
            </w:r>
          </w:p>
        </w:tc>
        <w:tc>
          <w:tcPr>
            <w:tcW w:w="0" w:type="dxa"/>
            <w:vAlign w:val="bottom"/>
          </w:tcPr>
          <w:p>
            <w:pPr>
              <w:spacing w:after="0"/>
              <w:rPr>
                <w:sz w:val="1"/>
                <w:szCs w:val="1"/>
                <w:color w:val="auto"/>
              </w:rPr>
            </w:pPr>
          </w:p>
        </w:tc>
      </w:tr>
      <w:tr>
        <w:trPr>
          <w:trHeight w:val="21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Convertible loan notes, net of current portion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18</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(114,808)</w:t>
            </w:r>
          </w:p>
        </w:tc>
        <w:tc>
          <w:tcPr>
            <w:tcW w:w="0" w:type="dxa"/>
            <w:vAlign w:val="bottom"/>
          </w:tcPr>
          <w:p>
            <w:pPr>
              <w:spacing w:after="0"/>
              <w:rPr>
                <w:sz w:val="1"/>
                <w:szCs w:val="1"/>
                <w:color w:val="auto"/>
              </w:rPr>
            </w:pPr>
          </w:p>
        </w:tc>
      </w:tr>
      <w:tr>
        <w:trPr>
          <w:trHeight w:val="194"/>
        </w:trPr>
        <w:tc>
          <w:tcPr>
            <w:tcW w:w="60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non-current liabilities</w:t>
            </w:r>
          </w:p>
        </w:tc>
        <w:tc>
          <w:tcPr>
            <w:tcW w:w="1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(110,867</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(9,717,088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60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current assets (liabilities)</w:t>
            </w:r>
          </w:p>
        </w:tc>
        <w:tc>
          <w:tcPr>
            <w:tcW w:w="11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4,397,682</w:t>
            </w:r>
          </w:p>
        </w:tc>
        <w:tc>
          <w:tcPr>
            <w:tcW w:w="3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(13,685,669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assets (liabilities)</w:t>
            </w: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4,557,950</w:t>
            </w:r>
          </w:p>
        </w:tc>
        <w:tc>
          <w:tcPr>
            <w:tcW w:w="3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(23,010,124</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EQUITY (DEFICIT)</w:t>
            </w: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0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Capital</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Share Premium</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220" w:type="dxa"/>
            <w:vAlign w:val="bottom"/>
          </w:tcPr>
          <w:p>
            <w:pPr>
              <w:spacing w:after="0"/>
              <w:rPr>
                <w:sz w:val="17"/>
                <w:szCs w:val="17"/>
                <w:color w:val="auto"/>
              </w:rPr>
            </w:pP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25,689,436</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reserve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20, 21</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5,126,150</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3,752,192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Warrant reserve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20, 21</w:t>
            </w:r>
          </w:p>
        </w:tc>
        <w:tc>
          <w:tcPr>
            <w:tcW w:w="220" w:type="dxa"/>
            <w:vAlign w:val="bottom"/>
          </w:tcPr>
          <w:p>
            <w:pPr>
              <w:spacing w:after="0"/>
              <w:rPr>
                <w:sz w:val="17"/>
                <w:szCs w:val="17"/>
                <w:color w:val="auto"/>
              </w:rPr>
            </w:pP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79,263,200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Exchange reserve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2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(1,651)</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(1,681)</w:t>
            </w: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Share option reserve</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1,076,345</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2,409,689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losses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(106,596,680)</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(29,170,801)</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equity (deficit)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4,557,950</w:t>
            </w:r>
          </w:p>
        </w:tc>
        <w:tc>
          <w:tcPr>
            <w:tcW w:w="34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(23,010,124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above consolidated statements of financial position should be read in conjunction with the accompanying notes.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 (DEFICIT)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31 March 2023, 2024 and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Share</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400" w:type="dxa"/>
            <w:vAlign w:val="bottom"/>
          </w:tcPr>
          <w:p>
            <w:pPr>
              <w:spacing w:after="0"/>
              <w:rPr>
                <w:sz w:val="20"/>
                <w:szCs w:val="20"/>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Share</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capital</w:t>
            </w:r>
          </w:p>
        </w:tc>
        <w:tc>
          <w:tcPr>
            <w:tcW w:w="10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Share</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Capital</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89"/>
              </w:rPr>
              <w:t>Warrant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5"/>
              </w:rPr>
              <w:t>Exchange</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6"/>
              </w:rPr>
              <w:t>option</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Accumulated</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400" w:type="dxa"/>
            <w:vAlign w:val="bottom"/>
          </w:tcPr>
          <w:p>
            <w:pPr>
              <w:spacing w:after="0"/>
              <w:rPr>
                <w:sz w:val="16"/>
                <w:szCs w:val="16"/>
                <w:color w:val="auto"/>
              </w:rPr>
            </w:pPr>
          </w:p>
        </w:tc>
        <w:tc>
          <w:tcPr>
            <w:tcW w:w="7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Shares</w:t>
            </w:r>
          </w:p>
        </w:tc>
        <w:tc>
          <w:tcPr>
            <w:tcW w:w="240" w:type="dxa"/>
            <w:vAlign w:val="bottom"/>
          </w:tcPr>
          <w:p>
            <w:pPr>
              <w:spacing w:after="0"/>
              <w:rPr>
                <w:sz w:val="16"/>
                <w:szCs w:val="16"/>
                <w:color w:val="auto"/>
              </w:rPr>
            </w:pPr>
          </w:p>
        </w:tc>
        <w:tc>
          <w:tcPr>
            <w:tcW w:w="8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Amount</w:t>
            </w:r>
          </w:p>
        </w:tc>
        <w:tc>
          <w:tcPr>
            <w:tcW w:w="140" w:type="dxa"/>
            <w:vAlign w:val="bottom"/>
          </w:tcPr>
          <w:p>
            <w:pPr>
              <w:spacing w:after="0"/>
              <w:rPr>
                <w:sz w:val="16"/>
                <w:szCs w:val="16"/>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premium</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reserve</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reserve</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reserve</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reserve</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losses</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Total</w:t>
            </w:r>
          </w:p>
        </w:tc>
      </w:tr>
      <w:tr>
        <w:trPr>
          <w:trHeight w:val="194"/>
        </w:trPr>
        <w:tc>
          <w:tcPr>
            <w:tcW w:w="24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40" w:type="dxa"/>
            <w:vAlign w:val="bottom"/>
          </w:tcPr>
          <w:p>
            <w:pPr>
              <w:spacing w:after="0"/>
              <w:rPr>
                <w:sz w:val="16"/>
                <w:szCs w:val="16"/>
                <w:color w:val="auto"/>
              </w:rPr>
            </w:pPr>
          </w:p>
        </w:tc>
        <w:tc>
          <w:tcPr>
            <w:tcW w:w="5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40" w:type="dxa"/>
            <w:vAlign w:val="bottom"/>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181"/>
        </w:trPr>
        <w:tc>
          <w:tcPr>
            <w:tcW w:w="2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Balance at 1 April 2022 – pre-</w:t>
            </w: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recapitalizaion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3,725,301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4,323</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499,808</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(15,041,816)</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(10,812,384)</w:t>
            </w:r>
          </w:p>
        </w:tc>
      </w:tr>
      <w:tr>
        <w:trPr>
          <w:trHeight w:val="202"/>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for the year</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(9,257,598)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(9,257,598)</w:t>
            </w:r>
          </w:p>
        </w:tc>
      </w:tr>
      <w:tr>
        <w:trPr>
          <w:trHeight w:val="185"/>
        </w:trPr>
        <w:tc>
          <w:tcPr>
            <w:tcW w:w="24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Exchange gain on translation of</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operations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1,680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1,680</w:t>
            </w:r>
          </w:p>
        </w:tc>
      </w:tr>
      <w:tr>
        <w:trPr>
          <w:trHeight w:val="165"/>
        </w:trPr>
        <w:tc>
          <w:tcPr>
            <w:tcW w:w="2400" w:type="dxa"/>
            <w:vAlign w:val="bottom"/>
          </w:tcPr>
          <w:p>
            <w:pPr>
              <w:ind w:left="20"/>
              <w:spacing w:after="0" w:line="165" w:lineRule="exact"/>
              <w:rPr>
                <w:sz w:val="20"/>
                <w:szCs w:val="20"/>
                <w:color w:val="auto"/>
              </w:rPr>
            </w:pPr>
            <w:r>
              <w:rPr>
                <w:rFonts w:ascii="Times New Roman" w:cs="Times New Roman" w:eastAsia="Times New Roman" w:hAnsi="Times New Roman"/>
                <w:sz w:val="17"/>
                <w:szCs w:val="17"/>
                <w:color w:val="auto"/>
              </w:rPr>
              <w:t>Total comprehensive loss for the</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1,680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(9,257,598)</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(9,255,918)</w:t>
            </w:r>
          </w:p>
        </w:tc>
      </w:tr>
      <w:tr>
        <w:trPr>
          <w:trHeight w:val="21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option awards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584,462</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584,462</w:t>
            </w:r>
          </w:p>
        </w:tc>
      </w:tr>
      <w:tr>
        <w:trPr>
          <w:trHeight w:val="165"/>
        </w:trPr>
        <w:tc>
          <w:tcPr>
            <w:tcW w:w="2400" w:type="dxa"/>
            <w:vAlign w:val="bottom"/>
          </w:tcPr>
          <w:p>
            <w:pPr>
              <w:ind w:left="20"/>
              <w:spacing w:after="0" w:line="165" w:lineRule="exact"/>
              <w:rPr>
                <w:sz w:val="20"/>
                <w:szCs w:val="20"/>
                <w:color w:val="auto"/>
              </w:rPr>
            </w:pPr>
            <w:r>
              <w:rPr>
                <w:rFonts w:ascii="Times New Roman" w:cs="Times New Roman" w:eastAsia="Times New Roman" w:hAnsi="Times New Roman"/>
                <w:sz w:val="17"/>
                <w:szCs w:val="17"/>
                <w:color w:val="auto"/>
              </w:rPr>
              <w:t>Balance at 31 March 2023 – pre-</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recapitalization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3,725,301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6,003</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1,084,270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(24,299,414)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(19,483,840)</w:t>
            </w:r>
          </w:p>
        </w:tc>
      </w:tr>
      <w:tr>
        <w:trPr>
          <w:trHeight w:val="185"/>
        </w:trPr>
        <w:tc>
          <w:tcPr>
            <w:tcW w:w="24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Recapitalization of DSL (as</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defined in note 1.1)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4,737,038</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(3,724,826)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3,724,826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r>
      <w:tr>
        <w:trPr>
          <w:trHeight w:val="194"/>
        </w:trPr>
        <w:tc>
          <w:tcPr>
            <w:tcW w:w="24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4,748,620</w:t>
            </w:r>
          </w:p>
        </w:tc>
        <w:tc>
          <w:tcPr>
            <w:tcW w:w="24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3,724,826</w:t>
            </w:r>
          </w:p>
        </w:tc>
        <w:tc>
          <w:tcPr>
            <w:tcW w:w="240" w:type="dxa"/>
            <w:vAlign w:val="bottom"/>
          </w:tcPr>
          <w:p>
            <w:pPr>
              <w:spacing w:after="0"/>
              <w:rPr>
                <w:sz w:val="16"/>
                <w:szCs w:val="16"/>
                <w:color w:val="auto"/>
              </w:rPr>
            </w:pPr>
          </w:p>
        </w:tc>
        <w:tc>
          <w:tcPr>
            <w:tcW w:w="5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6,003</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1,084,270</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(24,299,414)</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(19,483,840)</w:t>
            </w:r>
          </w:p>
        </w:tc>
        <w:tc>
          <w:tcPr>
            <w:tcW w:w="80" w:type="dxa"/>
            <w:vAlign w:val="bottom"/>
          </w:tcPr>
          <w:p>
            <w:pPr>
              <w:spacing w:after="0"/>
              <w:rPr>
                <w:sz w:val="16"/>
                <w:szCs w:val="16"/>
                <w:color w:val="auto"/>
              </w:rPr>
            </w:pPr>
          </w:p>
        </w:tc>
      </w:tr>
      <w:tr>
        <w:trPr>
          <w:trHeight w:val="185"/>
        </w:trPr>
        <w:tc>
          <w:tcPr>
            <w:tcW w:w="24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Share Subdivision (as defined in</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 1.1)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4,748,620</w:t>
            </w: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r>
      <w:tr>
        <w:trPr>
          <w:trHeight w:val="161"/>
        </w:trPr>
        <w:tc>
          <w:tcPr>
            <w:tcW w:w="240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b w:val="1"/>
                <w:bCs w:val="1"/>
                <w:color w:val="auto"/>
              </w:rPr>
              <w:t>Balance at 31 March 2023 –</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87"/>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recapitalized</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9,497,240</w:t>
            </w:r>
          </w:p>
        </w:tc>
        <w:tc>
          <w:tcPr>
            <w:tcW w:w="24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3,724,826</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6,003</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1,084,270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(24,299,414)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(19,483,840)</w:t>
            </w:r>
          </w:p>
        </w:tc>
      </w:tr>
      <w:tr>
        <w:trPr>
          <w:trHeight w:val="180"/>
        </w:trPr>
        <w:tc>
          <w:tcPr>
            <w:tcW w:w="24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1"/>
        </w:trPr>
        <w:tc>
          <w:tcPr>
            <w:tcW w:w="24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Balance at 1 April 2023 – pre-</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2"/>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recapitalization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11,582</w:t>
            </w: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3,725,301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6,003</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1,084,270</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(24,299,414)</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(19,483,840)</w:t>
            </w:r>
          </w:p>
        </w:tc>
      </w:tr>
      <w:tr>
        <w:trPr>
          <w:trHeight w:val="20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for the 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(4,871,387)</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(4,871,387)</w:t>
            </w:r>
          </w:p>
        </w:tc>
      </w:tr>
      <w:tr>
        <w:trPr>
          <w:trHeight w:val="185"/>
        </w:trPr>
        <w:tc>
          <w:tcPr>
            <w:tcW w:w="24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Exchange loss on translation of</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1"/>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(7,684)</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(7,684)</w:t>
            </w:r>
          </w:p>
        </w:tc>
      </w:tr>
      <w:tr>
        <w:trPr>
          <w:trHeight w:val="165"/>
        </w:trPr>
        <w:tc>
          <w:tcPr>
            <w:tcW w:w="240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Total comprehensive loss for the</w:t>
            </w: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(7,684)</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(4,871,387)</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(4,879,071)</w:t>
            </w:r>
          </w:p>
        </w:tc>
      </w:tr>
      <w:tr>
        <w:trPr>
          <w:trHeight w:val="202"/>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of share option awards</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4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27,368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(27,368)</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r>
      <w:tr>
        <w:trPr>
          <w:trHeight w:val="21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option awards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1,352,787</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1,352,787</w:t>
            </w:r>
          </w:p>
        </w:tc>
        <w:tc>
          <w:tcPr>
            <w:tcW w:w="80" w:type="dxa"/>
            <w:vAlign w:val="bottom"/>
            <w:shd w:val="clear" w:color="auto" w:fill="CCEEFF"/>
          </w:tcPr>
          <w:p>
            <w:pPr>
              <w:spacing w:after="0"/>
              <w:rPr>
                <w:sz w:val="18"/>
                <w:szCs w:val="18"/>
                <w:color w:val="auto"/>
              </w:rPr>
            </w:pPr>
          </w:p>
        </w:tc>
      </w:tr>
      <w:tr>
        <w:trPr>
          <w:trHeight w:val="165"/>
        </w:trPr>
        <w:tc>
          <w:tcPr>
            <w:tcW w:w="2400" w:type="dxa"/>
            <w:vAlign w:val="bottom"/>
          </w:tcPr>
          <w:p>
            <w:pPr>
              <w:ind w:left="20"/>
              <w:spacing w:after="0" w:line="165" w:lineRule="exact"/>
              <w:rPr>
                <w:sz w:val="20"/>
                <w:szCs w:val="20"/>
                <w:color w:val="auto"/>
              </w:rPr>
            </w:pPr>
            <w:r>
              <w:rPr>
                <w:rFonts w:ascii="Times New Roman" w:cs="Times New Roman" w:eastAsia="Times New Roman" w:hAnsi="Times New Roman"/>
                <w:sz w:val="17"/>
                <w:szCs w:val="17"/>
                <w:color w:val="auto"/>
              </w:rPr>
              <w:t>Balance at 31 March 2024 – pre-</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11,626</w:t>
            </w: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3,752,669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(1,681)</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2,409,689</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(29,170,801)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(23,010,124)</w:t>
            </w:r>
          </w:p>
        </w:tc>
      </w:tr>
      <w:tr>
        <w:trPr>
          <w:trHeight w:val="21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Recapitalization of DSL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4,755,034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(3,752,192)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3,752,192</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194"/>
        </w:trPr>
        <w:tc>
          <w:tcPr>
            <w:tcW w:w="24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4,766,660</w:t>
            </w:r>
          </w:p>
        </w:tc>
        <w:tc>
          <w:tcPr>
            <w:tcW w:w="24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3,752,192</w:t>
            </w:r>
          </w:p>
        </w:tc>
        <w:tc>
          <w:tcPr>
            <w:tcW w:w="240" w:type="dxa"/>
            <w:vAlign w:val="bottom"/>
          </w:tcPr>
          <w:p>
            <w:pPr>
              <w:spacing w:after="0"/>
              <w:rPr>
                <w:sz w:val="16"/>
                <w:szCs w:val="16"/>
                <w:color w:val="auto"/>
              </w:rPr>
            </w:pPr>
          </w:p>
        </w:tc>
        <w:tc>
          <w:tcPr>
            <w:tcW w:w="5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2,409,689</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(29,170,801)</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(23,010,124)</w:t>
            </w:r>
          </w:p>
        </w:tc>
        <w:tc>
          <w:tcPr>
            <w:tcW w:w="80" w:type="dxa"/>
            <w:vAlign w:val="bottom"/>
          </w:tcPr>
          <w:p>
            <w:pPr>
              <w:spacing w:after="0"/>
              <w:rPr>
                <w:sz w:val="16"/>
                <w:szCs w:val="16"/>
                <w:color w:val="auto"/>
              </w:rPr>
            </w:pPr>
          </w:p>
        </w:tc>
      </w:tr>
      <w:tr>
        <w:trPr>
          <w:trHeight w:val="21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Founding share of the Company</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194"/>
        </w:trPr>
        <w:tc>
          <w:tcPr>
            <w:tcW w:w="24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4,766,661</w:t>
            </w:r>
          </w:p>
        </w:tc>
        <w:tc>
          <w:tcPr>
            <w:tcW w:w="24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3,752,192</w:t>
            </w:r>
          </w:p>
        </w:tc>
        <w:tc>
          <w:tcPr>
            <w:tcW w:w="240" w:type="dxa"/>
            <w:vAlign w:val="bottom"/>
          </w:tcPr>
          <w:p>
            <w:pPr>
              <w:spacing w:after="0"/>
              <w:rPr>
                <w:sz w:val="16"/>
                <w:szCs w:val="16"/>
                <w:color w:val="auto"/>
              </w:rPr>
            </w:pPr>
          </w:p>
        </w:tc>
        <w:tc>
          <w:tcPr>
            <w:tcW w:w="5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2,409,689</w:t>
            </w:r>
          </w:p>
        </w:tc>
        <w:tc>
          <w:tcPr>
            <w:tcW w:w="240" w:type="dxa"/>
            <w:vAlign w:val="bottom"/>
          </w:tcPr>
          <w:p>
            <w:pPr>
              <w:spacing w:after="0"/>
              <w:rPr>
                <w:sz w:val="16"/>
                <w:szCs w:val="16"/>
                <w:color w:val="auto"/>
              </w:rPr>
            </w:pPr>
          </w:p>
        </w:tc>
        <w:tc>
          <w:tcPr>
            <w:tcW w:w="10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(29,170,801)</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(23,010,124)</w:t>
            </w:r>
          </w:p>
        </w:tc>
        <w:tc>
          <w:tcPr>
            <w:tcW w:w="80" w:type="dxa"/>
            <w:vAlign w:val="bottom"/>
          </w:tcPr>
          <w:p>
            <w:pPr>
              <w:spacing w:after="0"/>
              <w:rPr>
                <w:sz w:val="16"/>
                <w:szCs w:val="16"/>
                <w:color w:val="auto"/>
              </w:rPr>
            </w:pPr>
          </w:p>
        </w:tc>
      </w:tr>
      <w:tr>
        <w:trPr>
          <w:trHeight w:val="21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Subdivision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4,766,661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161"/>
        </w:trPr>
        <w:tc>
          <w:tcPr>
            <w:tcW w:w="2400" w:type="dxa"/>
            <w:vAlign w:val="bottom"/>
          </w:tcPr>
          <w:p>
            <w:pPr>
              <w:ind w:left="20"/>
              <w:spacing w:after="0" w:line="162" w:lineRule="exact"/>
              <w:rPr>
                <w:sz w:val="20"/>
                <w:szCs w:val="20"/>
                <w:color w:val="auto"/>
              </w:rPr>
            </w:pPr>
            <w:r>
              <w:rPr>
                <w:rFonts w:ascii="Times New Roman" w:cs="Times New Roman" w:eastAsia="Times New Roman" w:hAnsi="Times New Roman"/>
                <w:sz w:val="17"/>
                <w:szCs w:val="17"/>
                <w:b w:val="1"/>
                <w:bCs w:val="1"/>
                <w:color w:val="auto"/>
              </w:rPr>
              <w:t>Balance at 31 March 2024 –</w:t>
            </w: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47"/>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recapitalized</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9,533,322</w:t>
            </w:r>
          </w:p>
        </w:tc>
        <w:tc>
          <w:tcPr>
            <w:tcW w:w="2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3,752,192</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(1,681)</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2,409,689</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(29,170,801)</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(23,010,124)</w:t>
            </w:r>
          </w:p>
        </w:tc>
      </w:tr>
      <w:tr>
        <w:trPr>
          <w:trHeight w:val="20"/>
        </w:trPr>
        <w:tc>
          <w:tcPr>
            <w:tcW w:w="2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1"/>
        </w:trPr>
        <w:tc>
          <w:tcPr>
            <w:tcW w:w="2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F-5</w:t>
            </w: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Share</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Share</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capital</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Share</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Capital</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6"/>
              </w:rPr>
              <w:t>Warrant</w:t>
            </w: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w w:val="95"/>
              </w:rPr>
              <w:t>Exchange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option</w:t>
            </w: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7"/>
                <w:szCs w:val="17"/>
                <w:color w:val="auto"/>
              </w:rPr>
              <w:t>Accumulated</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100" w:type="dxa"/>
            <w:vAlign w:val="bottom"/>
          </w:tcPr>
          <w:p>
            <w:pPr>
              <w:spacing w:after="0"/>
              <w:rPr>
                <w:sz w:val="16"/>
                <w:szCs w:val="16"/>
                <w:color w:val="auto"/>
              </w:rPr>
            </w:pPr>
          </w:p>
        </w:tc>
        <w:tc>
          <w:tcPr>
            <w:tcW w:w="8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Shares</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Amount</w:t>
            </w:r>
          </w:p>
        </w:tc>
        <w:tc>
          <w:tcPr>
            <w:tcW w:w="200" w:type="dxa"/>
            <w:vAlign w:val="bottom"/>
          </w:tcPr>
          <w:p>
            <w:pPr>
              <w:spacing w:after="0"/>
              <w:rPr>
                <w:sz w:val="16"/>
                <w:szCs w:val="16"/>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premium</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reserve</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7"/>
              </w:rPr>
              <w:t>reserve</w:t>
            </w:r>
          </w:p>
        </w:tc>
        <w:tc>
          <w:tcPr>
            <w:tcW w:w="860" w:type="dxa"/>
            <w:vAlign w:val="bottom"/>
            <w:gridSpan w:val="2"/>
          </w:tcPr>
          <w:p>
            <w:pPr>
              <w:jc w:val="right"/>
              <w:ind w:right="258"/>
              <w:spacing w:after="0"/>
              <w:rPr>
                <w:sz w:val="20"/>
                <w:szCs w:val="20"/>
                <w:color w:val="auto"/>
              </w:rPr>
            </w:pPr>
            <w:r>
              <w:rPr>
                <w:rFonts w:ascii="Times New Roman" w:cs="Times New Roman" w:eastAsia="Times New Roman" w:hAnsi="Times New Roman"/>
                <w:sz w:val="17"/>
                <w:szCs w:val="17"/>
                <w:color w:val="auto"/>
              </w:rPr>
              <w:t>reserve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reserve</w:t>
            </w:r>
          </w:p>
        </w:tc>
        <w:tc>
          <w:tcPr>
            <w:tcW w:w="1200" w:type="dxa"/>
            <w:vAlign w:val="bottom"/>
            <w:gridSpan w:val="2"/>
          </w:tcPr>
          <w:p>
            <w:pPr>
              <w:jc w:val="right"/>
              <w:ind w:right="421"/>
              <w:spacing w:after="0"/>
              <w:rPr>
                <w:sz w:val="20"/>
                <w:szCs w:val="20"/>
                <w:color w:val="auto"/>
              </w:rPr>
            </w:pPr>
            <w:r>
              <w:rPr>
                <w:rFonts w:ascii="Times New Roman" w:cs="Times New Roman" w:eastAsia="Times New Roman" w:hAnsi="Times New Roman"/>
                <w:sz w:val="17"/>
                <w:szCs w:val="17"/>
                <w:color w:val="auto"/>
              </w:rPr>
              <w:t>losses</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Total</w:t>
            </w:r>
          </w:p>
        </w:tc>
      </w:tr>
      <w:tr>
        <w:trPr>
          <w:trHeight w:val="194"/>
        </w:trPr>
        <w:tc>
          <w:tcPr>
            <w:tcW w:w="21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00" w:type="dxa"/>
            <w:vAlign w:val="bottom"/>
          </w:tcPr>
          <w:p>
            <w:pPr>
              <w:spacing w:after="0"/>
              <w:rPr>
                <w:sz w:val="16"/>
                <w:szCs w:val="16"/>
                <w:color w:val="auto"/>
              </w:rPr>
            </w:pPr>
          </w:p>
        </w:tc>
        <w:tc>
          <w:tcPr>
            <w:tcW w:w="9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181"/>
        </w:trPr>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Balance at 1 April 2024 -</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2"/>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pre-recapitalization</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11,626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3,752,669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(1,681)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2,409,689</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(29,170,801)</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(23,010,124)</w:t>
            </w:r>
          </w:p>
        </w:tc>
      </w:tr>
      <w:tr>
        <w:trPr>
          <w:trHeight w:val="185"/>
        </w:trPr>
        <w:tc>
          <w:tcPr>
            <w:tcW w:w="2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Exercise of share option</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8"/>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awards (pre-recapitalization)</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27,368</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(27,368)</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r>
      <w:tr>
        <w:trPr>
          <w:trHeight w:val="185"/>
        </w:trPr>
        <w:tc>
          <w:tcPr>
            <w:tcW w:w="21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Capital Raise (as defined in</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 1.2)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5,086</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1,346,800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6,653,200</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8,000,000</w:t>
            </w:r>
          </w:p>
        </w:tc>
        <w:tc>
          <w:tcPr>
            <w:tcW w:w="80" w:type="dxa"/>
            <w:vAlign w:val="bottom"/>
            <w:shd w:val="clear" w:color="auto" w:fill="CCEEFF"/>
          </w:tcPr>
          <w:p>
            <w:pPr>
              <w:spacing w:after="0"/>
              <w:rPr>
                <w:sz w:val="20"/>
                <w:szCs w:val="20"/>
                <w:color w:val="auto"/>
              </w:rPr>
            </w:pPr>
          </w:p>
        </w:tc>
      </w:tr>
      <w:tr>
        <w:trPr>
          <w:trHeight w:val="194"/>
        </w:trPr>
        <w:tc>
          <w:tcPr>
            <w:tcW w:w="2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Pre-recapitalized balance</w:t>
            </w: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16,756</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5,126,837</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2,382,321</w:t>
            </w:r>
          </w:p>
        </w:tc>
        <w:tc>
          <w:tcPr>
            <w:tcW w:w="200" w:type="dxa"/>
            <w:vAlign w:val="bottom"/>
          </w:tcPr>
          <w:p>
            <w:pPr>
              <w:spacing w:after="0"/>
              <w:rPr>
                <w:sz w:val="16"/>
                <w:szCs w:val="16"/>
                <w:color w:val="auto"/>
              </w:rPr>
            </w:pPr>
          </w:p>
        </w:tc>
        <w:tc>
          <w:tcPr>
            <w:tcW w:w="9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(29,170,801)</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(15,010,124)</w:t>
            </w:r>
          </w:p>
        </w:tc>
        <w:tc>
          <w:tcPr>
            <w:tcW w:w="80" w:type="dxa"/>
            <w:vAlign w:val="bottom"/>
          </w:tcPr>
          <w:p>
            <w:pPr>
              <w:spacing w:after="0"/>
              <w:rPr>
                <w:sz w:val="16"/>
                <w:szCs w:val="16"/>
                <w:color w:val="auto"/>
              </w:rPr>
            </w:pPr>
          </w:p>
        </w:tc>
      </w:tr>
      <w:tr>
        <w:trPr>
          <w:trHeight w:val="21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Recapitalization of DSL</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6,853,204</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(5,126,150)</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5,126,150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194"/>
        </w:trPr>
        <w:tc>
          <w:tcPr>
            <w:tcW w:w="2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6,869,960</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687</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5,126,150</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2,382,321</w:t>
            </w:r>
          </w:p>
        </w:tc>
        <w:tc>
          <w:tcPr>
            <w:tcW w:w="200" w:type="dxa"/>
            <w:vAlign w:val="bottom"/>
          </w:tcPr>
          <w:p>
            <w:pPr>
              <w:spacing w:after="0"/>
              <w:rPr>
                <w:sz w:val="16"/>
                <w:szCs w:val="16"/>
                <w:color w:val="auto"/>
              </w:rPr>
            </w:pPr>
          </w:p>
        </w:tc>
        <w:tc>
          <w:tcPr>
            <w:tcW w:w="9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(29,170,801)</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(15,010,124)</w:t>
            </w:r>
          </w:p>
        </w:tc>
        <w:tc>
          <w:tcPr>
            <w:tcW w:w="80" w:type="dxa"/>
            <w:vAlign w:val="bottom"/>
          </w:tcPr>
          <w:p>
            <w:pPr>
              <w:spacing w:after="0"/>
              <w:rPr>
                <w:sz w:val="16"/>
                <w:szCs w:val="16"/>
                <w:color w:val="auto"/>
              </w:rPr>
            </w:pPr>
          </w:p>
        </w:tc>
      </w:tr>
      <w:tr>
        <w:trPr>
          <w:trHeight w:val="185"/>
        </w:trPr>
        <w:tc>
          <w:tcPr>
            <w:tcW w:w="21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Founding share of the</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Company</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r>
      <w:tr>
        <w:trPr>
          <w:trHeight w:val="194"/>
        </w:trPr>
        <w:tc>
          <w:tcPr>
            <w:tcW w:w="2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6,869,961</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687</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5,126,150</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2,382,321</w:t>
            </w:r>
          </w:p>
        </w:tc>
        <w:tc>
          <w:tcPr>
            <w:tcW w:w="200" w:type="dxa"/>
            <w:vAlign w:val="bottom"/>
          </w:tcPr>
          <w:p>
            <w:pPr>
              <w:spacing w:after="0"/>
              <w:rPr>
                <w:sz w:val="16"/>
                <w:szCs w:val="16"/>
                <w:color w:val="auto"/>
              </w:rPr>
            </w:pPr>
          </w:p>
        </w:tc>
        <w:tc>
          <w:tcPr>
            <w:tcW w:w="9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(29,170,801)</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(15,010,124)</w:t>
            </w:r>
          </w:p>
        </w:tc>
        <w:tc>
          <w:tcPr>
            <w:tcW w:w="80" w:type="dxa"/>
            <w:vAlign w:val="bottom"/>
          </w:tcPr>
          <w:p>
            <w:pPr>
              <w:spacing w:after="0"/>
              <w:rPr>
                <w:sz w:val="16"/>
                <w:szCs w:val="16"/>
                <w:color w:val="auto"/>
              </w:rPr>
            </w:pPr>
          </w:p>
        </w:tc>
      </w:tr>
      <w:tr>
        <w:trPr>
          <w:trHeight w:val="21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Subdivision</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6,869,961</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r>
      <w:tr>
        <w:trPr>
          <w:trHeight w:val="194"/>
        </w:trPr>
        <w:tc>
          <w:tcPr>
            <w:tcW w:w="21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Recapitalized balance</w:t>
            </w: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13,739,922</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687</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5,126,150</w:t>
            </w:r>
          </w:p>
        </w:tc>
        <w:tc>
          <w:tcPr>
            <w:tcW w:w="200" w:type="dxa"/>
            <w:vAlign w:val="bottom"/>
          </w:tcPr>
          <w:p>
            <w:pPr>
              <w:spacing w:after="0"/>
              <w:rPr>
                <w:sz w:val="16"/>
                <w:szCs w:val="16"/>
                <w:color w:val="auto"/>
              </w:rPr>
            </w:pPr>
          </w:p>
        </w:tc>
        <w:tc>
          <w:tcPr>
            <w:tcW w:w="8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00" w:type="dxa"/>
            <w:vAlign w:val="bottom"/>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w:t>
            </w:r>
          </w:p>
        </w:tc>
        <w:tc>
          <w:tcPr>
            <w:tcW w:w="20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2,382,321</w:t>
            </w:r>
          </w:p>
        </w:tc>
        <w:tc>
          <w:tcPr>
            <w:tcW w:w="200" w:type="dxa"/>
            <w:vAlign w:val="bottom"/>
          </w:tcPr>
          <w:p>
            <w:pPr>
              <w:spacing w:after="0"/>
              <w:rPr>
                <w:sz w:val="16"/>
                <w:szCs w:val="16"/>
                <w:color w:val="auto"/>
              </w:rPr>
            </w:pPr>
          </w:p>
        </w:tc>
        <w:tc>
          <w:tcPr>
            <w:tcW w:w="9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(29,170,801)</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(15,010,124)</w:t>
            </w:r>
          </w:p>
        </w:tc>
        <w:tc>
          <w:tcPr>
            <w:tcW w:w="80" w:type="dxa"/>
            <w:vAlign w:val="bottom"/>
          </w:tcPr>
          <w:p>
            <w:pPr>
              <w:spacing w:after="0"/>
              <w:rPr>
                <w:sz w:val="16"/>
                <w:szCs w:val="16"/>
                <w:color w:val="auto"/>
              </w:rPr>
            </w:pPr>
          </w:p>
        </w:tc>
      </w:tr>
      <w:tr>
        <w:trPr>
          <w:trHeight w:val="202"/>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for 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(5,212,879)</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(5,212,879)</w:t>
            </w:r>
          </w:p>
        </w:tc>
      </w:tr>
      <w:tr>
        <w:trPr>
          <w:trHeight w:val="185"/>
        </w:trPr>
        <w:tc>
          <w:tcPr>
            <w:tcW w:w="2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Exchange gain on</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translation of foreign</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1"/>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30</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Pr>
          <w:p>
            <w:pPr>
              <w:spacing w:after="0"/>
              <w:rPr>
                <w:sz w:val="20"/>
                <w:szCs w:val="20"/>
                <w:color w:val="auto"/>
              </w:rPr>
            </w:pPr>
          </w:p>
        </w:tc>
      </w:tr>
      <w:tr>
        <w:trPr>
          <w:trHeight w:val="165"/>
        </w:trPr>
        <w:tc>
          <w:tcPr>
            <w:tcW w:w="210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7"/>
                <w:szCs w:val="17"/>
                <w:color w:val="auto"/>
              </w:rPr>
              <w:t>Total comprehensive loss for</w:t>
            </w: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year</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30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(5,212,879)</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(5,212,849)</w:t>
            </w:r>
          </w:p>
        </w:tc>
      </w:tr>
      <w:tr>
        <w:trPr>
          <w:trHeight w:val="185"/>
        </w:trPr>
        <w:tc>
          <w:tcPr>
            <w:tcW w:w="2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Exercise of share option</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awards (post-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recapitalization)</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1,003,680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1,768,661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(1,768,661)</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18"/>
                <w:szCs w:val="18"/>
                <w:color w:val="auto"/>
              </w:rPr>
            </w:pPr>
          </w:p>
        </w:tc>
      </w:tr>
      <w:tr>
        <w:trPr>
          <w:trHeight w:val="202"/>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Forfeiture of share option</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(397,000)</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397,000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r>
      <w:tr>
        <w:trPr>
          <w:trHeight w:val="20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 option awards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859,685</w:t>
            </w:r>
          </w:p>
        </w:tc>
        <w:tc>
          <w:tcPr>
            <w:tcW w:w="200" w:type="dxa"/>
            <w:vAlign w:val="bottom"/>
          </w:tcPr>
          <w:p>
            <w:pPr>
              <w:spacing w:after="0"/>
              <w:rPr>
                <w:sz w:val="17"/>
                <w:szCs w:val="17"/>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859,685</w:t>
            </w:r>
          </w:p>
        </w:tc>
      </w:tr>
      <w:tr>
        <w:trPr>
          <w:trHeight w:val="185"/>
        </w:trPr>
        <w:tc>
          <w:tcPr>
            <w:tcW w:w="21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Conversion of Preferred</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2,583,820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129</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5,610,871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5,611,000</w:t>
            </w:r>
          </w:p>
        </w:tc>
      </w:tr>
      <w:tr>
        <w:trPr>
          <w:trHeight w:val="185"/>
        </w:trPr>
        <w:tc>
          <w:tcPr>
            <w:tcW w:w="2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Conversion of convertible</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8"/>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 notes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2,347,134</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6,133,664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6,133,781</w:t>
            </w:r>
          </w:p>
        </w:tc>
        <w:tc>
          <w:tcPr>
            <w:tcW w:w="80" w:type="dxa"/>
            <w:vAlign w:val="bottom"/>
          </w:tcPr>
          <w:p>
            <w:pPr>
              <w:spacing w:after="0"/>
              <w:rPr>
                <w:sz w:val="18"/>
                <w:szCs w:val="18"/>
                <w:color w:val="auto"/>
              </w:rPr>
            </w:pPr>
          </w:p>
        </w:tc>
      </w:tr>
      <w:tr>
        <w:trPr>
          <w:trHeight w:val="185"/>
        </w:trPr>
        <w:tc>
          <w:tcPr>
            <w:tcW w:w="21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Capitalization of loan from</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immediate holding company</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731,707</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2,999,963</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80" w:type="dxa"/>
            <w:vAlign w:val="bottom"/>
            <w:shd w:val="clear" w:color="auto" w:fill="CCEEFF"/>
          </w:tcPr>
          <w:p>
            <w:pPr>
              <w:spacing w:after="0"/>
              <w:rPr>
                <w:sz w:val="18"/>
                <w:szCs w:val="18"/>
                <w:color w:val="auto"/>
              </w:rPr>
            </w:pPr>
          </w:p>
        </w:tc>
      </w:tr>
      <w:tr>
        <w:trPr>
          <w:trHeight w:val="185"/>
        </w:trPr>
        <w:tc>
          <w:tcPr>
            <w:tcW w:w="2100" w:type="dxa"/>
            <w:vAlign w:val="bottom"/>
          </w:tcPr>
          <w:p>
            <w:pPr>
              <w:ind w:left="20"/>
              <w:spacing w:after="0" w:line="185" w:lineRule="exact"/>
              <w:rPr>
                <w:sz w:val="20"/>
                <w:szCs w:val="20"/>
                <w:color w:val="auto"/>
              </w:rPr>
            </w:pPr>
            <w:r>
              <w:rPr>
                <w:rFonts w:ascii="Times New Roman" w:cs="Times New Roman" w:eastAsia="Times New Roman" w:hAnsi="Times New Roman"/>
                <w:sz w:val="17"/>
                <w:szCs w:val="17"/>
                <w:color w:val="auto"/>
              </w:rPr>
              <w:t>Initial public offering and</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 of overallotment</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2,587,500</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130</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9,176,277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9,176,407</w:t>
            </w:r>
          </w:p>
        </w:tc>
        <w:tc>
          <w:tcPr>
            <w:tcW w:w="80" w:type="dxa"/>
            <w:vAlign w:val="bottom"/>
          </w:tcPr>
          <w:p>
            <w:pPr>
              <w:spacing w:after="0"/>
              <w:rPr>
                <w:sz w:val="18"/>
                <w:szCs w:val="18"/>
                <w:color w:val="auto"/>
              </w:rPr>
            </w:pPr>
          </w:p>
        </w:tc>
      </w:tr>
      <w:tr>
        <w:trPr>
          <w:trHeight w:val="185"/>
        </w:trPr>
        <w:tc>
          <w:tcPr>
            <w:tcW w:w="21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Issuance of IPO Warrants</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defined in note 1.2)</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72,610,000</w:t>
            </w:r>
          </w:p>
        </w:tc>
        <w:tc>
          <w:tcPr>
            <w:tcW w:w="8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(72,610,000)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r>
      <w:tr>
        <w:trPr>
          <w:trHeight w:val="207"/>
        </w:trPr>
        <w:tc>
          <w:tcPr>
            <w:tcW w:w="2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31 March 2025</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22,993,763</w:t>
            </w:r>
          </w:p>
        </w:tc>
        <w:tc>
          <w:tcPr>
            <w:tcW w:w="2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2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25,689,436</w:t>
            </w:r>
          </w:p>
        </w:tc>
        <w:tc>
          <w:tcPr>
            <w:tcW w:w="2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5,126,150</w:t>
            </w:r>
          </w:p>
        </w:tc>
        <w:tc>
          <w:tcPr>
            <w:tcW w:w="2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79,263,200</w:t>
            </w:r>
          </w:p>
        </w:tc>
        <w:tc>
          <w:tcPr>
            <w:tcW w:w="2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(1,651</w:t>
            </w:r>
          </w:p>
        </w:tc>
        <w:tc>
          <w:tcPr>
            <w:tcW w:w="200" w:type="dxa"/>
            <w:vAlign w:val="bottom"/>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1,076,345</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(106,596,680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4,557,950</w:t>
            </w:r>
          </w:p>
        </w:tc>
        <w:tc>
          <w:tcPr>
            <w:tcW w:w="80" w:type="dxa"/>
            <w:vAlign w:val="bottom"/>
          </w:tcPr>
          <w:p>
            <w:pPr>
              <w:spacing w:after="0"/>
              <w:rPr>
                <w:sz w:val="17"/>
                <w:szCs w:val="17"/>
                <w:color w:val="auto"/>
              </w:rPr>
            </w:pPr>
          </w:p>
        </w:tc>
      </w:tr>
      <w:tr>
        <w:trPr>
          <w:trHeight w:val="20"/>
        </w:trPr>
        <w:tc>
          <w:tcPr>
            <w:tcW w:w="2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above consolidated statements of changes in equity (deficit) should be read in conjunction with the accompanying notes.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years ended 31 March 2023, 2024 and 2025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2020" w:type="dxa"/>
            <w:vAlign w:val="bottom"/>
            <w:gridSpan w:val="2"/>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78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5400" w:type="dxa"/>
            <w:vAlign w:val="bottom"/>
          </w:tcPr>
          <w:p>
            <w:pPr>
              <w:spacing w:after="0"/>
              <w:rPr>
                <w:sz w:val="19"/>
                <w:szCs w:val="19"/>
                <w:color w:val="auto"/>
              </w:rPr>
            </w:pPr>
          </w:p>
        </w:tc>
        <w:tc>
          <w:tcPr>
            <w:tcW w:w="2040" w:type="dxa"/>
            <w:vAlign w:val="bottom"/>
            <w:gridSpan w:val="2"/>
          </w:tcPr>
          <w:p>
            <w:pPr>
              <w:jc w:val="right"/>
              <w:ind w:right="66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202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7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540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before taxation</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(5,212,879)</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(4,862,470)</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(9,257,598)</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for:</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 right-of-use assets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125,575</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99,580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 property, plant and equipment</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3,696</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1,007</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Impairment losses (reversed) recognized in respect of trade receivables</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(2,844)</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5,025</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Bad debt written off</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12,064</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21,522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14,752</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Write-off of due from related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81,347</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costs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410,167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552,651</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220,460</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 option awards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859,685</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1,352,835</w:t>
            </w:r>
          </w:p>
        </w:tc>
        <w:tc>
          <w:tcPr>
            <w:tcW w:w="34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587,821</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payments expenses on anti-dilution issuance of preferred shares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369,648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IPO expenses charged to P&amp;L</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1,659,081</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fair value loss of convertible loan notes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639,000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374,000</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19,000</w:t>
            </w:r>
          </w:p>
        </w:tc>
      </w:tr>
      <w:tr>
        <w:trPr>
          <w:trHeight w:val="214"/>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fair value (loss) gain of preferred shares</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(4,117,648)</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(4,101,000)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1,841,000</w:t>
            </w:r>
          </w:p>
        </w:tc>
        <w:tc>
          <w:tcPr>
            <w:tcW w:w="100" w:type="dxa"/>
            <w:vAlign w:val="bottom"/>
          </w:tcPr>
          <w:p>
            <w:pPr>
              <w:spacing w:after="0"/>
              <w:rPr>
                <w:sz w:val="18"/>
                <w:szCs w:val="18"/>
                <w:color w:val="auto"/>
              </w:rPr>
            </w:pPr>
          </w:p>
        </w:tc>
      </w:tr>
      <w:tr>
        <w:trPr>
          <w:trHeight w:val="194"/>
        </w:trPr>
        <w:tc>
          <w:tcPr>
            <w:tcW w:w="5400" w:type="dxa"/>
            <w:vAlign w:val="bottom"/>
            <w:tcBorders>
              <w:top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Operating cash flows before movements in working capital</w:t>
            </w:r>
          </w:p>
        </w:tc>
        <w:tc>
          <w:tcPr>
            <w:tcW w:w="1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(5,258,151)</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(6,478,239)</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(6,568,533)</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Movements in working capital</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receivables</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(1,221,431)</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86,332</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(43,719)</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receivables, deposit and prepayment</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(955,348)</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(210,936)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132,684</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assets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68,604</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(42,365)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42,158</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from a related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(39,815)</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(41,532)</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and other payables</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(478,610)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841,155</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(131,331)</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182,598</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(12,840)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18,955</w:t>
            </w: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generated from operations</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(7,662,338)</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(5,856,708)</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(6,591,318)</w:t>
            </w:r>
          </w:p>
        </w:tc>
      </w:tr>
      <w:tr>
        <w:trPr>
          <w:trHeight w:val="214"/>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paid</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(8,917)</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194"/>
        </w:trPr>
        <w:tc>
          <w:tcPr>
            <w:tcW w:w="5400" w:type="dxa"/>
            <w:vAlign w:val="bottom"/>
            <w:tcBorders>
              <w:top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Net cash used in operating activities</w:t>
            </w:r>
          </w:p>
        </w:tc>
        <w:tc>
          <w:tcPr>
            <w:tcW w:w="1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(7,671,255)</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(5,856,708)</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(6,591,318)</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to rental deposit</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(10,032)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r>
      <w:tr>
        <w:trPr>
          <w:trHeight w:val="194"/>
        </w:trPr>
        <w:tc>
          <w:tcPr>
            <w:tcW w:w="54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Cash used in investing activities</w:t>
            </w:r>
          </w:p>
        </w:tc>
        <w:tc>
          <w:tcPr>
            <w:tcW w:w="17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(10,032)</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Issue of shares under global offerings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10,608,750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 of transaction costs of issue of new shares</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(2,948,791)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from immediate holding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3,410,461</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564,483</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2,250,000</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Advances from immediate holding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713,719</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5,345,423</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600,000</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shares issued</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issuance of convertible loan notes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3,250,000</w:t>
            </w: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 from a related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 of due to immediate holding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(600,000)</w:t>
            </w:r>
          </w:p>
        </w:tc>
      </w:tr>
      <w:tr>
        <w:trPr>
          <w:trHeight w:val="20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 of lease liabilities</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(138,962)</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(109,754)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Placement of restricted bank balance</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(399,400)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14"/>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 of loan from immediate holding company</w:t>
            </w: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(530,019)</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(1,150,000)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194"/>
        </w:trPr>
        <w:tc>
          <w:tcPr>
            <w:tcW w:w="5400" w:type="dxa"/>
            <w:vAlign w:val="bottom"/>
            <w:tcBorders>
              <w:top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Net cash generated from financing activities</w:t>
            </w:r>
          </w:p>
        </w:tc>
        <w:tc>
          <w:tcPr>
            <w:tcW w:w="17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10,715,808</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4,750,152</w:t>
            </w:r>
          </w:p>
        </w:tc>
        <w:tc>
          <w:tcPr>
            <w:tcW w:w="3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6,500,000</w:t>
            </w:r>
          </w:p>
        </w:tc>
        <w:tc>
          <w:tcPr>
            <w:tcW w:w="100" w:type="dxa"/>
            <w:vAlign w:val="bottom"/>
            <w:tcBorders>
              <w:top w:val="single" w:sz="8" w:color="CCEEFF"/>
            </w:tcBorders>
            <w:shd w:val="clear" w:color="auto" w:fill="CCEEFF"/>
          </w:tcPr>
          <w:p>
            <w:pPr>
              <w:spacing w:after="0"/>
              <w:rPr>
                <w:sz w:val="16"/>
                <w:szCs w:val="16"/>
                <w:color w:val="auto"/>
              </w:rPr>
            </w:pPr>
          </w:p>
        </w:tc>
      </w:tr>
      <w:tr>
        <w:trPr>
          <w:trHeight w:val="181"/>
        </w:trPr>
        <w:tc>
          <w:tcPr>
            <w:tcW w:w="54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b w:val="1"/>
                <w:bCs w:val="1"/>
                <w:color w:val="auto"/>
              </w:rPr>
              <w:t>NET INCREASE (DECREASE) IN CASH AND CASH</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EQUIVALENTS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3,034,521</w:t>
            </w:r>
          </w:p>
        </w:tc>
        <w:tc>
          <w:tcPr>
            <w:tcW w:w="20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(1,106,556)</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(91,318)</w:t>
            </w:r>
          </w:p>
        </w:tc>
      </w:tr>
      <w:tr>
        <w:trPr>
          <w:trHeight w:val="21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the beginning of the year</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76,620</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1,183,176</w:t>
            </w: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1,274,494</w:t>
            </w:r>
          </w:p>
        </w:tc>
        <w:tc>
          <w:tcPr>
            <w:tcW w:w="100" w:type="dxa"/>
            <w:vAlign w:val="bottom"/>
            <w:shd w:val="clear" w:color="auto" w:fill="CCEEFF"/>
          </w:tcPr>
          <w:p>
            <w:pPr>
              <w:spacing w:after="0"/>
              <w:rPr>
                <w:sz w:val="18"/>
                <w:szCs w:val="18"/>
                <w:color w:val="auto"/>
              </w:rPr>
            </w:pPr>
          </w:p>
        </w:tc>
      </w:tr>
      <w:tr>
        <w:trPr>
          <w:trHeight w:val="207"/>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THE END OF THE YEAR</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3,111,141</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76,620</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1,183,176</w:t>
            </w:r>
          </w:p>
        </w:tc>
        <w:tc>
          <w:tcPr>
            <w:tcW w:w="1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1"/>
        </w:trPr>
        <w:tc>
          <w:tcPr>
            <w:tcW w:w="54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1700"/>
              <w:spacing w:after="0"/>
              <w:rPr>
                <w:sz w:val="20"/>
                <w:szCs w:val="20"/>
                <w:color w:val="auto"/>
              </w:rPr>
            </w:pPr>
            <w:r>
              <w:rPr>
                <w:rFonts w:ascii="Times New Roman" w:cs="Times New Roman" w:eastAsia="Times New Roman" w:hAnsi="Times New Roman"/>
                <w:sz w:val="17"/>
                <w:szCs w:val="17"/>
                <w:color w:val="auto"/>
              </w:rPr>
              <w:t>F-7</w:t>
            </w: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color w:val="auto"/>
        </w:rPr>
        <w:t>Except as disclosed below, there were no other material non-cash investing and financing activities during the year end 31 March 2023, 2024 and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March 31, 2025</w:t>
      </w:r>
    </w:p>
    <w:p>
      <w:pPr>
        <w:spacing w:after="0" w:line="212" w:lineRule="exact"/>
        <w:rPr>
          <w:sz w:val="20"/>
          <w:szCs w:val="20"/>
          <w:color w:val="auto"/>
        </w:rPr>
      </w:pPr>
    </w:p>
    <w:p>
      <w:pPr>
        <w:jc w:val="both"/>
        <w:ind w:left="600" w:hanging="297"/>
        <w:spacing w:after="0" w:line="254" w:lineRule="auto"/>
        <w:tabs>
          <w:tab w:leader="none" w:pos="6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27, 2024, Diginex Solutions (HK) Limited (“DSL”) and its subsidiaries (collectively, “DSL Group”) completed an $8 million capital raise with the Rhino Ventures (the “Capital Raise”), which was settled by offsetting $6,059,142 of amount due to Rhino Ventures and converting $1,940,858 of loans from Rhino Ventures. Private Warrants were also issued along with ordinary shares on the completion of the capital raise. Details of the Private Warrants are set out in note 21.2 to these consolidated financial statements. The Capital Raise triggered an anti-dilution clause in the Articles of Association of DSL and resulted in 151 Series A Preferred Shares of DSL being issued to Series A Preferred Shareholder with $Nil consideration.</w:t>
      </w:r>
    </w:p>
    <w:p>
      <w:pPr>
        <w:spacing w:after="0" w:line="175"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2024, $1,000,000 loan due from DSL to a related company, Diginex (Holdings) Limited, a company controlled by Rhino Ventures Limited, was converted into convertible loan notes with aggregate principal amount of $1,000,000, of which Rhino Ventures Limited holds $517,535 of the principal amount and Working Capital Innovation Fund II L.P. holds $482,465 of the principal amount.</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20, 2024, the Company declared the registration Form F1 effective. This resulted in outstanding preferred shares converting into 2,583,820 ordinary shares on a 1:1 basis. All the outstanding convertible loan notes with an aggregate face value of $4,350,000 and accrued interest of $751,781, totaling $5,101,781, also converted into ordinary shares at a conversion price of $2.17 resulting in the issuance of 2,347,134 ordinary shares.</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21, 2025, pursuant to a triparty loan agreement was entered into between the Company, DSL and Rhino Ventures dated September 30, 2024, the outstanding principal and accrued interest amounted to $3,530,019, of which $3,000,000 of loan from Rhino Ventures was capitalized through the issuance of 731,707 ordinary shares of the Company and $530,019 was settled in cash.</w:t>
      </w:r>
    </w:p>
    <w:p>
      <w:pPr>
        <w:spacing w:after="0" w:line="169"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23, 2025, the Company issued Rhino Ventures the IPO Warrants in connection with the IPO. Details of the IPO Warrants are set out in note 21.2 to these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 the year ended March 31, 2024</w:t>
      </w:r>
    </w:p>
    <w:p>
      <w:pPr>
        <w:spacing w:after="0" w:line="212" w:lineRule="exact"/>
        <w:rPr>
          <w:sz w:val="20"/>
          <w:szCs w:val="20"/>
          <w:color w:val="auto"/>
        </w:rPr>
      </w:pPr>
    </w:p>
    <w:p>
      <w:pPr>
        <w:jc w:val="both"/>
        <w:ind w:left="600" w:hanging="297"/>
        <w:spacing w:after="0" w:line="254" w:lineRule="auto"/>
        <w:tabs>
          <w:tab w:leader="none" w:pos="6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31 March 2024, the Group entered into a new lease agreement for the use of office space that expires on 1 July 2027. On the lease commencement, the Group recognized right-of-use assets and lease liabilities of $482,619 and $482,619, respectively. The deposit for the lease of $34,579 was paid by a related company and was included in the due to a related company. An additional deposit payment was made in February 2024 of $852 by the Company to take the total deposit to $35,431. The quarterly rent was adjusted and increased to 32,091 Euros ($34,905) from February 2024 with a corresponding lease modification adjustment of $25,837 recognized.</w:t>
      </w:r>
    </w:p>
    <w:p>
      <w:pPr>
        <w:spacing w:after="0" w:line="175"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2023, the Company issued 44 shares (36,080 shares after the Transactions and Share Subdivision) to an employee via the exercising of vested employee share options.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above consolidated statements of cash flows should be read in conjunction with the accompanying notes.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31 March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COMPANY ORGANIZATION AND PRINCIPAL ACTIVITIES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Diginex Limited (the “Company”) was incorporated on 26 January 2024 as an exempted company in the Cayman Islands with limited liability with its registered office at the office of Ogier Global (Cayman) Limited, 89 Nexus Way, Camana Bay, Grand Cayman, KY1-9099, Cayman Islands and principal place of business at Smart-Space Fintech 2, Room 3, Units 401-404, Core C, Cyberport 3, 3 Cyberport Road, Telegraph Bay, Hong Kong. The Company is a listed company under the symbol “DGNX” since January 22, 2025 and are cross-listed on the Frankfurt Stock Exchange (Open Market) and the Tradegate Exchange under the symbol “I0Q” since February 20, 2025. Substantial shareholder of the Company is Rhino Ventures Limited (“Rhino Ventures”) which is a limited company incorporated in the British Virgin Islands.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an investment holding company and the principal activities of Diginex Solutions (HK) Limited (“DSL”) and its subsidiaries (collectively, “DSL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Group”) are the provision of Environmental, Social and Governance (“ESG”) reporting solution services, advisory services and developing customization solutions.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and DSL Group are collectively referred to as the “Group”.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consolidated financial statements are presented in US dollars (“USD”), which is the same as the functional currency of the Company.</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for the years ended 31 March 2023, 2024 and 2025 were authorized for issue by the Board of Directors on July 11, 2025. The Board of Directors has the power to amend the consolidated financial statements after issue.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Group reorganization</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 was incorporated on 26 January 2024. On 15 July 2024, the Company completed a transaction pursuant to a share exchange agreement, whereby the then existing shareholders of DSL (the “Original Shareholders”) transferred all of their shares in DSL to the Company, in consideration for the Company’s issuance of substantially the same securities to the Original Shareholders in exchange for the securities of DSL held by them (the “Exchange”). Prior to the Exchange, there were 16,756 ordinary shares of DSL issued and outstanding, 3,151 series A preferred shares of DSL issued and outstanding and 10,172 warrants of DSL (“DSL Private Warrants) issued and outstanding. In the Exchange, each of the securities of DSL were exchanged for substantially the same securities of the Company at an exchange ratio of one (1) ordinary share of DSL for four hundred and ten (410) Ordinary Shares of the Company (“Ordinary Shares”), one (1) series A preferred share of DSL for four hundred and ten (410) Preferred Shares of the Company (“Preferred Shares”) and one (1) warrant of DSL for four hundred and ten (410) warrants of the Company (“Private Warrants”). Within these consolidated financial statements, the terms “Series A Preferred Shares” and “Preferred Shares” are used interchangeably.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Exchange, the Company and security holders of DSL consummated the following transactions (the “Ancillary Transactions”):</w:t>
      </w:r>
    </w:p>
    <w:p>
      <w:pPr>
        <w:spacing w:after="0" w:line="208" w:lineRule="exact"/>
        <w:rPr>
          <w:sz w:val="20"/>
          <w:szCs w:val="20"/>
          <w:color w:val="auto"/>
        </w:rPr>
      </w:pPr>
    </w:p>
    <w:p>
      <w:pPr>
        <w:jc w:val="both"/>
        <w:ind w:left="900" w:hanging="597"/>
        <w:spacing w:after="0" w:line="254"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issued $4,350,000 new convertible loan notes to certain Original Shareholders in consideration for the cancellation of the then existing convertible loan notes issued by DSL and held by such Original Shareholders. The convertible loan notes automatically converted into Ordinary Shares upon the effectiveness of the Company’s registration statement on 20 December 2024;</w:t>
      </w:r>
    </w:p>
    <w:p>
      <w:pPr>
        <w:jc w:val="both"/>
        <w:ind w:left="900" w:hanging="597"/>
        <w:spacing w:after="0" w:line="247"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granted certain share option awards under a new share option plan that was adopted by the Company to the holders of the unexercised share options granted by DSL (the “Original DSL Awards”), in consideration for the cancellation of the DSL Awards held by such holders. There was no automatic vesting of any unvested Awards upon completion of an initial public offering, the board of directors, at their discretion, do have the ability to accelerate vesting at any point; and</w:t>
      </w:r>
    </w:p>
    <w:p>
      <w:pPr>
        <w:spacing w:after="0" w:line="2" w:lineRule="exact"/>
        <w:rPr>
          <w:rFonts w:ascii="Times New Roman" w:cs="Times New Roman" w:eastAsia="Times New Roman" w:hAnsi="Times New Roman"/>
          <w:sz w:val="17"/>
          <w:szCs w:val="17"/>
          <w:color w:val="auto"/>
        </w:rPr>
      </w:pPr>
    </w:p>
    <w:p>
      <w:pPr>
        <w:ind w:left="900" w:hanging="597"/>
        <w:spacing w:after="0" w:line="255"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granted certain Private Warrants to purchase Ordinary Shares of the Company to the holders of the then existing DSL Private Warrants to purchase ordinary shares of DSL (the “Original Warrants”), in consideration for the cancellation of the DSL Private Warrants held by such holders.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Accordingly, upon consummation of the Exchange and the Ancillary Transactions (collectively the “Recapitalization”), DSL became a wholly owned subsidiary of the Company, and the Original Shareholders became shareholders of the Company. The remaining DSL security holders became security holders of the Company, in that they held the Company’s convertible loan notes, Awards and Private Warrants.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28" w:name="page129"/>
    <w:bookmarkEnd w:id="128"/>
    <w:p>
      <w:pPr>
        <w:jc w:val="both"/>
        <w:spacing w:after="0" w:line="285" w:lineRule="auto"/>
        <w:rPr>
          <w:sz w:val="20"/>
          <w:szCs w:val="20"/>
          <w:color w:val="auto"/>
        </w:rPr>
      </w:pPr>
      <w:r>
        <w:rPr>
          <w:rFonts w:ascii="Times New Roman" w:cs="Times New Roman" w:eastAsia="Times New Roman" w:hAnsi="Times New Roman"/>
          <w:sz w:val="16"/>
          <w:szCs w:val="16"/>
          <w:color w:val="auto"/>
        </w:rPr>
        <w:t>Following the Recapitalization, on July 26, 2024, the Company completed a share subdivision (the “Share Subdivision”) such that, the authorized share capital of the Company was changed from US$50,000 divided into 480,000,000 Ordinary shares of par value US$0.0001 each, 20,000,000 Preferred shares of par value US$0.0001 each to be US$50,000 divided into 960,000,000 Ordinary Shares of US$0.00005 par value each and 40,000,000 Preferred Shares, par value US$0.00005 per share.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Upon completion of the Recapitalization, the Company became the holding company of the companies now comprising the Group, where both the Company and DSL operated under the common control of Rhino Ventures. The Group comprising of the Company and its subsidiaries resulting from the Recapitalization is regarded as a continuing entity, accordingly, the consolidated financial statements for the year ended 31 March 2023, 2024 and 2025 have been prepared as if the Company had always been the holding company of the Group with the reserves being retrospectively adjusted to reflect the Recapitalization.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Summary of significant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incurred the following transactions that significantly affect the financial position and performance of the Group:</w:t>
      </w:r>
    </w:p>
    <w:p>
      <w:pPr>
        <w:spacing w:after="0" w:line="208" w:lineRule="exact"/>
        <w:rPr>
          <w:sz w:val="20"/>
          <w:szCs w:val="20"/>
          <w:color w:val="auto"/>
        </w:rPr>
      </w:pPr>
    </w:p>
    <w:p>
      <w:pPr>
        <w:jc w:val="both"/>
        <w:ind w:left="600" w:hanging="297"/>
        <w:spacing w:after="0" w:line="256" w:lineRule="auto"/>
        <w:tabs>
          <w:tab w:leader="none" w:pos="6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27, 2024, DSL completed an $8,000,000 capital raise with the Rhino Ventures (the “Capital Raise”) and DSL allotted 5,086 ordinary shares and 10,172 warrants to Rhino Ventures. The Capital Raise was settled by capitalizing $6,059,142 of amount due to Rhino Ventures and $1,940,858 of loans from Rhino Ventures. The Capital Raise triggered an anti-dilution clause in the Articles of Association of DSL and resulted in 151 series A preferred shares of DSL being issued to the existing series A preferred shareholder with $Nil consideration.</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20, 2024, the Company’s registration statement Form F-1 was declared effective by the SEC. This resulted in outstanding Preferred Shares converting into 2,583,820 Ordinary Shares on a 1:1 basis. All the outstanding convertible loan notes with an aggregate face value of $4,350,000 and accrued interest of $751,781, totaling $5,101,781, also converted into Ordinary Shares at a conversion price of $2.17 resulting in the issuance of 2,347,134 Ordinary Shares.</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21, 2025, pursuant to a triparty loan agreement entered into between the Company, DSL and Rhino Ventures dated September 30, 2024, the outstanding principal and accrued interest of the loan from Rhino Ventures to DSL amounting to $3,530,019 was fully settled, of which $3,000,000 was capitalized through the issuance of 731,707 Ordinary Shares and the remaining $530,019 was settled in cash.</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23, 2025, the Company successfully closed on its Initial Public Offering (“IPO”), selling 2,250,000 Ordinary Shares, par value $0.00005 per share, at a public offering price of $4.10 per share, for total gross proceeds of $9,225,000, before deducting underwriting discounts, commissions, and other related expenses. The net proceeds amounted to $7,747,756.</w:t>
      </w:r>
    </w:p>
    <w:p>
      <w:pPr>
        <w:spacing w:after="0" w:line="169" w:lineRule="exact"/>
        <w:rPr>
          <w:rFonts w:ascii="Times New Roman" w:cs="Times New Roman" w:eastAsia="Times New Roman" w:hAnsi="Times New Roman"/>
          <w:sz w:val="17"/>
          <w:szCs w:val="17"/>
          <w:color w:val="auto"/>
        </w:rPr>
      </w:pPr>
    </w:p>
    <w:p>
      <w:pPr>
        <w:jc w:val="both"/>
        <w:ind w:left="6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27, 2025, the Company also closed on the underwriter’s exercise of their over-allotment option (the “Over-Allotment Option”) to purchase 337,500 Ordinary Shares pursuant to an underwriting agreement, dated January 21, 2025 (the “Underwriting Agreement”). Pursuant to the Over-Allotment Option, the underwriters purchased an additional 337,500 Ordinary Shares at the public offering price of $4.10 per share, resulting in additional gross proceeds of $1,383,750, before deducting underwriting discounts and other related expenses. The net proceeds amounted to $1,261,969.</w:t>
      </w:r>
    </w:p>
    <w:p>
      <w:pPr>
        <w:spacing w:after="0" w:line="174" w:lineRule="exact"/>
        <w:rPr>
          <w:rFonts w:ascii="Times New Roman" w:cs="Times New Roman" w:eastAsia="Times New Roman" w:hAnsi="Times New Roman"/>
          <w:sz w:val="17"/>
          <w:szCs w:val="17"/>
          <w:color w:val="auto"/>
        </w:rPr>
      </w:pPr>
    </w:p>
    <w:p>
      <w:pPr>
        <w:jc w:val="both"/>
        <w:ind w:left="6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the full exercise of the Over-Allotment Option, the total number of Ordinary Shares sold by the Company in the IPO increased to 2,587,500 Ordinary Shares and the gross proceeds increased to $10,608,750, before deducting underwriting discounts and other related expenses. The total net IPO proceeds amounted to $9,009,725.</w:t>
      </w:r>
    </w:p>
    <w:p>
      <w:pPr>
        <w:spacing w:after="0" w:line="169"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23, 2025, the Company issued Rhino Ventures the IPO Warrants in connection with the IPO.</w:t>
      </w:r>
    </w:p>
    <w:p>
      <w:pPr>
        <w:spacing w:after="0" w:line="207" w:lineRule="exact"/>
        <w:rPr>
          <w:rFonts w:ascii="Times New Roman" w:cs="Times New Roman" w:eastAsia="Times New Roman" w:hAnsi="Times New Roman"/>
          <w:sz w:val="17"/>
          <w:szCs w:val="17"/>
          <w:color w:val="auto"/>
        </w:rPr>
      </w:pPr>
    </w:p>
    <w:p>
      <w:pPr>
        <w:ind w:left="600" w:right="620"/>
        <w:spacing w:after="0" w:line="52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Tranche 1 - Warrants to purchase 2,250,000 Ordinary Shares at an exercise price of $5.13 per share, which expire 6 months from January 23, 2025 Tranche 2 - Warrants to purchase 2,250,000 Ordinary Shares at an exercise price of $6.15 per share, which expire 9 months from January 23, 2025 Tranche 3 - Warrants to purchase 2,250,000 Ordinary Shares at an exercise price of $7.18 per share, which expire 12 months from January 23, 2025 Tranche 4 - Warrants to purchase 2,250,000 Ordinary Shares at an exercise price of $8.20 per share, which expire 15 months from January 23, 2025 Tranche 5 - Warrants to purchase 2,250,000 Ordinary Shares at an exercise price of $10.25 per share, which expire 18 months from January 23, 2025 Tranche 6 - Warrants to purchase 2,250,000 Ordinary Shares at an exercise price $12.30 per share, which expire 24 months from January 23, 2025</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17, 2025, the Company signed two binding memorandum of understanding with Nomas Global Investments-LLC-S.P.C. and Al Noor Legal Consultants FZE (the “MOUs”) to pursue a broad strategic relationship to facilitate Diginex with its planned expansion in the UAE and the broader Gulf Cooperation Council region (“GCC”), which includes assisting the Company with a dual listing of the Ordinary Shares on the Abu Dhabi Securities Exchange and a potential capital raise of up to USD$250,000,000 focused on large institutional investors based in the GCC. At March 31, 2025, Diginex paid $650,000 in relation to the underlying activity associated with MOU’s and held $399,400 in an escrow account, as restricted bank balances, for future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color w:val="auto"/>
        </w:rPr>
        <w:t>2 BASIS OF PREPARATION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for the years ended 31 March 2023, 2024 and 2025 have been prepared in accordance with the International Financial Reporting Standards (“IFRSs”) issued by the International Accounting Standards Board (“IASB”).</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Going concern basis of accounting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directors of the Company have, at the time of approving the consolidated financial statements, a reasonable expectation that the Group has adequate resources to continue in operational existence for the foreseeable future. Thus they continue to adopt the going concern basis of accounting in preparing the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Application of new and amendments to IFRSs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the purpose of preparing the consolidated financial statements for the year ended 31 March 2025, the Group has consistently applied the accounting policies which conform with IFRSs, which includes IFRSs, International Accounting Standards (“IAS”) and Interpretations (“IFRIC – Int”) issued by the IASB that are effective for the accounting period beginning on 1 April 2024, throughout the years.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current year, the Group has applied the following amendments to IFRSs issued by the IASB for the first time, which are mandatorily effective for the Group’s financial annual periods beginning on or after 1 April 2024 for the preparation of the consolidated financial statements:</w:t>
      </w:r>
    </w:p>
    <w:p>
      <w:pPr>
        <w:spacing w:after="0" w:line="155" w:lineRule="exact"/>
        <w:rPr>
          <w:sz w:val="20"/>
          <w:szCs w:val="20"/>
          <w:color w:val="auto"/>
        </w:rPr>
      </w:pPr>
    </w:p>
    <w:p>
      <w:pPr>
        <w:ind w:left="460" w:hanging="459"/>
        <w:spacing w:after="0"/>
        <w:tabs>
          <w:tab w:leader="none" w:pos="4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IAS 1 </w:t>
      </w:r>
      <w:r>
        <w:rPr>
          <w:rFonts w:ascii="Times New Roman" w:cs="Times New Roman" w:eastAsia="Times New Roman" w:hAnsi="Times New Roman"/>
          <w:sz w:val="17"/>
          <w:szCs w:val="17"/>
          <w:i w:val="1"/>
          <w:iCs w:val="1"/>
          <w:color w:val="auto"/>
        </w:rPr>
        <w:t>“Classification of Liabilities as Current or Non-Current”</w:t>
      </w:r>
    </w:p>
    <w:p>
      <w:pPr>
        <w:spacing w:after="0" w:line="26"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IFRS 16 </w:t>
      </w:r>
      <w:r>
        <w:rPr>
          <w:rFonts w:ascii="Times New Roman" w:cs="Times New Roman" w:eastAsia="Times New Roman" w:hAnsi="Times New Roman"/>
          <w:sz w:val="17"/>
          <w:szCs w:val="17"/>
          <w:i w:val="1"/>
          <w:iCs w:val="1"/>
          <w:color w:val="auto"/>
        </w:rPr>
        <w:t>“Lease Liability in a Sale and Leaseback”</w:t>
      </w:r>
    </w:p>
    <w:p>
      <w:pPr>
        <w:spacing w:after="0" w:line="6"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IAS 1 </w:t>
      </w:r>
      <w:r>
        <w:rPr>
          <w:rFonts w:ascii="Times New Roman" w:cs="Times New Roman" w:eastAsia="Times New Roman" w:hAnsi="Times New Roman"/>
          <w:sz w:val="17"/>
          <w:szCs w:val="17"/>
          <w:i w:val="1"/>
          <w:iCs w:val="1"/>
          <w:color w:val="auto"/>
        </w:rPr>
        <w:t>“Non-current Liabilities with Covenants”</w:t>
      </w:r>
    </w:p>
    <w:p>
      <w:pPr>
        <w:spacing w:after="0" w:line="6"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IAS 7 and IFRS 7 </w:t>
      </w:r>
      <w:r>
        <w:rPr>
          <w:rFonts w:ascii="Times New Roman" w:cs="Times New Roman" w:eastAsia="Times New Roman" w:hAnsi="Times New Roman"/>
          <w:sz w:val="17"/>
          <w:szCs w:val="17"/>
          <w:i w:val="1"/>
          <w:iCs w:val="1"/>
          <w:color w:val="auto"/>
        </w:rPr>
        <w:t>“Supplier Finance Arrangements”</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application of the amendments to IFRSs in the current year has had no material impact on the Group’s financial positions and performance for the current and prior years and/or on the disclosures set out in these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New and amendments to IFRSs in issued but not yet effective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has not early applied the following new and amendments to IFRSs that have been issued but are not yet effective:</w:t>
      </w:r>
    </w:p>
    <w:p>
      <w:pPr>
        <w:spacing w:after="0" w:line="204" w:lineRule="exact"/>
        <w:rPr>
          <w:sz w:val="20"/>
          <w:szCs w:val="20"/>
          <w:color w:val="auto"/>
        </w:rPr>
      </w:pPr>
    </w:p>
    <w:p>
      <w:pPr>
        <w:ind w:left="460" w:hanging="459"/>
        <w:spacing w:after="0"/>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IFRS 18 </w:t>
      </w:r>
      <w:r>
        <w:rPr>
          <w:rFonts w:ascii="Times New Roman" w:cs="Times New Roman" w:eastAsia="Times New Roman" w:hAnsi="Times New Roman"/>
          <w:sz w:val="17"/>
          <w:szCs w:val="17"/>
          <w:i w:val="1"/>
          <w:iCs w:val="1"/>
          <w:color w:val="auto"/>
        </w:rPr>
        <w:t>“Presentation and Disclosures in Financial Statements”</w:t>
      </w:r>
      <w:r>
        <w:rPr>
          <w:rFonts w:ascii="Times New Roman" w:cs="Times New Roman" w:eastAsia="Times New Roman" w:hAnsi="Times New Roman"/>
          <w:sz w:val="17"/>
          <w:szCs w:val="17"/>
          <w:color w:val="auto"/>
        </w:rPr>
        <w:t xml:space="preserve"> (effective for annual periods beginning on or after January 1, 2027)</w:t>
      </w:r>
    </w:p>
    <w:p>
      <w:pPr>
        <w:spacing w:after="0" w:line="26"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IFRS 19 </w:t>
      </w:r>
      <w:r>
        <w:rPr>
          <w:rFonts w:ascii="Times New Roman" w:cs="Times New Roman" w:eastAsia="Times New Roman" w:hAnsi="Times New Roman"/>
          <w:sz w:val="17"/>
          <w:szCs w:val="17"/>
          <w:i w:val="1"/>
          <w:iCs w:val="1"/>
          <w:color w:val="auto"/>
        </w:rPr>
        <w:t>“Subsidiaries without Public Accountability: Disclosures”</w:t>
      </w:r>
      <w:r>
        <w:rPr>
          <w:rFonts w:ascii="Times New Roman" w:cs="Times New Roman" w:eastAsia="Times New Roman" w:hAnsi="Times New Roman"/>
          <w:sz w:val="17"/>
          <w:szCs w:val="17"/>
          <w:color w:val="auto"/>
        </w:rPr>
        <w:t xml:space="preserve"> (effective for fiscal periods beginning on or after January 1, 2027)</w:t>
      </w:r>
    </w:p>
    <w:p>
      <w:pPr>
        <w:spacing w:after="0" w:line="6" w:lineRule="exact"/>
        <w:rPr>
          <w:rFonts w:ascii="Times New Roman" w:cs="Times New Roman" w:eastAsia="Times New Roman" w:hAnsi="Times New Roman"/>
          <w:sz w:val="17"/>
          <w:szCs w:val="17"/>
          <w:color w:val="auto"/>
        </w:rPr>
      </w:pPr>
    </w:p>
    <w:p>
      <w:pPr>
        <w:ind w:left="460" w:hanging="459"/>
        <w:spacing w:after="0"/>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IAS 21 </w:t>
      </w:r>
      <w:r>
        <w:rPr>
          <w:rFonts w:ascii="Times New Roman" w:cs="Times New Roman" w:eastAsia="Times New Roman" w:hAnsi="Times New Roman"/>
          <w:sz w:val="17"/>
          <w:szCs w:val="17"/>
          <w:i w:val="1"/>
          <w:iCs w:val="1"/>
          <w:color w:val="auto"/>
        </w:rPr>
        <w:t>“Lack of Exchangeability”</w:t>
      </w:r>
      <w:r>
        <w:rPr>
          <w:rFonts w:ascii="Times New Roman" w:cs="Times New Roman" w:eastAsia="Times New Roman" w:hAnsi="Times New Roman"/>
          <w:sz w:val="17"/>
          <w:szCs w:val="17"/>
          <w:color w:val="auto"/>
        </w:rPr>
        <w:t xml:space="preserve"> (effective for fiscal periods beginning on or after January 1, 2025)</w:t>
      </w:r>
    </w:p>
    <w:p>
      <w:pPr>
        <w:spacing w:after="0" w:line="6" w:lineRule="exact"/>
        <w:rPr>
          <w:rFonts w:ascii="Times New Roman" w:cs="Times New Roman" w:eastAsia="Times New Roman" w:hAnsi="Times New Roman"/>
          <w:sz w:val="17"/>
          <w:szCs w:val="17"/>
          <w:color w:val="auto"/>
        </w:rPr>
      </w:pPr>
    </w:p>
    <w:p>
      <w:pPr>
        <w:ind w:left="460" w:hanging="459"/>
        <w:spacing w:after="0" w:line="247" w:lineRule="auto"/>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IFRS 9 and IFRS 7 </w:t>
      </w:r>
      <w:r>
        <w:rPr>
          <w:rFonts w:ascii="Times New Roman" w:cs="Times New Roman" w:eastAsia="Times New Roman" w:hAnsi="Times New Roman"/>
          <w:sz w:val="17"/>
          <w:szCs w:val="17"/>
          <w:i w:val="1"/>
          <w:iCs w:val="1"/>
          <w:color w:val="auto"/>
        </w:rPr>
        <w:t>“Amendments to classification and measurement of financial instruments”</w:t>
      </w:r>
      <w:r>
        <w:rPr>
          <w:rFonts w:ascii="Times New Roman" w:cs="Times New Roman" w:eastAsia="Times New Roman" w:hAnsi="Times New Roman"/>
          <w:sz w:val="17"/>
          <w:szCs w:val="17"/>
          <w:color w:val="auto"/>
        </w:rPr>
        <w:t xml:space="preserve"> (effective for fiscal periods beginning on or after January 1, 2026)</w:t>
      </w:r>
    </w:p>
    <w:p>
      <w:pPr>
        <w:spacing w:after="0" w:line="1" w:lineRule="exact"/>
        <w:rPr>
          <w:rFonts w:ascii="Times New Roman" w:cs="Times New Roman" w:eastAsia="Times New Roman" w:hAnsi="Times New Roman"/>
          <w:sz w:val="17"/>
          <w:szCs w:val="17"/>
          <w:color w:val="auto"/>
        </w:rPr>
      </w:pPr>
    </w:p>
    <w:p>
      <w:pPr>
        <w:ind w:left="460" w:hanging="459"/>
        <w:spacing w:after="0" w:line="247" w:lineRule="auto"/>
        <w:tabs>
          <w:tab w:leader="none" w:pos="4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IFRS Accounting Standards </w:t>
      </w:r>
      <w:r>
        <w:rPr>
          <w:rFonts w:ascii="Times New Roman" w:cs="Times New Roman" w:eastAsia="Times New Roman" w:hAnsi="Times New Roman"/>
          <w:sz w:val="17"/>
          <w:szCs w:val="17"/>
          <w:i w:val="1"/>
          <w:iCs w:val="1"/>
          <w:color w:val="auto"/>
        </w:rPr>
        <w:t>“Annual Improvements to IFRS Accounting Standards — Volume 11”</w:t>
      </w:r>
      <w:r>
        <w:rPr>
          <w:rFonts w:ascii="Times New Roman" w:cs="Times New Roman" w:eastAsia="Times New Roman" w:hAnsi="Times New Roman"/>
          <w:sz w:val="17"/>
          <w:szCs w:val="17"/>
          <w:color w:val="auto"/>
        </w:rPr>
        <w:t xml:space="preserve"> (effective for fiscal periods beginning on or after January 1, 2026)</w:t>
      </w:r>
    </w:p>
    <w:p>
      <w:pPr>
        <w:spacing w:after="0" w:line="1" w:lineRule="exact"/>
        <w:rPr>
          <w:rFonts w:ascii="Times New Roman" w:cs="Times New Roman" w:eastAsia="Times New Roman" w:hAnsi="Times New Roman"/>
          <w:sz w:val="17"/>
          <w:szCs w:val="17"/>
          <w:color w:val="auto"/>
        </w:rPr>
      </w:pPr>
    </w:p>
    <w:p>
      <w:pPr>
        <w:ind w:left="4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Amendments to IFRS 10 and IAS 28 </w:t>
      </w:r>
      <w:r>
        <w:rPr>
          <w:rFonts w:ascii="Times New Roman" w:cs="Times New Roman" w:eastAsia="Times New Roman" w:hAnsi="Times New Roman"/>
          <w:sz w:val="17"/>
          <w:szCs w:val="17"/>
          <w:i w:val="1"/>
          <w:iCs w:val="1"/>
          <w:color w:val="auto"/>
        </w:rPr>
        <w:t>“Sale or Contribution of Assets between an Investor and its Associate or Joint Venture”</w:t>
      </w:r>
      <w:r>
        <w:rPr>
          <w:rFonts w:ascii="Times New Roman" w:cs="Times New Roman" w:eastAsia="Times New Roman" w:hAnsi="Times New Roman"/>
          <w:sz w:val="17"/>
          <w:szCs w:val="17"/>
          <w:color w:val="auto"/>
        </w:rPr>
        <w:t xml:space="preserve"> (effective for fiscal periods beginning on or after a date to be determined)</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Management anticipates that the application of all the new and amendments to IFRSs will have no material impact on the Group’s consolidated financial statements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MATERIAL ACCOUNTING POLICY INFORMATION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have been prepared on the historical cost basis except for certain financial instruments that are measured at fair values at the end of each reporting period, as explained in the accounting policies set out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Historical cost is generally based on the fair value of the consideration given in exchange for goods and services.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an orderly transaction between market participants at the measurement date, regardless of whether that price is directly observable or estimated using another valuation technique. In estimating the fair value of an asset or a liability, the Group takes into account the characteristics of the asset or liability if market participants would take those characteristics into account when pricing the asset or liability at the measurement date. Fair value for measurement and/or disclosure purposes in these consolidated financial statements is determined on such a basis, except for share-based payment transactions that are within the scope of IFRS 2 Share-based Payment.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financial instruments which are transacted at fair value and a valuation technique that unobservable inputs are to be used to measure fair value in subsequent periods, the valuation technique is calibrated so that at initial recognition the results of the valuation technique equals the transaction price, where the highest level of inputs available are used in the valuation.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0" w:name="page131"/>
    <w:bookmarkEnd w:id="130"/>
    <w:p>
      <w:pPr>
        <w:spacing w:after="0" w:line="274" w:lineRule="auto"/>
        <w:rPr>
          <w:sz w:val="20"/>
          <w:szCs w:val="20"/>
          <w:color w:val="auto"/>
        </w:rPr>
      </w:pPr>
      <w:r>
        <w:rPr>
          <w:rFonts w:ascii="Times New Roman" w:cs="Times New Roman" w:eastAsia="Times New Roman" w:hAnsi="Times New Roman"/>
          <w:sz w:val="17"/>
          <w:szCs w:val="17"/>
          <w:color w:val="auto"/>
        </w:rPr>
        <w:t>In addition, for financial reporting purposes, fair value measurements are categorized into Level 1, 2 or 3 based on the degree to which the inputs to the fair value measurements are observable and the significance of the inputs to the fair value measurement in its entirety, which are described as follows:</w:t>
      </w:r>
    </w:p>
    <w:p>
      <w:pPr>
        <w:spacing w:after="0" w:line="159" w:lineRule="exact"/>
        <w:rPr>
          <w:sz w:val="20"/>
          <w:szCs w:val="20"/>
          <w:color w:val="auto"/>
        </w:rPr>
      </w:pPr>
    </w:p>
    <w:p>
      <w:pPr>
        <w:ind w:left="300" w:hanging="299"/>
        <w:spacing w:after="0"/>
        <w:tabs>
          <w:tab w:leader="none" w:pos="3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inputs are quoted prices (unadjusted) in active markets for identical assets or liabilities that the entity can access at the measurement date;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the asset or liability, either directly or indirectly;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are unobservable inputs for the asset or liability.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accounting policy information adopted by the Group is disclosed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consolidation</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consolidated financial statements incorporate the consolidated financial statements of DSL Group and the financial statements of the Company. The consolidated financial statements of DSL Group have been combined with those of the Company from 26 January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Control is achieved when the Company:</w:t>
      </w:r>
    </w:p>
    <w:p>
      <w:pPr>
        <w:spacing w:after="0" w:line="208" w:lineRule="exact"/>
        <w:rPr>
          <w:sz w:val="20"/>
          <w:szCs w:val="20"/>
          <w:color w:val="auto"/>
        </w:rPr>
      </w:pPr>
    </w:p>
    <w:p>
      <w:pPr>
        <w:ind w:left="300" w:hanging="299"/>
        <w:spacing w:after="0"/>
        <w:tabs>
          <w:tab w:leader="none" w:pos="3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power over the investee;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exposed, or has rights, to variable returns from its involvement with the investee;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the ability to use its power to affect its returns.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reassesses whether or not it controls an investee if facts and circumstances indicate that there are changes to one or more of the three elements of control listed above.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Consolidation of a subsidiary begins when the Group obtains control over the subsidiary and ceases when the Group loses control of the subsidiary. Specifically, income and expenses of a subsidiary acquired or disposed of during the year are included in the consolidated statement of profit or loss and other comprehensive income from the date the Group gains control until the date when the Group ceases to control the subsidiary.</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Profit or loss and each item of other comprehensive income are attributed to the ordinary equity holders of the Company and to the non-controlling interests. Total comprehensive income or loss of subsidiaries is attributed to the ordinary equity holders of the Company and to the non-controlling interests even if this results in the non-controlling interests having a deficit balance.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When necessary, adjustments are made to the financial statements of subsidiaries to bring their accounting policies in line with the Group’s accounting policies.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intragroup assets and liabilities, equity, income, expenses and cash flows relating to transactions between members of the Group are eliminated in full on consolidation.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Deemed reverse acquisition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acquisition method of accounting is used to account for all deemed reverse acquisitions where in substance an operating company is acquired by a shell company where the shareholders of the operating company obtain control of the shell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respect to the Transaction, DSL is the operating company while the Company is considered as shell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Identifying the accounting acquirer/accounting acquiree: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considered as the legal acquirer and the accounting acquiree. Control is obtained by Original Shareholders as the Company, on 15 July 2024, issued 6,869,960 Ordinary Shares and 1,291,910 Preferred Shares which allowed the Original shareholder to hold the majority of issued share capital and voting rights of the Company.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i w:val="1"/>
          <w:iCs w:val="1"/>
          <w:color w:val="auto"/>
        </w:rPr>
        <w:t>Determining the deemed consideration transferred: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deemed consideration transferred for the deemed reverse acquisition of the Company is the fair value of the shares which DSL would have had to issue in establishing the same post transaction control structure but as if it were the legal acquirer. Given there is no change to the control structure after the Transaction, the deemed consideration is determined as $Nil.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assets and liabilities acquired in a deemed reverse acquisition: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Identifiable assets acquired and liabilities assumed in a deemed reversed acquisition are, with limited exceptions, measured initially at their fair values at the acquisition date. For the Transaction, the net assets acquired from the Company are solely current account with DSL, and its carrying value approximates fair value and is considered insignificant.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Calculate the Transaction expense: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excess of the deemed consideration transferred over the fair value of the net identifiable assets acquired from the Company is considered insignificant to be recognized as an expense under IFRS 2 in the Group’s consolidated statement of profit or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Presentation of the consolidated financial statements post deemed reverse acquisition: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Under the Transaction, the Company being the accounting acquiree (legal acquirer), becomes the ultimate parent holding company of the Group, however, the consolidated financial statement represents a continuation of DSL, the accounting acquirer (legal acquiree) with the exception of the legal capital structure.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incorporate the financial statements items of the combining entities, i.e. the Company and DSL Group, in which the combination occurs as if they had been combined from the date when the combining entities first came under the control of the substantial shareholders.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net assets of the combining entities are consolidated using the existing book values from the substantial shareholder’s perspective. No amount is recognized in respect of goodwill or bargain purchase gain at the time of combination.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consolidated statement of profit or loss and other comprehensive loss includes the results of each of the combining entities from the earliest date presented or since the date when the combining businesses first came under the control of the substantial shareholder, where this is a shorter period, i.e. the date of incorporation of the Company on 26 January 2024.</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Shareholders’ equity of DSL prior to the Transaction is retrospectively adjusted as a recapitalization for the equivalent number of shares received and on a pro rata basis, together with the impact of the Share Subdivision for prior reporting periods. Accumulated losses and relevant reserves of the DSL are carried forward after the Transaction. Any difference to shareholders equity of DSL arising from the recapitalization of share capital and equity instruments issued is recorded in equity under the capital reserve.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Earnings per share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Earnings per share for periods prior to the Recapitalization are retrospectively adjusted to reflect the number of equivalent shares received by the accounting acquirer, DSL, based on the number of shares outstanding on the reporting dates multiplied by the exchange ratio. The exchange ratio being the combination of the share exchange swap of one ordinary share of DSL for 410 Ordinary Shares multiplied by a factor of two to reflect the Share Subdivision and one series A preferred share of DSL for 410 Preferred Shares multiplied by a factor of two to reflect the Share Subdivision.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Group recognizes revenue when (or as) a performance obligation is satisfied, i.e. when “control” of the services underlying the particular performance obligation is transferred to the customer. A performance obligation represents a service (or a bundle of goods or services) that is distinct or a series of distinct services that are substantially the same.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Except for granting of a license that is distinct from other promised services, control is transferred over time and revenue is recognized over time by reference to the progress towards complete satisfaction of the relevant performance obligation if one of the following criteria is met:</w:t>
      </w:r>
    </w:p>
    <w:p>
      <w:pPr>
        <w:spacing w:after="0" w:line="159" w:lineRule="exact"/>
        <w:rPr>
          <w:sz w:val="20"/>
          <w:szCs w:val="20"/>
          <w:color w:val="auto"/>
        </w:rPr>
      </w:pPr>
    </w:p>
    <w:p>
      <w:pPr>
        <w:ind w:left="300" w:hanging="299"/>
        <w:spacing w:after="0"/>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customer simultaneously receives and consumes the benefits provided by the Group’s performance as the Group performs;</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performance creates or enhances an asset that the customer controls as the Group performs; or</w:t>
      </w:r>
    </w:p>
    <w:p>
      <w:pPr>
        <w:spacing w:after="0" w:line="6"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Group’s performance does not create an asset with an alternative use to the Group and the Group has an enforceable right to payment for performance completed to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Otherwise, revenue is recognized at a point in time when the customer obtains control of the distinct service.</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granting of a license that is distinct from other promised services, the nature of the Group’s promise in granting a license is a promise to provide a right to access the Group’s intellectual property if all of the following criteria are met:</w:t>
      </w:r>
    </w:p>
    <w:p>
      <w:pPr>
        <w:spacing w:after="0" w:line="159" w:lineRule="exact"/>
        <w:rPr>
          <w:sz w:val="20"/>
          <w:szCs w:val="20"/>
          <w:color w:val="auto"/>
        </w:rPr>
      </w:pPr>
    </w:p>
    <w:p>
      <w:pPr>
        <w:ind w:left="300" w:hanging="299"/>
        <w:spacing w:after="0" w:line="257" w:lineRule="auto"/>
        <w:tabs>
          <w:tab w:leader="none" w:pos="3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 requires, or the customer reasonably expects, that the Group will undertake activities that significantly affect the intellectual property to which the customer has rights;</w:t>
      </w:r>
    </w:p>
    <w:p>
      <w:pPr>
        <w:ind w:left="300" w:hanging="299"/>
        <w:spacing w:after="0"/>
        <w:tabs>
          <w:tab w:leader="none" w:pos="3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granted by the license directly expose the customer to any positive or negative effects of the Group’s activities; and</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activities do not result in the transfer of a good or a service to the customer as those activities occur.</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the criteria above are met, the Group accounts for the promise to grant a license as a performance obligation satisfied over time. Otherwise, the Group considers the grant of license as providing the customers the right to use the Group’s intellectual property and the performance obligation is satisfied at a point in time at which the license is granted.</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 contract asset represents the Group’s right to consideration in exchange for goods or services that the Group has transferred to a customer that is not yet unconditional. It is assessed for impairment in accordance with IFRS 9. In contrast, a receivable represents the Group’s unconditional right to consideration, i.e. only the passage of time is required before payment of that consideration is due.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 contract liability represents the Group’s obligation to transfer services to a customer for which the Group has received consideration (or an amount of consideration is due) from the customer.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contract asset and a contract liability relating to the same contract are accounted for and presented on a net basis.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 time revenue recognition - Input method</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progress towards complete satisfaction of a performance obligation is measured based on input method, which is to recognize revenue on the basis of the Group’s efforts or inputs to the satisfaction of a performance obligation relative to the total expected inputs to the satisfaction of that performance obligation, that best depict the Group’s performance in transferring control of services.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color w:val="auto"/>
        </w:rPr>
        <w:t>Government grants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Government grants are not recognised until there is reasonable assurance that the Group will comply with the conditions attaching to them and that the grants will be received.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Government grants related to income that are receivable as compensation for expenses or losses already incurred or for the purpose of giving immediate financial support to the Group with no future related costs are recognised in profit or loss in the period in which they become receivable. Government grants relating to compensation of expenses are deducted from the related expenses, other government grants are presented under “other income, gains or (losses)”.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expenditure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Expenditure on research activities is recognized as an expense in the period in which it is incurred.</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An internally-generated intangible asset arising from development activities (or from the development phase of an internal project) is recognized if, and only if, all of the following have been demonstrated:</w:t>
      </w:r>
    </w:p>
    <w:p>
      <w:pPr>
        <w:spacing w:after="0" w:line="159" w:lineRule="exact"/>
        <w:rPr>
          <w:sz w:val="20"/>
          <w:szCs w:val="20"/>
          <w:color w:val="auto"/>
        </w:rPr>
      </w:pPr>
    </w:p>
    <w:p>
      <w:pPr>
        <w:ind w:left="300" w:hanging="299"/>
        <w:spacing w:after="0"/>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technical feasibility of completing the intangible asset so that it will be available for use or sale;</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intention to complete the intangible asset and use or sell it;</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use or sell the intangible asset;</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how the intangible asset will generate probable future economic benefits;</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adequate technical, financial and other resources to complete the development and to use or sell the intangible asset; and</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measure reliably the expenditure attributable to the intangible asset during its development.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amount initially recognized for internally-generated intangible asset is the sum of the expenditure incurred from the date when the intangible asset first meets the recognition criteria listed above. Where no internally-generated intangible asset can be recognized, development expenditure is recognized in profit or loss in the period in which it is incurred.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each of the years ended 31 March 2023, 2024 and 2025, no research and development expenditure is recognized as an internally generated intangible asset.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currencies</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In preparing the financial statements of each individual group entity, transactions in currencies other than the functional currency of that entity (foreign currencies) are recognized at the rates of exchange prevailing on the dates of the transactions. At the end of the reporting period, monetary items denominated in foreign currencies are retranslated at the rates prevailing at that date. Non-monetary items carried at fair value that are denominated in foreign currencies are retranslated at the rates prevailing on the date when the fair value was determined. Non-monetary items that are measured in terms of historical cost in a foreign currency are not retranslated.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Exchange differences arising on the settlement of monetary items, and on the retranslation of monetary items, are recognized in profit or loss in the period in which they arise.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For the purposes of presenting the consolidated financial statements, the assets and liabilities of the Group’s operations are translated into the presentation currency of the Group (i.e. USD) using exchange rates prevailing at the end of each reporting period. Income and expenses items are translated at the average exchange rates for the period, unless exchange rates fluctuate significantly during that period, in which case the exchange rates at the date of transactions are used. Exchange differences arising, if any, are recognized in other comprehensive income and accumulated in equity under the heading of exchange reserve (attributed to non-controlling interests as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Borrowing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Borrowing costs are recognized in the statement of profit or loss in the period in which they are incurred.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color w:val="auto"/>
        </w:rPr>
        <w:t>Employee benefits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Retirement benefit costs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Payments made by the Group to defined contribution retirement benefit plans are recognized as an expense when employees have rendered service entitling them to the contributions.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employee benefits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Short-term employee benefits are recognized at the undiscounted amount of the benefits expected to be paid as and when employees rendered the services. All short-term employee benefits are recognized as an expense unless another IFRSs requires or permits the inclusion of the benefit in the cost of an asset.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liability is recognized for benefits accruing to employees (such as salaries and annual leave) after deducting any amount already paid.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payments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Equity-settled share-based payments to employees and others providing similar services are measured at the fair value of the equity instruments at the grant date.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fair value of the equity-settled share-based payments determined at the grant date without taking into consideration all non-market vesting conditions is expensed on a straight-line basis over the vesting period, based on the Group’s estimate of equity instruments that will eventually vest, with a corresponding increase in equity (share option reserve). At the end of each reporting period, the Group revises its estimate of the number of equity instruments expected to vest based on assessment of all relevant non-market vesting conditions. The impact of the revision of the original estimates, if any, is recognized in the statement of profit or loss such that the cumulative expense reflects the revised estimate, with a corresponding adjustment to the share option reserve. For share options that vest immediately at the date of grant, the fair value of the share options granted is expensed immediately to the statement of profit or loss.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When share options are exercised, the amount previously recognized in share option reserve will be transferred to share capital. When the share options are forfeited after the vesting date or are still not exercised at the expiry date, the amount previously recognized in share option reserve will be transferred to accumulated losses.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 (benefit) represents the sum of the current tax and deferred tax.</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tax currently payable is based on taxable profit for the year. Taxable profit differs from profit recognized in the consolidated statement of profit or loss because of items of income or expense that are taxable or deductible in other years and items that are never taxable or deductible. The Group’s liability for current tax is calculated using tax rates that have been enacted or substantively enacted by the end of the reporting period.</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Deferred tax is recognized on differences between the carrying amounts of assets and liabilities in the consolidated financial statements and the corresponding tax bases used in the computation of taxable profit. Deferred tax liabilities are generally recognized for all taxable temporary differences and deferred tax assets are recognized to the extent that it is probable that taxable profits will be available against deductible temporary differences, unused tax losses or unused tax credits. Such assets and liabilities are not recognized if the temporary difference arises from goodwill or from the initial recognition (other than in a business combination) of other assets and liabilities in a transaction that affects neither the taxable profit nor the accounting profit.</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Deferred tax liabilities are recognized for taxable temporary differences arising on investments in subsidiaries, except where the Group is able to control the reversal of the temporary difference and it is probable that the temporary difference will not reverse in the foreseeable future.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carrying amount of deferred tax assets is reviewed at the end of each reporting period and reduced to the extent that it is no longer probable that sufficient taxable profits will be available to allow all or part of the asset to be recovered.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5" w:name="page136"/>
    <w:bookmarkEnd w:id="135"/>
    <w:p>
      <w:pPr>
        <w:jc w:val="both"/>
        <w:spacing w:after="0" w:line="274" w:lineRule="auto"/>
        <w:rPr>
          <w:sz w:val="20"/>
          <w:szCs w:val="20"/>
          <w:color w:val="auto"/>
        </w:rPr>
      </w:pPr>
      <w:r>
        <w:rPr>
          <w:rFonts w:ascii="Times New Roman" w:cs="Times New Roman" w:eastAsia="Times New Roman" w:hAnsi="Times New Roman"/>
          <w:sz w:val="17"/>
          <w:szCs w:val="17"/>
          <w:color w:val="auto"/>
        </w:rPr>
        <w:t>Deferred tax assets and liabilities are measured at the tax rates that are expected to apply in the period when the deferred liability is settled or the deferred asset is realized, based on tax rates that have been enacted or substantively enacted by the end of the reporting period.</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measurement of deferred tax assets and liabilities reflects the tax consequences that would follow from the manner in which the Group expects, at the end of the reporting period, to recover or settle the carrying amount of its assets and liabilities.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Deferred tax assets and liabilities are offset when there is a legally enforceable right to offset current tax assets against current tax liabilities and when they relate to income taxes levied by the same taxation authority and the Group intends to settle its current tax assets and liabilities on a net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Current and deferred tax are recognized in profit or loss.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At inception of a contract, the Group assesses whether the contract is, or contains, a lease. A contract is, or contains, a lease if the contract conveys the right to control the use of an identified asset for a period of time in exchange for consideration.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The Group as lessee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a contract that contains a lease component and one or more additional lease or non-lease components, the Group allocates the consideration in the contract to each lease component on the basis of the relative stand-alone price of the lease component and the aggregate stand-alone price of the non-lease components. The Group applies practical expedient not to separate non-lease components from lease component, and instead account for the lease component and any associated non-lease components as a single lease component.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applying IFRS 16, the Group elected a simplified approach for leases with a lease term of 12 months or less from the commencement date and do not contain a purchase option. Lease payments on short-term leases are recognized as expense on a straight-line basis.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assessing whether a lessee is reasonably certain to exercise an option to extend a lease, or not to exercise an option to terminate a lease, the Group considers all relevant facts and circumstances that create an economic incentive for the lessee to exercise the option to extend the lease, or not to exercise the option to terminate the lease. The Group revises the lease term if there is a change in the non-cancellable period of a lease.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i w:val="1"/>
          <w:iCs w:val="1"/>
          <w:u w:val="single" w:color="auto"/>
          <w:color w:val="auto"/>
        </w:rPr>
        <w:t>Right-of use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right-of-use asset is initially recognized at cost comprising of:</w:t>
      </w:r>
    </w:p>
    <w:p>
      <w:pPr>
        <w:spacing w:after="0" w:line="208" w:lineRule="exact"/>
        <w:rPr>
          <w:sz w:val="20"/>
          <w:szCs w:val="20"/>
          <w:color w:val="auto"/>
        </w:rPr>
      </w:pPr>
    </w:p>
    <w:p>
      <w:pPr>
        <w:ind w:left="600" w:hanging="297"/>
        <w:spacing w:after="0"/>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of the initial measurement of the lease liability;</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lease payments made at or before the commencement date, less any lease incentives received;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initial direct costs incurred by the Group; and</w:t>
      </w:r>
    </w:p>
    <w:p>
      <w:pPr>
        <w:spacing w:after="0" w:line="6"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estimate of costs to be incurred by the Group in dismantling and removing the underlying asset, restoring the site on which it is located or restoring the underlying asset to the condition required by the terms and conditions of the lease.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Right-of-use assets are measured at cost, less any accumulated depreciation and impairment losses, and adjusted for any remeasurement of lease liabilities.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Right-of-use assets in which the Group is reasonably certain to obtain ownership of the underlying leased assets at the end of the lease term are depreciated from commencement date to the end of the useful life. Otherwise, right-of-use assets are depreciated on a straight-line basis over the shorter of its estimated useful life and the lease term.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presents right-of-use assets as a separate line item on the consolidated statement of financial position.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Lease liabilities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the commencement date of a lease, the Group recognizes and measures the lease liability at the present value of lease payments that are unpaid at that date. In calculating the present value of lease payments, the Group uses the incremental borrowing rate at the lease commencement date if the interest rate implicit in the lease is not readily determinable.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lease payments include:</w:t>
      </w:r>
    </w:p>
    <w:p>
      <w:pPr>
        <w:spacing w:after="0" w:line="208" w:lineRule="exact"/>
        <w:rPr>
          <w:sz w:val="20"/>
          <w:szCs w:val="20"/>
          <w:color w:val="auto"/>
        </w:rPr>
      </w:pPr>
    </w:p>
    <w:p>
      <w:pPr>
        <w:ind w:left="600" w:hanging="297"/>
        <w:spacing w:after="0"/>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payments (including in-substance fixed payments) less any lease incentives receivable;</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lease payments that depend on an index or a rate, initially measured using the index or rate as at the commencement date;</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expected to be payable by the Group under residual value guarantees;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of a purchase option if the Group is reasonably certain to exercise the option;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of penalties for terminating a lease, if the lease term reflects the Group exercising an option to terminate the lease.</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After the commencement date, lease liabilities are adjusted by interest accretion and lease payments. The Group remeasures lease liabilities (and makes a corresponding adjustment to the related right-of-use assets) whenever:</w:t>
      </w:r>
    </w:p>
    <w:p>
      <w:pPr>
        <w:spacing w:after="0" w:line="159" w:lineRule="exact"/>
        <w:rPr>
          <w:sz w:val="20"/>
          <w:szCs w:val="20"/>
          <w:color w:val="auto"/>
        </w:rPr>
      </w:pPr>
    </w:p>
    <w:p>
      <w:pPr>
        <w:ind w:left="600" w:hanging="297"/>
        <w:spacing w:after="0" w:line="257" w:lineRule="auto"/>
        <w:tabs>
          <w:tab w:leader="none" w:pos="6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term has changed or there is a change in the assessment of exercise of a purchase option, in which case the related lease liability is remeasured by discounting the revised lease payments using a revised discount rate at the date of reassessment.</w:t>
      </w:r>
    </w:p>
    <w:p>
      <w:pPr>
        <w:ind w:left="600" w:hanging="297"/>
        <w:spacing w:after="0" w:line="255" w:lineRule="auto"/>
        <w:tabs>
          <w:tab w:leader="none" w:pos="6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lease payments change due to changes in market rental rates following a market rent review, in which cases the related lease liability is remeasured by discounting the revised lease payments using the initial discount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presents lease liabilities as a separate line item on the consolidated statement of financial position.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non-financial assets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each reporting date, the Group reviews the carrying amounts of its tangible assets with finite useful lives to determine whether there is any indication that those assets have suffered an impairment loss. If any such indication exists, the recoverable amount of the relevant asset is estimated in order to determine the extent of the impairment loss (if any).</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recoverable amounts of relevant assets are estimated individually. When it is not possible to estimate the recoverable amount individually, the Group estimates the recoverable amount of the cash generating unit to which the asset belongs.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7" w:name="page138"/>
    <w:bookmarkEnd w:id="137"/>
    <w:p>
      <w:pPr>
        <w:jc w:val="both"/>
        <w:spacing w:after="0" w:line="256" w:lineRule="auto"/>
        <w:rPr>
          <w:sz w:val="20"/>
          <w:szCs w:val="20"/>
          <w:color w:val="auto"/>
        </w:rPr>
      </w:pPr>
      <w:r>
        <w:rPr>
          <w:rFonts w:ascii="Times New Roman" w:cs="Times New Roman" w:eastAsia="Times New Roman" w:hAnsi="Times New Roman"/>
          <w:sz w:val="17"/>
          <w:szCs w:val="17"/>
          <w:color w:val="auto"/>
        </w:rPr>
        <w:t>In testing a cash-generating unit for impairment, corporate assets are allocated to the relevant cash-generating unit when a reasonable and consistent basis of allocation can be established, or otherwise they are allocated to the smallest group of cash generating units for which a reasonable and consistent allocation basis can be established. The recoverable amount is determined for the cash-generating unit or group of cash-generating units to which the corporate asset belongs, and is compared with the carrying amount of the relevant cash-generating unit or group of cash-generating units.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Recoverable amount is the higher of fair value less costs to sell and value in use. In assessing value in use, the estimated future cash flows are discounted to their present value using a pre-tax discount rate that reflects current market assessments of the time value of money and the risks specific to the asset (or a cash-generating unit) for which the estimates of future cash flows have not been adjusted.</w:t>
      </w:r>
    </w:p>
    <w:p>
      <w:pPr>
        <w:spacing w:after="0" w:line="16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If the recoverable amount of an asset (or a cash-generating unit) is estimated to be less than its carrying amount, the carrying amount of the asset (or a cash-generating unit) is reduced to its recoverable amount. For corporate assets or portion of corporate assets which cannot be allocated on a reasonable and consistent basis to a cash-generating unit, the Group compares the carrying amount of a group of cash-generating units, including the carrying amounts of the corporate assets or portion of corporate assets allocated to that group of cash-generating units, with the recoverable amount of the group of cash-generating units. In allocating the impairment loss, the impairment loss is allocated first to reduce the carrying amount of any goodwill (if applicable) and then to the other assets on a pro-rata basis based on the carrying amount of each asset in the unit or the group of cash-generating units. The carrying amount of an asset is not reduced below the highest of its fair value less costs of disposal (if measurable), its value in use (if determinable) and zero. The amount of the impairment loss that would otherwise have been allocated to the asset is allocated pro rata to the other assets of the unit or the group of cash-generating units. An impairment loss is recognized immediately in profit or loss.</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Where an impairment loss subsequently reverses, the carrying amount of the asset (or cash-generating unit or a group of cash-generating units) is increased to the revised estimate of its recoverable amount, but so that the increased carrying amount does not exceed the carrying amount that would have been determined had no impairment loss been recognized for the asset (or a cash-generating unit or a group of cash-generating units) in prior years. A reversal of an impairment loss is recognized immediately in profit or loss.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Cash and cash equivalents mainly comprised of cash at different banks. The Company considers all short-term investments with an original maturity of three months or less when purchased as cash and cash equivalents. As of 31 March 2025 and 2024, the Group did not have such short term 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instruments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Financial assets and financial liabilities are recognized when a group entity becomes a party to the contractual provisions of the instrument. All regular way purchases or sales of financial assets are recognized and derecognized on a settlement date basis. Regular way purchases or sales are purchases or sales of financial assets that require delivery of assets within the time frame established by regulation or convention in the market place.</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Financial assets and financial liabilities are initially measured at fair value except for trade receivables arising from contracts with customers which are initially measured in accordance with IFRS 15. Transaction costs that are directly attributable to the acquisition or issue of financial assets and financial liabilities (other than financial assets or financial liabilities at fair value through profit or loss (“FVTPL”)) are added to or deducted from the fair value of the financial assets or financial liabilities, as appropriate, on initial recognition. Transaction costs directly attributable to the acquisition of financial assets or financial liabilities at FVTPL are recognized immediately in profit or loss.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effective interest method is a method of calculating the amortized cost of a financial asset or financial liability and of allocating interest income and interest expense over the relevant period. The effective interest rate is the rate that exactly discounts estimated future cash receipts and payments (including all fees and points paid or received that form an integral part of the effective interest rate, transaction costs and other premiums or discounts) through the expected life of the financial asset or financial liability, or, where appropriate, a shorter period, to the net carrying amount on initial recognition.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auto"/>
        </w:rPr>
        <w:t>Financial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Classification and subsequent measurement of financial assets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assets that meet the following conditions are subsequently measured at amortized cost:</w:t>
      </w:r>
    </w:p>
    <w:p>
      <w:pPr>
        <w:spacing w:after="0" w:line="208" w:lineRule="exact"/>
        <w:rPr>
          <w:sz w:val="20"/>
          <w:szCs w:val="20"/>
          <w:color w:val="auto"/>
        </w:rPr>
      </w:pPr>
    </w:p>
    <w:p>
      <w:pPr>
        <w:ind w:left="600" w:hanging="297"/>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asset is held within a business model whose objective is to collect contractual cash flows; and</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contractual terms give rise on specified dates to cash flows that are solely payments of principal and interest on the principal amount outstanding.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other financial assets are subsequently measured at FVTPL.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Amortized cost and interest income</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Interest income is recognized using the effective interest method for financial assets measured subsequently at amortized cost. Interest income is calculated by applying the effective interest rate to the gross carrying amount of a financial asset, except for financial assets that have subsequently become credit-impaired (see below). For financial assets that have subsequently become credit-impaired, interest income is recognized by applying the effective interest rate to the amortized cost of the financial asset from the next reporting period. If the credit risk on the credit-impaired financial instrument improves so that the financial asset is no longer credit-impaired, interest income is recognized by applying the effective interest rate to the gross carrying amount of the financial asset from the beginning of the reporting period following the determination that the asset is no longer credit-impaired. At the end of the reporting period, trade and other receivables are measured at amortized cost.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assets at FVTPL</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Financial assets that do not meet the criteria for being measured at amortized cost or Fair Value Through Other Comprehensive Income (“FVTOCI”) or designated as FVTOCI are measured at FVTPL.</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Financial assets at FVTPL are measured at fair value at the end of each reporting period, with any fair value gains or losses recognized in profit or loss. The net gain or loss recognized in profit or loss excludes any dividend or interest earned on the financial asset.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of financial assets subject to impairment assessment under IFRS 9</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Group performs impairment assessment under expected credit loss (“ECL”) model on financial assets (including trade and other receivables and amounts due from an associate/shareholders/related companies) which are subject to impairment assessment under IFRS 9. The amount of ECL is updated at each reporting date to reflect changes in credit risk since initial recognition.</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Lifetime ECL represents the ECL that will result from all possible default events over the expected life of the relevant instrument. In contrast, 12-month ECL (“12m ECL”) represents the portion of lifetime ECL that is expected to result from default events that are possible within 12 months after the reporting date. Assessments are done based on the Group’s historical credit loss experience, adjusted for factors that are specific to the debtors, general economic conditions and an assessment of both the current conditions at the reporting date as well as the forecast of future conditions.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always recognizes lifetime ECL for trade receivables.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all other instruments, the Group measures the loss allowance equal to 12-month expected credit loss (“ECL”), unless there has been a significant increase in credit risk since initial recognition, in which case the Group recognizes lifetime ECL. The assessment of whether lifetime ECL should be recognized is based on significant increases in the likelihood or risk of a default occurring since initial recognition.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i w:val="1"/>
          <w:iCs w:val="1"/>
          <w:color w:val="auto"/>
        </w:rPr>
        <w:t>Derecognition of financial assets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Group derecognizes a financial asset only when the contractual rights to the cash flows from the asset expire, or when it transfers the financial asset and substantially all the risks and rewards of ownership of the asset to another entity. If the Group neither transfers nor retains substantially all the risks and rewards of ownership and continues to control the transferred asset, the Group recognizes its retained interest in the asset and an associated liability for amounts it may have to pay. If the Group retains substantially all the risks and rewards of ownership of a transferred financial asset, the Group continues to recognize the financial asset and also recognizes a collateralized borrowing for the proceeds received.</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derecognition of a financial asset measured at amortized cost, the difference between the asset’s carrying amount and the sum of the consideration received and receivable is recognized in profit or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Financial liabilities and equity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Classification as debt or equity</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Debt and equity instruments are classified as either financial liabilities or as equity in accordance with the substance of the contractual arrangements and the definitions of a financial liability and an equity instrument.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instruments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An equity instrument is any contract that evidences a residual interest in the assets of an entity after deducting all of its liabilities. Equity instruments issued by the Company are recognized at the proceeds received, net of direct issue costs.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Transaction costs directly attributable to the issuance of new shares in the IPO are accounted for as a deduction from share premium. Other offering-related costs are expensed in the consolidated statement of profit or loss and other comprehensive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liabilities at FVTPL</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Financial liabilities are classified as at FVTPL when the financial liability is (i) contingent consideration of an acquirer in a business combination to which IFRS 3 applies, (ii) held for trading or (iii) it is designated as at FVTPL.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financial liability is held for trading if:</w:t>
      </w:r>
    </w:p>
    <w:p>
      <w:pPr>
        <w:spacing w:after="0" w:line="208" w:lineRule="exact"/>
        <w:rPr>
          <w:sz w:val="20"/>
          <w:szCs w:val="20"/>
          <w:color w:val="auto"/>
        </w:rPr>
      </w:pPr>
    </w:p>
    <w:p>
      <w:pPr>
        <w:ind w:left="300" w:hanging="299"/>
        <w:spacing w:after="0"/>
        <w:tabs>
          <w:tab w:leader="none" w:pos="3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been acquired principally for the purpose of repurchasing it in the near term; or</w:t>
      </w:r>
    </w:p>
    <w:p>
      <w:pPr>
        <w:spacing w:after="0" w:line="22"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initial recognition it is part of a portfolio of identified financial instruments that the Group manages together and has a recent actual pattern of short-term profit-taking; or</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 derivative, except for a derivative that is a financial guarantee contract or a designated and effective hedging instrument.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financial liability other than a financial liability held for trading or contingent consideration of an acquirer in a business combination may be designated as at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FVTPL upon initial recognition if:</w:t>
      </w:r>
    </w:p>
    <w:p>
      <w:pPr>
        <w:spacing w:after="0" w:line="192" w:lineRule="exact"/>
        <w:rPr>
          <w:sz w:val="20"/>
          <w:szCs w:val="20"/>
          <w:color w:val="auto"/>
        </w:rPr>
      </w:pPr>
    </w:p>
    <w:p>
      <w:pPr>
        <w:ind w:left="300" w:hanging="299"/>
        <w:spacing w:after="0"/>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designation eliminates or significantly reduces a measurement or recognition inconsistency that would otherwise arise; or</w:t>
      </w:r>
    </w:p>
    <w:p>
      <w:pPr>
        <w:spacing w:after="0" w:line="22"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liability forms part of a group of financial assets or financial liabilities or both, which is managed, and its performance is evaluated on a fair value basis, in accordance with the Group’s documented risk management or investment strategy, and information about the grouping is provided internally on that basis; or</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forms part of a contract containing one or more embedded derivatives, and IFRS 9 permits the entire combined contract to be designated as at FVTPL.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financial liabilities that are designated as at FVTPL, the amount of changes in the fair value of the financial liability that is attributable to changes in the credit risk of that liability is recognized in other comprehensive income, unless the recognition of the effects of changes in the liability’s credit risk in other comprehensive income would create or enlarge an accounting mismatch in profit or loss.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liabilities at amortized cost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Financial liabilities including other payables and amounts due to an associate/related parties/directors are subsequently measured at amortized cost, using the effective interest method.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i w:val="1"/>
          <w:iCs w:val="1"/>
          <w:color w:val="auto"/>
        </w:rPr>
        <w:t>Redeemable Preferred shares/ convertible loan notes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At the date of issue, redeemable preferred shares and convertible loan notes are designated as at FVTPL with both the debt component and derivative components recognized at fair value. In subsequent period, changes in fair value are recognized in profit or loss as fair value gain or loss except for changes in the fair value that is attributable to changes in the credit risk (excluding changes in fair value of the derivatives component) is recognized in other comprehensive income, unless the recognition of the effects of changes in the credit risk in other comprehensive income would create or enlarge an accounting mismatch in profit or loss. Changes in fair value attributable to the credit risk that are recognized in other comprehensive income are not subsequently reclassified to profit or loss, they are transferred to retained profits upon derecognition.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costs relating to the issue of all these instruments are charged to profit or loss immediately.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Derecognition of financial liabilities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derecognizes financial liabilities when, and only when, the Group’s obligations are discharged, cancelled or have expired. The difference between the carrying amount of the financial liability derecognized and the consideration paid and payable is recognized in profit or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related party is a person or entity that is related to the Group.</w:t>
      </w:r>
    </w:p>
    <w:p>
      <w:pPr>
        <w:spacing w:after="0" w:line="208" w:lineRule="exact"/>
        <w:rPr>
          <w:sz w:val="20"/>
          <w:szCs w:val="20"/>
          <w:color w:val="auto"/>
        </w:rPr>
      </w:pPr>
    </w:p>
    <w:p>
      <w:pPr>
        <w:ind w:left="600" w:hanging="297"/>
        <w:spacing w:after="0"/>
        <w:tabs>
          <w:tab w:leader="none" w:pos="6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or a close member of that person’s family is related to the Group if that person:</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control or joint control over the Group;</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significant influence over the Group; or</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 member of key management personnel of the Group or the Group’s parent.</w:t>
      </w:r>
    </w:p>
    <w:p>
      <w:pPr>
        <w:spacing w:after="0" w:line="19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entity is related to the Group if any of the following conditions apply:</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and the Group are members of the same group (which means that each parent, subsidiary and fellow subsidiary is related to the others).</w:t>
      </w:r>
    </w:p>
    <w:p>
      <w:pPr>
        <w:spacing w:after="0" w:line="22"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entity is an associate or joint venture of the other entity (or an associate or joint venture of a member of a group of which the other entity is a member).</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Both entities are joint ventures of the same third party.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entity is a joint venture of a third entity and the other entity is an associate of the third entity.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is a post-employment benefit plan for the benefit of the employees of the Group or an entity related to the Group.</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is controlled or jointly controlled by a person identified in (a).</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identified in (a)(i) has significant influence over the entity or is a member of key management personnel of the entity (or of a parent of the entity).</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entity, or any member of a group of which it is a part, provides key management personnel services to the Group or to the parent of the Group.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versus non-current classification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presents assets and liabilities in the consolidated statement of financial position based on current/non-current classification. An asset is current when:</w:t>
      </w:r>
    </w:p>
    <w:p>
      <w:pPr>
        <w:spacing w:after="0" w:line="208" w:lineRule="exact"/>
        <w:rPr>
          <w:sz w:val="20"/>
          <w:szCs w:val="20"/>
          <w:color w:val="auto"/>
        </w:rPr>
      </w:pPr>
    </w:p>
    <w:p>
      <w:pPr>
        <w:ind w:left="600" w:hanging="297"/>
        <w:spacing w:after="0"/>
        <w:tabs>
          <w:tab w:leader="none" w:pos="6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expected to be realized or intended to be sold or consumed in normal operating cycle;</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held primarily for the purpose of trading;</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expected to be realized within twelve months after the reporting period; or</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cash or cash equivalent unless restricted from being exchanged or used to settle a liability for at least twelve months after the reporting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other assets are classified as non-current.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color w:val="auto"/>
        </w:rPr>
        <w:t>A liability is current when:</w:t>
      </w:r>
    </w:p>
    <w:p>
      <w:pPr>
        <w:spacing w:after="0" w:line="208" w:lineRule="exact"/>
        <w:rPr>
          <w:sz w:val="20"/>
          <w:szCs w:val="20"/>
          <w:color w:val="auto"/>
        </w:rPr>
      </w:pPr>
    </w:p>
    <w:p>
      <w:pPr>
        <w:ind w:left="600" w:hanging="297"/>
        <w:spacing w:after="0"/>
        <w:tabs>
          <w:tab w:leader="none" w:pos="6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expected to be settled in normal operating cycle;</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held primarily for the purpose of trading;</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due to be settled within twelve months after the reporting period; or</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unconditional right to defer the settlement of the liability for at least twelve months after the reporting period.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other liabilities are classified as non-current.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KEY SOURCES OF JUDGEMENTS AND ESTIMATION UNCERTAINTY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application of the Group’s accounting policies, which are described in note 3, the management is required to make judgements,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Judgements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process of applying the Group’s accounting policies, management has made the following judgements which have the most significant effect on the amounts recognized in the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Functional currency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Revenue contracts, operating expenses and borrowing of the group entities are primarily in USD, and are expected to remain principally denominated in USD in the future. Management has determined USD as the Company’s functional currency and presented the consolidated financial statements in USD to meet the requirements of users.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the process of classifying a financial instrument, management has made various judgments. Judgment is needed to determine whether a financial instrument, or its component parts, on initial recognition is classified as a financial liability, a financial asset or an equity instrument in accordance with the substance of the contractual arrangement and the definitions of a financial liability, a financial asset and an equity instrument. In making its judgment, management considered the detailed criteria and related guidance for the classification of financial instruments as set out in IFRS 9, in particular, whether the instrument includes a contractual obligation to deliver cash or another financial asset to another entity.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DSL Private Warrants, Private Warrants and IPO Warrants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the process of classifying DSL Private Warrants, Private Warrants and IPO Warrants, management has made various judgments. Judgment is needed to determine whether the instrument on initial recognition is classified as a financial liability or an equity instrument in accordance with the substance of the contractual arrangement and the definitions of a financial liability and an equity instrument. In making its judgment, management considered the detailed criteria and related guidance for the classification of financial instruments as set out in IAS 32.</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DSL Private Warrants, Private Warrants and IPO Warrants are classified as an equity instrument on the basis that the instruments do not include contractual obligation to deliver cash to the warrant holder, and the instruments meet the fixed-for-fixed condition by preserving the relative economic interests of the warrant holder and the Company’s shareholders.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i w:val="1"/>
          <w:iCs w:val="1"/>
          <w:color w:val="auto"/>
        </w:rPr>
        <w:t>Segmental reporting</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Group’s management is considered the Group’s CODM. The CODM reviews financial information presented on a consolidated basis for purposes of making operating decisions, allocating resources, and evaluating financial performance. While the Group has revenue from multiple services and geographies, the financial position, performance and cashflow of the Group are considered by the CODM on a consolidated basis, so discrete financial information is not available for each such component. The overall financial performance of the Group is also considered as a whole.</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such, the Group has determined that it operates as one operating segment and one reportable segment. The Group will continue to assess the operating segments reviewed by the CODM and the associated reportable segments per IAS 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Estimation uncertainties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key assumptions concerning the future, and other key sources of estimation uncertainty at the reporting date, that may have a significant risk of causing a material adjustment to the carrying amounts of assets and liabilities within the next financial year, are discussed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 of financial instruments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At the end of each reporting period, certain of the Group’s financial liabilities, including Preferred Shares, and convertible loan notes, are measured at fair value with fair value being determined based on significant unobservable inputs using valuation techniques. Judgement and estimation are required in establishing the relevant valuation techniques and the relevant inputs thereof. Changes in assumptions relating to these factors could result in material adjustments to the fair value of these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Provision of ECL for trade receivables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Trade receivables with significant balances and credit-impaired are assessed for ECL individually. In addition, for trade receivables which are individually insignificant or when the Group does not have reasonable and supportable information that is available without undue cost or effort to measure ECL on individual basis, collective assessment is performed by grouping debtors based on the Group’s internal credit ratings.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provision of ECL is sensitive to changes in estimates.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is subject to income taxes in several jurisdictions. Significant estimates are required in determining the provision for income taxes. There are many transactions and calculations for which the ultimate tax determination is uncertain during the ordinary course of business. Where the final tax outcome of these matters is different from the amounts that were initially recorded, such differences will impact the current and deferred tax exposure in the period in which such determination is made.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Share-based payment expenses – share options awards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fair value of the share option awards granted that is determined at the date of grant of the respective share options is expensed over the vesting period, with a corresponding adjustment to the Group’s share option reserve. In assessing the fair value of the share option award, discounted cash flows and the equity allocation model were used to calculate the fair value of the share options. The discounted cash flows and the equity allocation model require the input of subjective assumptions, including discount rate, volatility of the Ordinary Shares or ordinary shares of DSL and the expected life of options. Any changes in these assumptions can significantly affect the estimate of the fair value of the share option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Discount rate used for initial measurement of lease liability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as a lessee, measures the lease liability at the present value of the unpaid lease payments at the commencement date. The lease payments are discounted using the interest rate implicit in the lease, if that rate can be readily determined. If that rate cannot be readily determined, the Group on initial recognition of the lease uses its incremental borrowing rate. Incremental borrowing rate is the rate of interest that the Group would have to pay to borrow over a similar term, and with a similar security, the funds necessary to obtain an asset of a similar value to the right-of-use assets in similar economic environment.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22"/>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REVENUE</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3"/>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An analysis of the Group’s revenue for the reporting periods are as follows:</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6"/>
        </w:trPr>
        <w:tc>
          <w:tcPr>
            <w:tcW w:w="608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608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608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a point-in-time:</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6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Software license fee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900,000</w:t>
            </w:r>
          </w:p>
        </w:tc>
        <w:tc>
          <w:tcPr>
            <w:tcW w:w="340" w:type="dxa"/>
            <w:vAlign w:val="bottom"/>
          </w:tcPr>
          <w:p>
            <w:pPr>
              <w:spacing w:after="0"/>
              <w:rPr>
                <w:sz w:val="17"/>
                <w:szCs w:val="17"/>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Customization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462,569</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695,243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1,019,064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4"/>
        </w:trPr>
        <w:tc>
          <w:tcPr>
            <w:tcW w:w="6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Advisory service income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274,420</w:t>
            </w:r>
          </w:p>
        </w:tc>
        <w:tc>
          <w:tcPr>
            <w:tcW w:w="34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160,085</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608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1,636,989</w:t>
            </w:r>
          </w:p>
        </w:tc>
        <w:tc>
          <w:tcPr>
            <w:tcW w:w="3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855,328</w:t>
            </w:r>
          </w:p>
        </w:tc>
        <w:tc>
          <w:tcPr>
            <w:tcW w:w="3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1,019,064</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Over time:</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Advisory service income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248,497</w:t>
            </w:r>
          </w:p>
        </w:tc>
        <w:tc>
          <w:tcPr>
            <w:tcW w:w="80" w:type="dxa"/>
            <w:vAlign w:val="bottom"/>
            <w:shd w:val="clear" w:color="auto" w:fill="CCEEFF"/>
          </w:tcPr>
          <w:p>
            <w:pPr>
              <w:spacing w:after="0"/>
              <w:rPr>
                <w:sz w:val="17"/>
                <w:szCs w:val="17"/>
                <w:color w:val="auto"/>
              </w:rPr>
            </w:pPr>
          </w:p>
        </w:tc>
      </w:tr>
      <w:tr>
        <w:trPr>
          <w:trHeight w:val="214"/>
        </w:trPr>
        <w:tc>
          <w:tcPr>
            <w:tcW w:w="6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Software subscription fee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403,613</w:t>
            </w:r>
          </w:p>
        </w:tc>
        <w:tc>
          <w:tcPr>
            <w:tcW w:w="34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444,210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358,202</w:t>
            </w:r>
          </w:p>
        </w:tc>
        <w:tc>
          <w:tcPr>
            <w:tcW w:w="80" w:type="dxa"/>
            <w:vAlign w:val="bottom"/>
          </w:tcPr>
          <w:p>
            <w:pPr>
              <w:spacing w:after="0"/>
              <w:rPr>
                <w:sz w:val="18"/>
                <w:szCs w:val="18"/>
                <w:color w:val="auto"/>
              </w:rPr>
            </w:pPr>
          </w:p>
        </w:tc>
      </w:tr>
      <w:tr>
        <w:trPr>
          <w:trHeight w:val="194"/>
        </w:trPr>
        <w:tc>
          <w:tcPr>
            <w:tcW w:w="608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403,613</w:t>
            </w:r>
          </w:p>
        </w:tc>
        <w:tc>
          <w:tcPr>
            <w:tcW w:w="3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444,210</w:t>
            </w:r>
          </w:p>
        </w:tc>
        <w:tc>
          <w:tcPr>
            <w:tcW w:w="3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606,699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07"/>
        </w:trPr>
        <w:tc>
          <w:tcPr>
            <w:tcW w:w="60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2,040,602</w:t>
            </w:r>
          </w:p>
        </w:tc>
        <w:tc>
          <w:tcPr>
            <w:tcW w:w="340" w:type="dxa"/>
            <w:vAlign w:val="bottom"/>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1,299,538</w:t>
            </w:r>
          </w:p>
        </w:tc>
        <w:tc>
          <w:tcPr>
            <w:tcW w:w="34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1,625,763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service provided by the Group are for periods of one year or less. As permitted under IFRS 15, the transaction price allocated to the remaining performance obligations is not disclosed.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 GENERAL AND ADMINISTRATIVE EXPENSES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4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47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Notes</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47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2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Employees’ benefits</w:t>
            </w: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5"/>
              </w:rPr>
              <w:t>(a)</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4,817,469</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5,043,962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5,025,450</w:t>
            </w:r>
          </w:p>
        </w:tc>
        <w:tc>
          <w:tcPr>
            <w:tcW w:w="100" w:type="dxa"/>
            <w:vAlign w:val="bottom"/>
            <w:shd w:val="clear" w:color="auto" w:fill="CCEEFF"/>
          </w:tcPr>
          <w:p>
            <w:pPr>
              <w:spacing w:after="0"/>
              <w:rPr>
                <w:sz w:val="17"/>
                <w:szCs w:val="17"/>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(b)</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2,093,658</w:t>
            </w:r>
          </w:p>
        </w:tc>
        <w:tc>
          <w:tcPr>
            <w:tcW w:w="340" w:type="dxa"/>
            <w:vAlign w:val="bottom"/>
          </w:tcPr>
          <w:p>
            <w:pPr>
              <w:spacing w:after="0"/>
              <w:rPr>
                <w:sz w:val="17"/>
                <w:szCs w:val="17"/>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531,245</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275,234</w:t>
            </w:r>
          </w:p>
        </w:tc>
        <w:tc>
          <w:tcPr>
            <w:tcW w:w="100" w:type="dxa"/>
            <w:vAlign w:val="bottom"/>
          </w:tcPr>
          <w:p>
            <w:pPr>
              <w:spacing w:after="0"/>
              <w:rPr>
                <w:sz w:val="17"/>
                <w:szCs w:val="17"/>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IT development and maintenance support</w:t>
            </w: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5"/>
              </w:rPr>
              <w:t>(c)</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1,452,730</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2,121,539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2,661,511</w:t>
            </w:r>
          </w:p>
        </w:tc>
        <w:tc>
          <w:tcPr>
            <w:tcW w:w="100" w:type="dxa"/>
            <w:vAlign w:val="bottom"/>
            <w:shd w:val="clear" w:color="auto" w:fill="CCEEFF"/>
          </w:tcPr>
          <w:p>
            <w:pPr>
              <w:spacing w:after="0"/>
              <w:rPr>
                <w:sz w:val="17"/>
                <w:szCs w:val="17"/>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Audit fee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390,349</w:t>
            </w:r>
          </w:p>
        </w:tc>
        <w:tc>
          <w:tcPr>
            <w:tcW w:w="340" w:type="dxa"/>
            <w:vAlign w:val="bottom"/>
          </w:tcPr>
          <w:p>
            <w:pPr>
              <w:spacing w:after="0"/>
              <w:rPr>
                <w:sz w:val="17"/>
                <w:szCs w:val="17"/>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594,224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22,294</w:t>
            </w:r>
          </w:p>
        </w:tc>
        <w:tc>
          <w:tcPr>
            <w:tcW w:w="100" w:type="dxa"/>
            <w:vAlign w:val="bottom"/>
          </w:tcPr>
          <w:p>
            <w:pPr>
              <w:spacing w:after="0"/>
              <w:rPr>
                <w:sz w:val="17"/>
                <w:szCs w:val="17"/>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Travelling expenses</w:t>
            </w: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5"/>
              </w:rPr>
              <w:t>(e)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377,922</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514,106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28,935</w:t>
            </w:r>
          </w:p>
        </w:tc>
        <w:tc>
          <w:tcPr>
            <w:tcW w:w="100" w:type="dxa"/>
            <w:vAlign w:val="bottom"/>
            <w:shd w:val="clear" w:color="auto" w:fill="CCEEFF"/>
          </w:tcPr>
          <w:p>
            <w:pPr>
              <w:spacing w:after="0"/>
              <w:rPr>
                <w:sz w:val="17"/>
                <w:szCs w:val="17"/>
                <w:color w:val="auto"/>
              </w:rPr>
            </w:pPr>
          </w:p>
        </w:tc>
      </w:tr>
      <w:tr>
        <w:trPr>
          <w:trHeight w:val="185"/>
        </w:trPr>
        <w:tc>
          <w:tcPr>
            <w:tcW w:w="47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Share-based payments expenses on anti-dilution issuance of</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Preferred Shares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3"/>
              </w:rPr>
              <w:t>(f)</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369,648</w:t>
            </w: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and depreciation</w:t>
            </w:r>
          </w:p>
        </w:tc>
        <w:tc>
          <w:tcPr>
            <w:tcW w:w="13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125,575</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103,276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00" w:type="dxa"/>
            <w:vAlign w:val="bottom"/>
            <w:shd w:val="clear" w:color="auto" w:fill="CCEEFF"/>
          </w:tcPr>
          <w:p>
            <w:pPr>
              <w:spacing w:after="0"/>
              <w:rPr>
                <w:sz w:val="17"/>
                <w:szCs w:val="17"/>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(h)</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717,163</w:t>
            </w: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454,993</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886,060</w:t>
            </w:r>
          </w:p>
        </w:tc>
        <w:tc>
          <w:tcPr>
            <w:tcW w:w="100" w:type="dxa"/>
            <w:vAlign w:val="bottom"/>
          </w:tcPr>
          <w:p>
            <w:pPr>
              <w:spacing w:after="0"/>
              <w:rPr>
                <w:sz w:val="18"/>
                <w:szCs w:val="18"/>
                <w:color w:val="auto"/>
              </w:rPr>
            </w:pPr>
          </w:p>
        </w:tc>
      </w:tr>
      <w:tr>
        <w:trPr>
          <w:trHeight w:val="207"/>
        </w:trPr>
        <w:tc>
          <w:tcPr>
            <w:tcW w:w="47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10,344,514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9,363,345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8,900,491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by-nature classification of general and administrative expenses for the year ended 31 March 2023 and 2024 has been represented to conform with the presentation for the year ended 31 March 2025.</w:t>
      </w:r>
    </w:p>
    <w:p>
      <w:pPr>
        <w:sectPr>
          <w:pgSz w:w="11900" w:h="16838" w:orient="portrait"/>
          <w:cols w:equalWidth="0" w:num="1">
            <w:col w:w="11240"/>
          </w:cols>
          <w:pgMar w:left="320" w:top="649" w:right="33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Basic salaries, allowances and all benefits-in-kind</w:t>
      </w:r>
    </w:p>
    <w:p>
      <w:pPr>
        <w:spacing w:after="0" w:line="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Pension costs - defined contribution plans</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Share-based payments</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Total employees’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78"/>
        </w:trPr>
        <w:tc>
          <w:tcPr>
            <w:tcW w:w="14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5"/>
                <w:szCs w:val="15"/>
                <w:color w:val="auto"/>
              </w:rPr>
            </w:pPr>
          </w:p>
        </w:tc>
        <w:tc>
          <w:tcPr>
            <w:tcW w:w="144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USD</w:t>
            </w:r>
          </w:p>
        </w:tc>
        <w:tc>
          <w:tcPr>
            <w:tcW w:w="300" w:type="dxa"/>
            <w:vAlign w:val="bottom"/>
          </w:tcPr>
          <w:p>
            <w:pPr>
              <w:spacing w:after="0"/>
              <w:rPr>
                <w:sz w:val="15"/>
                <w:szCs w:val="15"/>
                <w:color w:val="auto"/>
              </w:rPr>
            </w:pPr>
          </w:p>
        </w:tc>
        <w:tc>
          <w:tcPr>
            <w:tcW w:w="14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USD</w:t>
            </w:r>
          </w:p>
        </w:tc>
      </w:tr>
      <w:tr>
        <w:trPr>
          <w:trHeight w:val="202"/>
        </w:trPr>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3,865,438</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3,581,537</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4,261,273</w:t>
            </w:r>
          </w:p>
        </w:tc>
      </w:tr>
      <w:tr>
        <w:trPr>
          <w:trHeight w:val="214"/>
        </w:trPr>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92,346</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109,590</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176,356</w:t>
            </w:r>
          </w:p>
        </w:tc>
      </w:tr>
      <w:tr>
        <w:trPr>
          <w:trHeight w:val="218"/>
        </w:trPr>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859,685</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1,352,835</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587,821</w:t>
            </w:r>
          </w:p>
        </w:tc>
      </w:tr>
      <w:tr>
        <w:trPr>
          <w:trHeight w:val="207"/>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4,817,469</w:t>
            </w:r>
          </w:p>
        </w:tc>
        <w:tc>
          <w:tcPr>
            <w:tcW w:w="34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5,043,962</w:t>
            </w:r>
          </w:p>
        </w:tc>
        <w:tc>
          <w:tcPr>
            <w:tcW w:w="3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5,025,450</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-560070</wp:posOffset>
            </wp:positionV>
            <wp:extent cx="6637020" cy="1282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37020" cy="12827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-303530</wp:posOffset>
            </wp:positionV>
            <wp:extent cx="6637020" cy="135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37020" cy="135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5240" w:space="720"/>
            <w:col w:w="5280"/>
          </w:cols>
          <w:pgMar w:left="320" w:top="649"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color w:val="auto"/>
        </w:rPr>
        <w:t>The above includes the cost of both employees and contractors. At 31 March 2025, the Company had 26 employees and 9 contractors (2024: 22 employees</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and 7 contractors; 2023: 26 employees and 10 contractors).</w:t>
      </w:r>
    </w:p>
    <w:p>
      <w:pPr>
        <w:spacing w:after="0" w:line="192" w:lineRule="exact"/>
        <w:rPr>
          <w:sz w:val="20"/>
          <w:szCs w:val="20"/>
          <w:color w:val="auto"/>
        </w:rPr>
      </w:pPr>
    </w:p>
    <w:p>
      <w:pPr>
        <w:jc w:val="both"/>
        <w:ind w:left="600" w:hanging="599"/>
        <w:spacing w:after="0" w:line="261" w:lineRule="auto"/>
        <w:tabs>
          <w:tab w:leader="none" w:pos="6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increases in professional fees for the years ended 31 March 2024 and 2025 were primarily attributable to legal and professional services relating to the Company’s IPO. Upon the successful closing of the IPO, certain IPO related costs were capitalized against the share premium account with the remaining balance of the IPO related costs recorded as an expense.</w:t>
      </w:r>
    </w:p>
    <w:p>
      <w:pPr>
        <w:spacing w:after="0" w:line="169" w:lineRule="exact"/>
        <w:rPr>
          <w:rFonts w:ascii="Times New Roman" w:cs="Times New Roman" w:eastAsia="Times New Roman" w:hAnsi="Times New Roman"/>
          <w:sz w:val="17"/>
          <w:szCs w:val="17"/>
          <w:color w:val="auto"/>
        </w:rPr>
      </w:pPr>
    </w:p>
    <w:p>
      <w:pPr>
        <w:jc w:val="both"/>
        <w:ind w:left="600" w:hanging="599"/>
        <w:spacing w:after="0" w:line="256" w:lineRule="auto"/>
        <w:tabs>
          <w:tab w:leader="none" w:pos="6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development and maintenance support costs relate, primarily, to those associated with a third party that contributes to researching, developing and maintaining the Group commercial products. The costs also include server expenses for hosting the products. Included in IT development and maintenance support, the Group incurred research and development expenses of $831,088 for the year ended 31 March 2025 (2024: $1,334,865; 2023: $2,089,914) and no research and development expenditure is recognized as an internally generated intangible asset for all years.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144" w:name="page145"/>
    <w:bookmarkEnd w:id="144"/>
    <w:p>
      <w:pPr>
        <w:jc w:val="both"/>
        <w:ind w:left="600" w:hanging="599"/>
        <w:spacing w:after="0" w:line="261" w:lineRule="auto"/>
        <w:tabs>
          <w:tab w:leader="none" w:pos="6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31 March 2024 and 2025, significant increase in audit fees was due to the fees associated with the Public Company Accounting Oversight Board (“PCAOB”) audits of the Company’s consolidated financial statements for the year ended 31 March 2025, 2024 and 2023 (the 2023 PCAOB audit was conducted in 2024, hence the associated costs are reflected 2024).</w:t>
      </w:r>
    </w:p>
    <w:p>
      <w:pPr>
        <w:spacing w:after="0" w:line="169"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31 March 2023, audit fees related to local statutory audits.</w:t>
      </w:r>
    </w:p>
    <w:p>
      <w:pPr>
        <w:spacing w:after="0" w:line="207"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Whilst travelling expenses were lower than the year ended March 2024, the Company continued to travel with a focus on business development, The Company also travelled in relation to the IPO.</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issuance 151 Preferred Shares of DSL triggered by the Capital Raise, share-based payments expenses of $369,648 are recognized during the year ended 31 March 2025 (2024 and 2023: $Nil).</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during the year ended 31 March 2024 is primarily due to amortization expense in connection with the new office lease in Monaco entered into by the Group. The 2025 amortization represents a full year of the office lease.</w:t>
      </w:r>
    </w:p>
    <w:p>
      <w:pPr>
        <w:spacing w:after="0" w:line="15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costs include recruitment fees, insurance, bank charges, general office expenses, investor relations consultant fees, marketing and others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 OTHER INCOME, GAINS OR (LOSSES)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6"/>
        </w:trPr>
        <w:tc>
          <w:tcPr>
            <w:tcW w:w="4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4720" w:type="dxa"/>
            <w:vAlign w:val="bottom"/>
          </w:tcPr>
          <w:p>
            <w:pPr>
              <w:spacing w:after="0"/>
              <w:rPr>
                <w:sz w:val="19"/>
                <w:szCs w:val="19"/>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Notes</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47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20" w:type="dxa"/>
            <w:vAlign w:val="bottom"/>
          </w:tcPr>
          <w:p>
            <w:pPr>
              <w:spacing w:after="0"/>
              <w:rPr>
                <w:sz w:val="16"/>
                <w:szCs w:val="16"/>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change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Preferred Shares</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5"/>
              </w:rPr>
              <w:t>(a)</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4,117,648</w:t>
            </w:r>
          </w:p>
        </w:tc>
        <w:tc>
          <w:tcPr>
            <w:tcW w:w="340" w:type="dxa"/>
            <w:vAlign w:val="bottom"/>
          </w:tcPr>
          <w:p>
            <w:pPr>
              <w:spacing w:after="0"/>
              <w:rPr>
                <w:sz w:val="17"/>
                <w:szCs w:val="17"/>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4,101,000</w:t>
            </w: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(1,841,000)</w:t>
            </w:r>
          </w:p>
        </w:tc>
      </w:tr>
      <w:tr>
        <w:trPr>
          <w:trHeight w:val="202"/>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Convertible loan notes</w:t>
            </w:r>
          </w:p>
        </w:tc>
        <w:tc>
          <w:tcPr>
            <w:tcW w:w="13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(b)</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(639,000)</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(374,000)</w:t>
            </w:r>
          </w:p>
        </w:tc>
        <w:tc>
          <w:tcPr>
            <w:tcW w:w="1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(19,000)</w:t>
            </w: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Bank interest income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340" w:type="dxa"/>
            <w:vAlign w:val="bottom"/>
          </w:tcPr>
          <w:p>
            <w:pPr>
              <w:spacing w:after="0"/>
              <w:rPr>
                <w:sz w:val="17"/>
                <w:szCs w:val="17"/>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873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80" w:type="dxa"/>
            <w:vAlign w:val="bottom"/>
          </w:tcPr>
          <w:p>
            <w:pPr>
              <w:spacing w:after="0"/>
              <w:rPr>
                <w:sz w:val="17"/>
                <w:szCs w:val="17"/>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Subsidies from government authorities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22,454</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19,230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67,433</w:t>
            </w:r>
          </w:p>
        </w:tc>
        <w:tc>
          <w:tcPr>
            <w:tcW w:w="80" w:type="dxa"/>
            <w:vAlign w:val="bottom"/>
            <w:shd w:val="clear" w:color="auto" w:fill="CCEEFF"/>
          </w:tcPr>
          <w:p>
            <w:pPr>
              <w:spacing w:after="0"/>
              <w:rPr>
                <w:sz w:val="17"/>
                <w:szCs w:val="17"/>
                <w:color w:val="auto"/>
              </w:rPr>
            </w:pPr>
          </w:p>
        </w:tc>
      </w:tr>
      <w:tr>
        <w:trPr>
          <w:trHeight w:val="214"/>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Others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6,885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29,581</w:t>
            </w:r>
          </w:p>
        </w:tc>
        <w:tc>
          <w:tcPr>
            <w:tcW w:w="80" w:type="dxa"/>
            <w:vAlign w:val="bottom"/>
          </w:tcPr>
          <w:p>
            <w:pPr>
              <w:spacing w:after="0"/>
              <w:rPr>
                <w:sz w:val="18"/>
                <w:szCs w:val="18"/>
                <w:color w:val="auto"/>
              </w:rPr>
            </w:pPr>
          </w:p>
        </w:tc>
      </w:tr>
      <w:tr>
        <w:trPr>
          <w:trHeight w:val="207"/>
        </w:trPr>
        <w:tc>
          <w:tcPr>
            <w:tcW w:w="47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3,501,200</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3,753,988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(1,762,410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600" w:hanging="599"/>
        <w:spacing w:after="0" w:line="261" w:lineRule="auto"/>
        <w:tabs>
          <w:tab w:leader="none" w:pos="6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July 2021, DSL allotted 3,000 Preferred Shares to a new shareholder for a consideration of $6,000,000. Preferred Shares were fair valued, using an equity allocation model at the end of each reporting period, which resulted in a gain of $4,117,648 for the year ended 31 March 2025 (2024: gain of $4,101,000; 2023: loss of $1,841,000).</w:t>
      </w:r>
    </w:p>
    <w:p>
      <w:pPr>
        <w:spacing w:after="0" w:line="169" w:lineRule="exact"/>
        <w:rPr>
          <w:rFonts w:ascii="Times New Roman" w:cs="Times New Roman" w:eastAsia="Times New Roman" w:hAnsi="Times New Roman"/>
          <w:sz w:val="17"/>
          <w:szCs w:val="17"/>
          <w:color w:val="auto"/>
        </w:rPr>
      </w:pPr>
    </w:p>
    <w:p>
      <w:pPr>
        <w:jc w:val="both"/>
        <w:ind w:left="6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20, 2024, following the Company’s registration statement Form F-1 being declared effective by the SEC, the outstanding 2,583,820 Preferred Shares were converted into Ordinary Shares on a 1:1 basis with 2,583,820 Ordinary Shares being issued. No Preferred Shares outstanding as of March 31, 2025.</w:t>
      </w:r>
    </w:p>
    <w:p>
      <w:pPr>
        <w:spacing w:after="0" w:line="169"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issued 8% convertible loan notes. The notes were fair valued, using binomial option pricing model, at the end of each reporting period, resulting in a loss of $639,000 for the year ended 31 March 2025 (2024: loss of $374,000; 2023: loss of $19,000).</w:t>
      </w:r>
    </w:p>
    <w:p>
      <w:pPr>
        <w:spacing w:after="0" w:line="15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On December 20, 2024, following the Company’s registration statement being declared effective by the SEC, all the outstanding Notes with an aggregate face value of $4,350,000 and accrued interest of $751,781, totaling $5,101,781, were converted into Ordinary Shares at a conversion price of $2.17 resulting in the issuance of 2,347,134 Ordinary Shares. No Notes outstanding as of March 31,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 FINANCE COSTS, NET</w:t>
            </w:r>
          </w:p>
        </w:tc>
        <w:tc>
          <w:tcPr>
            <w:tcW w:w="20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6"/>
        </w:trPr>
        <w:tc>
          <w:tcPr>
            <w:tcW w:w="4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4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40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on</w:t>
            </w:r>
          </w:p>
        </w:tc>
        <w:tc>
          <w:tcPr>
            <w:tcW w:w="20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Convertible loan notes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238,960</w:t>
            </w:r>
          </w:p>
        </w:tc>
        <w:tc>
          <w:tcPr>
            <w:tcW w:w="340" w:type="dxa"/>
            <w:vAlign w:val="bottom"/>
          </w:tcPr>
          <w:p>
            <w:pPr>
              <w:spacing w:after="0"/>
              <w:rPr>
                <w:sz w:val="17"/>
                <w:szCs w:val="17"/>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266,520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80,822</w:t>
            </w:r>
          </w:p>
        </w:tc>
        <w:tc>
          <w:tcPr>
            <w:tcW w:w="80" w:type="dxa"/>
            <w:vAlign w:val="bottom"/>
          </w:tcPr>
          <w:p>
            <w:pPr>
              <w:spacing w:after="0"/>
              <w:rPr>
                <w:sz w:val="17"/>
                <w:szCs w:val="17"/>
                <w:color w:val="auto"/>
              </w:rPr>
            </w:pPr>
          </w:p>
        </w:tc>
      </w:tr>
      <w:tr>
        <w:trPr>
          <w:trHeight w:val="20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from immediate holding company</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129,423</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187,584</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78,926</w:t>
            </w:r>
          </w:p>
        </w:tc>
        <w:tc>
          <w:tcPr>
            <w:tcW w:w="80" w:type="dxa"/>
            <w:vAlign w:val="bottom"/>
            <w:shd w:val="clear" w:color="auto" w:fill="CCEEFF"/>
          </w:tcPr>
          <w:p>
            <w:pPr>
              <w:spacing w:after="0"/>
              <w:rPr>
                <w:sz w:val="17"/>
                <w:szCs w:val="17"/>
                <w:color w:val="auto"/>
              </w:rPr>
            </w:pPr>
          </w:p>
        </w:tc>
      </w:tr>
      <w:tr>
        <w:trPr>
          <w:trHeight w:val="202"/>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Loan from a related company</w:t>
            </w:r>
          </w:p>
        </w:tc>
        <w:tc>
          <w:tcPr>
            <w:tcW w:w="38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24,548</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80,219</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60,712</w:t>
            </w:r>
          </w:p>
        </w:tc>
        <w:tc>
          <w:tcPr>
            <w:tcW w:w="80" w:type="dxa"/>
            <w:vAlign w:val="bottom"/>
          </w:tcPr>
          <w:p>
            <w:pPr>
              <w:spacing w:after="0"/>
              <w:rPr>
                <w:sz w:val="17"/>
                <w:szCs w:val="17"/>
                <w:color w:val="auto"/>
              </w:rPr>
            </w:pPr>
          </w:p>
        </w:tc>
      </w:tr>
      <w:tr>
        <w:trPr>
          <w:trHeight w:val="214"/>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38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17,236</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18,328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7"/>
        </w:trPr>
        <w:tc>
          <w:tcPr>
            <w:tcW w:w="40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410,167</w:t>
            </w:r>
          </w:p>
        </w:tc>
        <w:tc>
          <w:tcPr>
            <w:tcW w:w="34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552,651</w:t>
            </w:r>
          </w:p>
        </w:tc>
        <w:tc>
          <w:tcPr>
            <w:tcW w:w="34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220,460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1"/>
        </w:trPr>
        <w:tc>
          <w:tcPr>
            <w:tcW w:w="40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7"/>
                <w:szCs w:val="17"/>
                <w:color w:val="auto"/>
              </w:rPr>
              <w:t>F-26</w:t>
            </w: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color w:val="auto"/>
        </w:rPr>
        <w:t>9 INCOME TAX EXPENSE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year ended 31 March 2024, income tax expense of the Group represented under-provision of current tax from 2022 of a subsidiary in United States of America. There was no other current tax expense or deferred tax expense for that year.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was no current or deferred tax expense for each of the years ended 31 March 2023 and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 Current income taxes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two-tiered profits tax rates regime of Hong Kong Profits Tax, the first HK$2 million (c.$250,000) of profits of the qualifying group entity will be taxed at 8.25%, and profits above HK$2 million (c.$250,000) will be taxed at 16.5%. The profits of group entities not qualifying for the two-tiered profits tax rates regime will continue to be taxed at a flat rate of 16.5%.</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Taxes charged on profits assessable elsewhere have been calculated at the rates of tax prevailing in the countries in which the Group operates, based on existing legislation, interpretation and practices in respect thereof.</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income tax expense for the year can be reconciled to the loss for the year per the consolidated statement of profit or loss and other comprehensive income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taxation</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(5,212,879)</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(4,862,470)</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(9,257,598)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3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Notional tax calculated at the rates applicable to profits in the tax</w:t>
            </w:r>
          </w:p>
        </w:tc>
        <w:tc>
          <w:tcPr>
            <w:tcW w:w="1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jurisdictions concerned</w:t>
            </w:r>
          </w:p>
        </w:tc>
        <w:tc>
          <w:tcPr>
            <w:tcW w:w="2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(381,348)</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(821,825)</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(1,555,403)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Tax effect of expenses that are not deductible</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215,019</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405,775</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451,111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 of income that are not taxable</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(676,665)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Tax effect of tax losses not recognized</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166,329</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1,092,715</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Under-provision in prior years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8,917</w:t>
            </w: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8,917</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9.2 Deferred income taxes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Deferred income tax assets and liabilities are offset when there is a legally enforceable right to offset tax recoverable against current income tax liabilities and when the deferred income taxes relate to the same fiscal authority.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 has accumulated tax losses of $22,775,852 at 31 March 2025 (2024: $21,847,422) that are available indefinitely for offsetting against future taxable profits of the respective group companies in which the losses arose. No deferred tax asset has been recognized in respect of the tax losses.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ultimate realization of unused tax losses is dependent upon the generation of sufficient future taxable profits during the periods in which those temporary differences become deductible. In determining the recognition of a deferred tax asset, management considered the future profitability of the Group. While management expects the Group to return profits in the future, there is still an element of uncertainty and as such, no deferred tax asset has been recognized.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color w:val="auto"/>
        </w:rPr>
        <w:t>10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for the year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for the year for the purpose of basic loss per share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dilutive potential ordinary shares: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Fair value change of Preferred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for the year for the purpose of diluted loss per share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of shares</w:t>
      </w:r>
    </w:p>
    <w:p>
      <w:pPr>
        <w:spacing w:after="0" w:line="2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7"/>
          <w:szCs w:val="17"/>
          <w:color w:val="auto"/>
        </w:rPr>
        <w:t>Weighted average number of ordinary shares for the purpose of basic loss per share – post-recapitalization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dilutive potential ordinary shares: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Preferred Shares – post-recapitalization</w:t>
      </w:r>
    </w:p>
    <w:p>
      <w:pPr>
        <w:spacing w:after="0" w:line="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Weighted average number of ordinary shares for the purpose of diluted loss per share – post-recapitalization</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0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20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211"/>
        </w:trPr>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8"/>
                <w:szCs w:val="18"/>
                <w:color w:val="auto"/>
              </w:rPr>
            </w:pPr>
          </w:p>
        </w:tc>
        <w:tc>
          <w:tcPr>
            <w:tcW w:w="1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40" w:type="dxa"/>
            <w:vAlign w:val="bottom"/>
          </w:tcPr>
          <w:p>
            <w:pPr>
              <w:spacing w:after="0"/>
              <w:rPr>
                <w:sz w:val="18"/>
                <w:szCs w:val="18"/>
                <w:color w:val="auto"/>
              </w:rPr>
            </w:pPr>
          </w:p>
        </w:tc>
      </w:tr>
      <w:tr>
        <w:trPr>
          <w:trHeight w:val="387"/>
        </w:trPr>
        <w:tc>
          <w:tcPr>
            <w:tcW w:w="20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(5,212,879)</w:t>
            </w: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(4,871,387)</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(9,257,598)</w:t>
            </w:r>
          </w:p>
        </w:tc>
      </w:tr>
      <w:tr>
        <w:trPr>
          <w:trHeight w:val="416"/>
        </w:trPr>
        <w:tc>
          <w:tcPr>
            <w:tcW w:w="204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(4,117,648)</w:t>
            </w:r>
          </w:p>
        </w:tc>
        <w:tc>
          <w:tcPr>
            <w:tcW w:w="20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(4,101,000)</w:t>
            </w: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N/A</w:t>
            </w:r>
          </w:p>
        </w:tc>
      </w:tr>
      <w:tr>
        <w:trPr>
          <w:trHeight w:val="207"/>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(9,330,527</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(8,972,387</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(9,257,598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3"/>
        </w:trPr>
        <w:tc>
          <w:tcPr>
            <w:tcW w:w="204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15,664,305</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9,514,886</w:t>
            </w:r>
          </w:p>
        </w:tc>
        <w:tc>
          <w:tcPr>
            <w:tcW w:w="3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9,497,240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6"/>
        </w:trPr>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1,861,766</w:t>
            </w:r>
          </w:p>
        </w:tc>
        <w:tc>
          <w:tcPr>
            <w:tcW w:w="3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2,460,000</w:t>
            </w:r>
          </w:p>
        </w:tc>
        <w:tc>
          <w:tcPr>
            <w:tcW w:w="340" w:type="dxa"/>
            <w:vAlign w:val="bottom"/>
          </w:tcPr>
          <w:p>
            <w:pPr>
              <w:spacing w:after="0"/>
              <w:rPr>
                <w:sz w:val="24"/>
                <w:szCs w:val="24"/>
                <w:color w:val="auto"/>
              </w:rPr>
            </w:pPr>
          </w:p>
        </w:tc>
        <w:tc>
          <w:tcPr>
            <w:tcW w:w="1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N/A</w:t>
            </w:r>
          </w:p>
        </w:tc>
      </w:tr>
      <w:tr>
        <w:trPr>
          <w:trHeight w:val="20"/>
        </w:trPr>
        <w:tc>
          <w:tcPr>
            <w:tcW w:w="1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9"/>
        </w:trPr>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17,526,071</w:t>
            </w:r>
          </w:p>
        </w:tc>
        <w:tc>
          <w:tcPr>
            <w:tcW w:w="340" w:type="dxa"/>
            <w:vAlign w:val="bottom"/>
          </w:tcPr>
          <w:p>
            <w:pPr>
              <w:spacing w:after="0"/>
              <w:rPr>
                <w:sz w:val="24"/>
                <w:szCs w:val="24"/>
                <w:color w:val="auto"/>
              </w:rPr>
            </w:pPr>
          </w:p>
        </w:tc>
        <w:tc>
          <w:tcPr>
            <w:tcW w:w="20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11,974,886</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9,497,240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-1632585</wp:posOffset>
            </wp:positionV>
            <wp:extent cx="7141210" cy="1282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-1376680</wp:posOffset>
            </wp:positionV>
            <wp:extent cx="7141210" cy="1282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-1112520</wp:posOffset>
            </wp:positionV>
            <wp:extent cx="7141210" cy="152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1210" cy="152400"/>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-815975</wp:posOffset>
            </wp:positionV>
            <wp:extent cx="7141210" cy="255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1210" cy="255905"/>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-431800</wp:posOffset>
            </wp:positionV>
            <wp:extent cx="7141210" cy="135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5060" w:space="340"/>
            <w:col w:w="5840"/>
          </w:cols>
          <w:pgMar w:left="320" w:top="850"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Due to the losses during the years ended 31 March 2023, 2024 and 2025, certain anti-dilutive instruments were excluded from the calculation of diluted loss per share.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excluded instruments (post-recapitalization), which are determined as anti-dilutive, include:</w:t>
      </w:r>
    </w:p>
    <w:p>
      <w:pPr>
        <w:spacing w:after="0" w:line="192" w:lineRule="exact"/>
        <w:rPr>
          <w:sz w:val="20"/>
          <w:szCs w:val="20"/>
          <w:color w:val="auto"/>
        </w:rPr>
      </w:pPr>
    </w:p>
    <w:p>
      <w:pPr>
        <w:ind w:left="600" w:hanging="297"/>
        <w:spacing w:after="0"/>
        <w:tabs>
          <w:tab w:leader="none" w:pos="6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option awards of 780,058 at 31 March 2025; 2024: 1,585,880 (pre- capitalization 1,943), (2023: 1,266,900 (pre-capitalization: 1,545), see note 23;</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shares of 3,000 shares, with recapitalized amount of 2,460,000, at 31 March 2023 (2024 and 2025: N/A), see note 17;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loan notes with aggregate face values of $3,350,000 and $3,250,000 31 March 2024 and 2023, respectively, see note 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11 RIGHT-OF-USE ASSETS</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946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 relate to office space leased by the Group. The amount in respect of lease are as follows: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9460" w:type="dxa"/>
            <w:vAlign w:val="bottom"/>
          </w:tcPr>
          <w:p>
            <w:pPr>
              <w:spacing w:after="0"/>
              <w:rPr>
                <w:sz w:val="24"/>
                <w:szCs w:val="24"/>
                <w:color w:val="auto"/>
              </w:rPr>
            </w:pP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Properties</w:t>
            </w:r>
          </w:p>
        </w:tc>
        <w:tc>
          <w:tcPr>
            <w:tcW w:w="0" w:type="dxa"/>
            <w:vAlign w:val="bottom"/>
          </w:tcPr>
          <w:p>
            <w:pPr>
              <w:spacing w:after="0"/>
              <w:rPr>
                <w:sz w:val="1"/>
                <w:szCs w:val="1"/>
                <w:color w:val="auto"/>
              </w:rPr>
            </w:pPr>
          </w:p>
        </w:tc>
      </w:tr>
      <w:tr>
        <w:trPr>
          <w:trHeight w:val="195"/>
        </w:trPr>
        <w:tc>
          <w:tcPr>
            <w:tcW w:w="9460" w:type="dxa"/>
            <w:vAlign w:val="bottom"/>
          </w:tcPr>
          <w:p>
            <w:pPr>
              <w:spacing w:after="0"/>
              <w:rPr>
                <w:sz w:val="16"/>
                <w:szCs w:val="16"/>
                <w:color w:val="auto"/>
              </w:rPr>
            </w:pPr>
          </w:p>
        </w:tc>
        <w:tc>
          <w:tcPr>
            <w:tcW w:w="1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April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60" w:type="dxa"/>
            <w:vAlign w:val="bottom"/>
          </w:tcPr>
          <w:p>
            <w:pPr>
              <w:spacing w:after="0"/>
              <w:rPr>
                <w:sz w:val="20"/>
                <w:szCs w:val="20"/>
                <w:color w:val="auto"/>
              </w:rPr>
            </w:pPr>
            <w:r>
              <w:rPr>
                <w:rFonts w:ascii="Times New Roman" w:cs="Times New Roman" w:eastAsia="Times New Roman" w:hAnsi="Times New Roman"/>
                <w:sz w:val="17"/>
                <w:szCs w:val="17"/>
                <w:color w:val="auto"/>
              </w:rPr>
              <w:t>Additions (a)</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482,619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Amortisation</w:t>
            </w: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(99,580)</w:t>
            </w:r>
          </w:p>
        </w:tc>
        <w:tc>
          <w:tcPr>
            <w:tcW w:w="0" w:type="dxa"/>
            <w:vAlign w:val="bottom"/>
          </w:tcPr>
          <w:p>
            <w:pPr>
              <w:spacing w:after="0"/>
              <w:rPr>
                <w:sz w:val="1"/>
                <w:szCs w:val="1"/>
                <w:color w:val="auto"/>
              </w:rPr>
            </w:pPr>
          </w:p>
        </w:tc>
      </w:tr>
      <w:tr>
        <w:trPr>
          <w:trHeight w:val="247"/>
        </w:trPr>
        <w:tc>
          <w:tcPr>
            <w:tcW w:w="9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Modification adjustment (b)</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(25,837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0"/>
        </w:trPr>
        <w:tc>
          <w:tcPr>
            <w:tcW w:w="946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7"/>
                <w:szCs w:val="17"/>
                <w:b w:val="1"/>
                <w:bCs w:val="1"/>
                <w:color w:val="auto"/>
              </w:rPr>
              <w:t>At 31 March 2024</w:t>
            </w:r>
          </w:p>
        </w:tc>
        <w:tc>
          <w:tcPr>
            <w:tcW w:w="1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357,202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Amortisation</w:t>
            </w: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80"/>
        </w:trPr>
        <w:tc>
          <w:tcPr>
            <w:tcW w:w="9460" w:type="dxa"/>
            <w:vAlign w:val="bottom"/>
            <w:tcBorders>
              <w:bottom w:val="single" w:sz="8" w:color="CCEEFF"/>
            </w:tcBorders>
            <w:vMerge w:val="continue"/>
          </w:tcPr>
          <w:p>
            <w:pPr>
              <w:spacing w:after="0"/>
              <w:rPr>
                <w:sz w:val="15"/>
                <w:szCs w:val="15"/>
                <w:color w:val="auto"/>
              </w:rPr>
            </w:pPr>
          </w:p>
        </w:tc>
        <w:tc>
          <w:tcPr>
            <w:tcW w:w="1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(125,575</w:t>
            </w:r>
          </w:p>
        </w:tc>
        <w:tc>
          <w:tcPr>
            <w:tcW w:w="100" w:type="dxa"/>
            <w:vAlign w:val="bottom"/>
            <w:tcBorders>
              <w:bottom w:val="single" w:sz="8" w:color="CCEE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9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Modification adjustment (b)</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At 31 March 2025</w:t>
            </w:r>
          </w:p>
        </w:tc>
        <w:tc>
          <w:tcPr>
            <w:tcW w:w="1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9460" w:type="dxa"/>
            <w:vAlign w:val="bottom"/>
            <w:vMerge w:val="continue"/>
          </w:tcPr>
          <w:p>
            <w:pPr>
              <w:spacing w:after="0"/>
              <w:rPr>
                <w:sz w:val="15"/>
                <w:szCs w:val="15"/>
                <w:color w:val="auto"/>
              </w:rPr>
            </w:pPr>
          </w:p>
        </w:tc>
        <w:tc>
          <w:tcPr>
            <w:tcW w:w="1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225,672</w:t>
            </w:r>
          </w:p>
        </w:tc>
        <w:tc>
          <w:tcPr>
            <w:tcW w:w="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hanging="599"/>
        <w:spacing w:after="0"/>
        <w:tabs>
          <w:tab w:leader="none" w:pos="6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June 2023, the Group entered into a lease agreement in Monaco which expires in January 2027. The lease has an annual break clause.</w:t>
      </w:r>
    </w:p>
    <w:p>
      <w:pPr>
        <w:spacing w:after="0" w:line="22"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were rent reviews in February 2024 and 2025 and modification adjustments were made to account for the change in monthly rent.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color w:val="auto"/>
        </w:rPr>
        <w:t>12 PLANT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7141210" cy="135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At 1 April 2023, 31 March 2024 and 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7141210" cy="144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Accumulated depreciation:</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At 1 April 2023</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Charge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35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color w:val="auto"/>
        </w:rPr>
        <w:t>At 31 March 2024 and 31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7141210" cy="144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carrying amount:</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At 31 March 2024 and 31 March 2025</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Computer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equipment</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USD</w:t>
      </w:r>
    </w:p>
    <w:p>
      <w:pPr>
        <w:spacing w:after="0" w:line="24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5,038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14605</wp:posOffset>
            </wp:positionV>
            <wp:extent cx="13608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22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(1,342)</w:t>
      </w:r>
    </w:p>
    <w:p>
      <w:pPr>
        <w:spacing w:after="0" w:line="22"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(3,696)</w:t>
      </w:r>
    </w:p>
    <w:p>
      <w:pPr>
        <w:spacing w:after="0" w:line="1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(5,038)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20320</wp:posOffset>
            </wp:positionV>
            <wp:extent cx="13608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60805"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-123190</wp:posOffset>
            </wp:positionV>
            <wp:extent cx="13608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26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14605</wp:posOffset>
            </wp:positionV>
            <wp:extent cx="13608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60805" cy="8255"/>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30480</wp:posOffset>
            </wp:positionV>
            <wp:extent cx="13608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00" w:space="720"/>
            <w:col w:w="1520"/>
          </w:cols>
          <w:pgMar w:left="320" w:top="649" w:right="339" w:bottom="1440" w:gutter="0" w:footer="0" w:header="0"/>
        </w:sectPr>
      </w:pPr>
    </w:p>
    <w:p>
      <w:pPr>
        <w:spacing w:after="0" w:line="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Depreciation is recognized so as to write off the cost of assets less their residual values over their estimated useful lives, using the straight-line method. The estimated useful lives, residual values and depreciation method are reviewed at the end of each reporting period, with the effect of any changes in estimate accounted for on a prospective basis. Estimated useful lives of plant and equipment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Office equipment</w:t>
            </w: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gridSpan w:val="4"/>
          </w:tcPr>
          <w:p>
            <w:pPr>
              <w:jc w:val="right"/>
              <w:ind w:right="1760"/>
              <w:spacing w:after="0"/>
              <w:rPr>
                <w:sz w:val="20"/>
                <w:szCs w:val="20"/>
                <w:color w:val="auto"/>
              </w:rPr>
            </w:pPr>
            <w:r>
              <w:rPr>
                <w:rFonts w:ascii="Times New Roman" w:cs="Times New Roman" w:eastAsia="Times New Roman" w:hAnsi="Times New Roman"/>
                <w:sz w:val="17"/>
                <w:szCs w:val="17"/>
                <w:color w:val="auto"/>
              </w:rPr>
              <w:t>5 years</w:t>
            </w:r>
          </w:p>
        </w:tc>
      </w:tr>
      <w:tr>
        <w:trPr>
          <w:trHeight w:val="403"/>
        </w:trPr>
        <w:tc>
          <w:tcPr>
            <w:tcW w:w="8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13 TRADE RECEIVABLES, CONTRACT ASSETS, OTHER RECEIVABLES, DEPOSITS AND PREPAYMENT</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3"/>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13.1 Trade receivables, net</w:t>
            </w: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0"/>
        </w:trPr>
        <w:tc>
          <w:tcPr>
            <w:tcW w:w="6980" w:type="dxa"/>
            <w:vAlign w:val="bottom"/>
          </w:tcPr>
          <w:p>
            <w:pPr>
              <w:spacing w:after="0"/>
              <w:rPr>
                <w:sz w:val="24"/>
                <w:szCs w:val="24"/>
                <w:color w:val="auto"/>
              </w:rPr>
            </w:pP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At</w:t>
            </w:r>
          </w:p>
        </w:tc>
        <w:tc>
          <w:tcPr>
            <w:tcW w:w="280" w:type="dxa"/>
            <w:vAlign w:val="bottom"/>
          </w:tcPr>
          <w:p>
            <w:pPr>
              <w:spacing w:after="0"/>
              <w:rPr>
                <w:sz w:val="24"/>
                <w:szCs w:val="24"/>
                <w:color w:val="auto"/>
              </w:rPr>
            </w:pP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At</w:t>
            </w:r>
          </w:p>
        </w:tc>
      </w:tr>
      <w:tr>
        <w:trPr>
          <w:trHeight w:val="218"/>
        </w:trPr>
        <w:tc>
          <w:tcPr>
            <w:tcW w:w="6980" w:type="dxa"/>
            <w:vAlign w:val="bottom"/>
          </w:tcPr>
          <w:p>
            <w:pPr>
              <w:spacing w:after="0"/>
              <w:rPr>
                <w:sz w:val="18"/>
                <w:szCs w:val="18"/>
                <w:color w:val="auto"/>
              </w:rPr>
            </w:pPr>
          </w:p>
        </w:tc>
        <w:tc>
          <w:tcPr>
            <w:tcW w:w="1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 March 2025</w:t>
            </w:r>
          </w:p>
        </w:tc>
        <w:tc>
          <w:tcPr>
            <w:tcW w:w="280" w:type="dxa"/>
            <w:vAlign w:val="bottom"/>
          </w:tcPr>
          <w:p>
            <w:pPr>
              <w:spacing w:after="0"/>
              <w:rPr>
                <w:sz w:val="18"/>
                <w:szCs w:val="18"/>
                <w:color w:val="auto"/>
              </w:rPr>
            </w:pP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r>
      <w:tr>
        <w:trPr>
          <w:trHeight w:val="195"/>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receivables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1,394,545</w:t>
            </w:r>
          </w:p>
        </w:tc>
        <w:tc>
          <w:tcPr>
            <w:tcW w:w="60" w:type="dxa"/>
            <w:vAlign w:val="bottom"/>
            <w:shd w:val="clear" w:color="auto" w:fill="CCEEFF"/>
          </w:tcPr>
          <w:p>
            <w:pPr>
              <w:spacing w:after="0"/>
              <w:rPr>
                <w:sz w:val="17"/>
                <w:szCs w:val="17"/>
                <w:color w:val="auto"/>
              </w:rPr>
            </w:pPr>
          </w:p>
        </w:tc>
        <w:tc>
          <w:tcPr>
            <w:tcW w:w="2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186,966</w:t>
            </w:r>
          </w:p>
        </w:tc>
        <w:tc>
          <w:tcPr>
            <w:tcW w:w="80" w:type="dxa"/>
            <w:vAlign w:val="bottom"/>
            <w:shd w:val="clear" w:color="auto" w:fill="CCEEFF"/>
          </w:tcPr>
          <w:p>
            <w:pPr>
              <w:spacing w:after="0"/>
              <w:rPr>
                <w:sz w:val="17"/>
                <w:szCs w:val="17"/>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Less: loss allowance</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228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(4,632)</w:t>
            </w:r>
          </w:p>
        </w:tc>
      </w:tr>
      <w:tr>
        <w:trPr>
          <w:trHeight w:val="20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1,394,545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182,334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Trade receivables are non-interest bearing and generally have credit terms of 30 days.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aging analysis of the trade receivables at the end of the reporting period, based on the invoice date and net of loss provision,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8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w:t>
            </w: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At</w:t>
            </w:r>
          </w:p>
        </w:tc>
      </w:tr>
      <w:tr>
        <w:trPr>
          <w:trHeight w:val="218"/>
        </w:trPr>
        <w:tc>
          <w:tcPr>
            <w:tcW w:w="698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r>
      <w:tr>
        <w:trPr>
          <w:trHeight w:val="195"/>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than 1 month</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1,219,953</w:t>
            </w:r>
          </w:p>
        </w:tc>
        <w:tc>
          <w:tcPr>
            <w:tcW w:w="3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85,740</w:t>
            </w:r>
          </w:p>
        </w:tc>
        <w:tc>
          <w:tcPr>
            <w:tcW w:w="80" w:type="dxa"/>
            <w:vAlign w:val="bottom"/>
            <w:shd w:val="clear" w:color="auto" w:fill="CCEEFF"/>
          </w:tcPr>
          <w:p>
            <w:pPr>
              <w:spacing w:after="0"/>
              <w:rPr>
                <w:sz w:val="17"/>
                <w:szCs w:val="17"/>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Between 1 month and 3 months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158,350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59,905</w:t>
            </w:r>
          </w:p>
        </w:tc>
        <w:tc>
          <w:tcPr>
            <w:tcW w:w="80" w:type="dxa"/>
            <w:vAlign w:val="bottom"/>
          </w:tcPr>
          <w:p>
            <w:pPr>
              <w:spacing w:after="0"/>
              <w:rPr>
                <w:sz w:val="17"/>
                <w:szCs w:val="17"/>
                <w:color w:val="auto"/>
              </w:rPr>
            </w:pPr>
          </w:p>
        </w:tc>
      </w:tr>
      <w:tr>
        <w:trPr>
          <w:trHeight w:val="21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3 months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16,242</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36,689</w:t>
            </w:r>
          </w:p>
        </w:tc>
        <w:tc>
          <w:tcPr>
            <w:tcW w:w="80" w:type="dxa"/>
            <w:vAlign w:val="bottom"/>
            <w:shd w:val="clear" w:color="auto" w:fill="CCEEFF"/>
          </w:tcPr>
          <w:p>
            <w:pPr>
              <w:spacing w:after="0"/>
              <w:rPr>
                <w:sz w:val="18"/>
                <w:szCs w:val="18"/>
                <w:color w:val="auto"/>
              </w:rPr>
            </w:pPr>
          </w:p>
        </w:tc>
      </w:tr>
      <w:tr>
        <w:trPr>
          <w:trHeight w:val="207"/>
        </w:trPr>
        <w:tc>
          <w:tcPr>
            <w:tcW w:w="698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1,394,545</w:t>
            </w:r>
          </w:p>
        </w:tc>
        <w:tc>
          <w:tcPr>
            <w:tcW w:w="340" w:type="dxa"/>
            <w:vAlign w:val="bottom"/>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182,334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movements in the loss allowance for impairment of trade receivables are as follows:</w:t>
      </w:r>
    </w:p>
    <w:p>
      <w:pPr>
        <w:sectPr>
          <w:pgSz w:w="11900" w:h="16838" w:orient="portrait"/>
          <w:cols w:equalWidth="0" w:num="1">
            <w:col w:w="11240"/>
          </w:cols>
          <w:pgMar w:left="320" w:top="64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the beginning of the year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Provision for the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Written off for the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Reversal for the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end of the year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w:t>
            </w: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At</w:t>
            </w:r>
          </w:p>
        </w:tc>
      </w:tr>
      <w:tr>
        <w:trPr>
          <w:trHeight w:val="218"/>
        </w:trPr>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 March 2024</w:t>
            </w:r>
          </w:p>
        </w:tc>
      </w:tr>
      <w:tr>
        <w:trPr>
          <w:trHeight w:val="178"/>
        </w:trPr>
        <w:tc>
          <w:tcPr>
            <w:tcW w:w="19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5"/>
                <w:szCs w:val="15"/>
                <w:color w:val="auto"/>
              </w:rPr>
            </w:pPr>
          </w:p>
        </w:tc>
        <w:tc>
          <w:tcPr>
            <w:tcW w:w="190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USD</w:t>
            </w:r>
          </w:p>
        </w:tc>
        <w:tc>
          <w:tcPr>
            <w:tcW w:w="60" w:type="dxa"/>
            <w:vAlign w:val="bottom"/>
          </w:tcPr>
          <w:p>
            <w:pPr>
              <w:spacing w:after="0"/>
              <w:rPr>
                <w:sz w:val="15"/>
                <w:szCs w:val="15"/>
                <w:color w:val="auto"/>
              </w:rPr>
            </w:pPr>
          </w:p>
        </w:tc>
      </w:tr>
      <w:tr>
        <w:trPr>
          <w:trHeight w:val="202"/>
        </w:trPr>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4,632</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5,032</w:t>
            </w:r>
          </w:p>
        </w:tc>
        <w:tc>
          <w:tcPr>
            <w:tcW w:w="60" w:type="dxa"/>
            <w:vAlign w:val="bottom"/>
          </w:tcPr>
          <w:p>
            <w:pPr>
              <w:spacing w:after="0"/>
              <w:rPr>
                <w:sz w:val="17"/>
                <w:szCs w:val="17"/>
                <w:color w:val="auto"/>
              </w:rPr>
            </w:pPr>
          </w:p>
        </w:tc>
      </w:tr>
      <w:tr>
        <w:trPr>
          <w:trHeight w:val="202"/>
        </w:trPr>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w:t>
            </w:r>
          </w:p>
        </w:tc>
        <w:tc>
          <w:tcPr>
            <w:tcW w:w="60" w:type="dxa"/>
            <w:vAlign w:val="bottom"/>
          </w:tcPr>
          <w:p>
            <w:pPr>
              <w:spacing w:after="0"/>
              <w:rPr>
                <w:sz w:val="17"/>
                <w:szCs w:val="17"/>
                <w:color w:val="auto"/>
              </w:rPr>
            </w:pPr>
          </w:p>
        </w:tc>
      </w:tr>
      <w:tr>
        <w:trPr>
          <w:trHeight w:val="202"/>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(1,788)</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7"/>
                <w:szCs w:val="17"/>
                <w:color w:val="auto"/>
              </w:rPr>
            </w:pPr>
          </w:p>
        </w:tc>
      </w:tr>
      <w:tr>
        <w:trPr>
          <w:trHeight w:val="231"/>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(2,844)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(2,600)</w:t>
            </w:r>
          </w:p>
        </w:tc>
      </w:tr>
      <w:tr>
        <w:trPr>
          <w:trHeight w:val="207"/>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4,632</w:t>
            </w:r>
          </w:p>
        </w:tc>
        <w:tc>
          <w:tcPr>
            <w:tcW w:w="60" w:type="dxa"/>
            <w:vAlign w:val="bottom"/>
          </w:tcPr>
          <w:p>
            <w:pPr>
              <w:spacing w:after="0"/>
              <w:rPr>
                <w:sz w:val="18"/>
                <w:szCs w:val="18"/>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-687705</wp:posOffset>
            </wp:positionV>
            <wp:extent cx="7141210" cy="1282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-431800</wp:posOffset>
            </wp:positionV>
            <wp:extent cx="7141210" cy="1282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-167640</wp:posOffset>
            </wp:positionV>
            <wp:extent cx="7141210" cy="152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6260" w:space="720"/>
            <w:col w:w="4260"/>
          </w:cols>
          <w:pgMar w:left="320" w:top="649" w:right="339" w:bottom="1440" w:gutter="0" w:footer="0" w:header="0"/>
          <w:type w:val="continuous"/>
        </w:sectPr>
      </w:pPr>
    </w:p>
    <w:p>
      <w:pPr>
        <w:spacing w:after="0" w:line="274" w:lineRule="auto"/>
        <w:rPr>
          <w:sz w:val="20"/>
          <w:szCs w:val="20"/>
          <w:color w:val="auto"/>
        </w:rPr>
      </w:pPr>
      <w:r>
        <w:rPr>
          <w:rFonts w:ascii="Times New Roman" w:cs="Times New Roman" w:eastAsia="Times New Roman" w:hAnsi="Times New Roman"/>
          <w:sz w:val="17"/>
          <w:szCs w:val="17"/>
          <w:color w:val="auto"/>
        </w:rPr>
        <w:t>During the year ended 31 March 2025, trade receivables of $12,064 (2024: $21,522) were written off due to uncollectible as assessed by management. The carrying amounts of trade receivables are approximate their fair values.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color w:val="auto"/>
        </w:rPr>
        <w:t>13.2 Contract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141210" cy="152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 assts relates to client contracts that have been complete, revenue recognized but yet to be invoiced.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13.3 Other receivables, deposits and prepayment</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7"/>
          <w:szCs w:val="17"/>
          <w:color w:val="auto"/>
        </w:rPr>
        <w:t>At</w:t>
      </w:r>
    </w:p>
    <w:p>
      <w:pPr>
        <w:spacing w:after="0" w:line="22"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6"/>
          <w:szCs w:val="16"/>
          <w:color w:val="auto"/>
        </w:rPr>
        <w:t>31 March 2025</w:t>
      </w:r>
    </w:p>
    <w:p>
      <w:pPr>
        <w:spacing w:after="0" w:line="30"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7"/>
          <w:szCs w:val="17"/>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-123190</wp:posOffset>
            </wp:positionV>
            <wp:extent cx="12166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8" w:lineRule="exact"/>
        <w:rPr>
          <w:sz w:val="20"/>
          <w:szCs w:val="20"/>
          <w:color w:val="auto"/>
        </w:rPr>
      </w:pPr>
    </w:p>
    <w:p>
      <w:pPr>
        <w:jc w:val="right"/>
        <w:ind w:right="500"/>
        <w:spacing w:after="0"/>
        <w:rPr>
          <w:sz w:val="20"/>
          <w:szCs w:val="20"/>
          <w:color w:val="auto"/>
        </w:rPr>
      </w:pPr>
      <w:r>
        <w:rPr>
          <w:rFonts w:ascii="Times New Roman" w:cs="Times New Roman" w:eastAsia="Times New Roman" w:hAnsi="Times New Roman"/>
          <w:sz w:val="17"/>
          <w:szCs w:val="17"/>
          <w:color w:val="auto"/>
        </w:rPr>
        <w:t>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30480</wp:posOffset>
            </wp:positionV>
            <wp:extent cx="12166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166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At</w:t>
      </w:r>
    </w:p>
    <w:p>
      <w:pPr>
        <w:spacing w:after="0" w:line="2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31 March 2024</w:t>
      </w:r>
    </w:p>
    <w:p>
      <w:pPr>
        <w:spacing w:after="0" w:line="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-116205</wp:posOffset>
            </wp:positionV>
            <wp:extent cx="12090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69,354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37465</wp:posOffset>
            </wp:positionV>
            <wp:extent cx="12090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052" w:lineRule="exact"/>
        <w:rPr>
          <w:sz w:val="20"/>
          <w:szCs w:val="20"/>
          <w:color w:val="auto"/>
        </w:rPr>
      </w:pPr>
    </w:p>
    <w:p>
      <w:pPr>
        <w:sectPr>
          <w:pgSz w:w="11900" w:h="16838" w:orient="portrait"/>
          <w:cols w:equalWidth="0" w:num="3">
            <w:col w:w="7260" w:space="620"/>
            <w:col w:w="1520" w:space="720"/>
            <w:col w:w="1120"/>
          </w:cols>
          <w:pgMar w:left="320" w:top="649" w:right="339" w:bottom="1440"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4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Notes</w:t>
            </w:r>
          </w:p>
        </w:tc>
      </w:tr>
      <w:tr>
        <w:trPr>
          <w:trHeight w:val="380"/>
        </w:trPr>
        <w:tc>
          <w:tcPr>
            <w:tcW w:w="5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600" w:type="dxa"/>
            <w:vAlign w:val="bottom"/>
          </w:tcPr>
          <w:p>
            <w:pPr>
              <w:spacing w:after="0"/>
              <w:rPr>
                <w:sz w:val="24"/>
                <w:szCs w:val="24"/>
                <w:color w:val="auto"/>
              </w:rPr>
            </w:pPr>
          </w:p>
        </w:tc>
      </w:tr>
      <w:tr>
        <w:trPr>
          <w:trHeight w:val="202"/>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Deposits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w:t>
            </w:r>
          </w:p>
        </w:tc>
      </w:tr>
      <w:tr>
        <w:trPr>
          <w:trHeight w:val="202"/>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Prepayments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w:t>
            </w:r>
          </w:p>
        </w:tc>
      </w:tr>
      <w:tr>
        <w:trPr>
          <w:trHeight w:val="218"/>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receivables</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w:t>
            </w:r>
          </w:p>
        </w:tc>
      </w:tr>
      <w:tr>
        <w:trPr>
          <w:trHeight w:val="463"/>
        </w:trPr>
        <w:tc>
          <w:tcPr>
            <w:tcW w:w="5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1600" w:type="dxa"/>
            <w:vAlign w:val="bottom"/>
          </w:tcPr>
          <w:p>
            <w:pPr>
              <w:spacing w:after="0"/>
              <w:rPr>
                <w:sz w:val="24"/>
                <w:szCs w:val="24"/>
                <w:color w:val="auto"/>
              </w:rPr>
            </w:pPr>
          </w:p>
        </w:tc>
      </w:tr>
      <w:tr>
        <w:trPr>
          <w:trHeight w:val="218"/>
        </w:trPr>
        <w:tc>
          <w:tcPr>
            <w:tcW w:w="55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Deposit</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-943610</wp:posOffset>
            </wp:positionV>
            <wp:extent cx="7141210" cy="1282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-687705</wp:posOffset>
            </wp:positionV>
            <wp:extent cx="7141210"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-423545</wp:posOffset>
            </wp:positionV>
            <wp:extent cx="7141210" cy="152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1210" cy="1524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-127000</wp:posOffset>
            </wp:positionV>
            <wp:extent cx="7141210" cy="152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At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At</w:t>
            </w:r>
          </w:p>
        </w:tc>
      </w:tr>
      <w:tr>
        <w:trPr>
          <w:trHeight w:val="218"/>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31 March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March 2024</w:t>
            </w:r>
          </w:p>
        </w:tc>
      </w:tr>
      <w:tr>
        <w:trPr>
          <w:trHeight w:val="211"/>
        </w:trPr>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2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r>
      <w:tr>
        <w:trPr>
          <w:trHeight w:val="371"/>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63,914</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35,261</w:t>
            </w:r>
          </w:p>
        </w:tc>
      </w:tr>
      <w:tr>
        <w:trPr>
          <w:trHeight w:val="214"/>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351,791</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34,197</w:t>
            </w:r>
          </w:p>
        </w:tc>
      </w:tr>
      <w:tr>
        <w:trPr>
          <w:trHeight w:val="218"/>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650,486</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184,018</w:t>
            </w:r>
          </w:p>
        </w:tc>
      </w:tr>
      <w:tr>
        <w:trPr>
          <w:trHeight w:val="207"/>
        </w:trPr>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1,066,191</w:t>
            </w:r>
          </w:p>
        </w:tc>
        <w:tc>
          <w:tcPr>
            <w:tcW w:w="32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253,476</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406"/>
        </w:trPr>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45,463</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35,431</w:t>
            </w:r>
          </w:p>
        </w:tc>
      </w:tr>
      <w:tr>
        <w:trPr>
          <w:trHeight w:val="20"/>
        </w:trPr>
        <w:tc>
          <w:tcPr>
            <w:tcW w:w="1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7140" w:space="220"/>
            <w:col w:w="3880"/>
          </w:cols>
          <w:pgMar w:left="320" w:top="649" w:right="339" w:bottom="1440" w:gutter="0" w:footer="0" w:header="0"/>
          <w:type w:val="continuous"/>
        </w:sectPr>
      </w:pPr>
    </w:p>
    <w:p>
      <w:pPr>
        <w:ind w:left="600" w:hanging="599"/>
        <w:spacing w:after="0"/>
        <w:tabs>
          <w:tab w:leader="none" w:pos="6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deposits represent amounts paid to an employment agency in Germany and deposit for investor relation services.</w:t>
      </w:r>
    </w:p>
    <w:p>
      <w:pPr>
        <w:spacing w:after="0" w:line="207" w:lineRule="exact"/>
        <w:rPr>
          <w:rFonts w:ascii="Times New Roman" w:cs="Times New Roman" w:eastAsia="Times New Roman" w:hAnsi="Times New Roman"/>
          <w:sz w:val="17"/>
          <w:szCs w:val="17"/>
          <w:color w:val="auto"/>
        </w:rPr>
      </w:pPr>
    </w:p>
    <w:p>
      <w:pPr>
        <w:ind w:left="60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Non-current deposit of $45,463 (2024: $35,431) represents a deposit for a long-term lease of office space in Monaco. Deposit of $34,579 was originally paid by a related party and is shown as an amount due to related party.</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 in prepayments as of 31 March 2025 primarily relates to the advance payment of the Directors and Officers (D&amp;O) liability insurance premium, covering the period from January 2025 to December 2026. This insurance was procured subsequent to the successful completion of the IPO.</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56" w:lineRule="auto"/>
        <w:tabs>
          <w:tab w:leader="none" w:pos="60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31 March 2024, other receivables mainly comprised $142,633 of deferred transaction costs in connection with the IPO of the Company (the “Deferred IPO Expenses”) and an outstanding balance $41,385 with payment channel, Stripe. The Deferred IPO Expenses with an aggregate amount of $1,432,343 were deducted against share premium upon the successful closing of the IPO. Other Receivables also includes fund raising costs of $400,000 and $250,000 paid under the Nomas MOU and the Al Noor MOU, respectively.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222"/>
        </w:trPr>
        <w:tc>
          <w:tcPr>
            <w:tcW w:w="6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14 TRADE PAYABLES, OTHER PAYABLES AND ACCRUALS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0"/>
        </w:trPr>
        <w:tc>
          <w:tcPr>
            <w:tcW w:w="6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At</w:t>
            </w:r>
          </w:p>
        </w:tc>
      </w:tr>
      <w:tr>
        <w:trPr>
          <w:trHeight w:val="218"/>
        </w:trPr>
        <w:tc>
          <w:tcPr>
            <w:tcW w:w="608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6"/>
              </w:rPr>
              <w:t>Note</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r>
      <w:tr>
        <w:trPr>
          <w:trHeight w:val="195"/>
        </w:trPr>
        <w:tc>
          <w:tcPr>
            <w:tcW w:w="60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r>
      <w:tr>
        <w:trPr>
          <w:trHeight w:val="202"/>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200,660</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788,798</w:t>
            </w:r>
          </w:p>
        </w:tc>
        <w:tc>
          <w:tcPr>
            <w:tcW w:w="100" w:type="dxa"/>
            <w:vAlign w:val="bottom"/>
            <w:shd w:val="clear" w:color="auto" w:fill="CCEEFF"/>
          </w:tcPr>
          <w:p>
            <w:pPr>
              <w:spacing w:after="0"/>
              <w:rPr>
                <w:sz w:val="17"/>
                <w:szCs w:val="17"/>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Other payables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11,852</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11,057</w:t>
            </w:r>
          </w:p>
        </w:tc>
        <w:tc>
          <w:tcPr>
            <w:tcW w:w="100" w:type="dxa"/>
            <w:vAlign w:val="bottom"/>
          </w:tcPr>
          <w:p>
            <w:pPr>
              <w:spacing w:after="0"/>
              <w:rPr>
                <w:sz w:val="17"/>
                <w:szCs w:val="17"/>
                <w:color w:val="auto"/>
              </w:rPr>
            </w:pPr>
          </w:p>
        </w:tc>
      </w:tr>
      <w:tr>
        <w:trPr>
          <w:trHeight w:val="21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Accruals</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5"/>
              </w:rPr>
              <w:t>(a)</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695,022</w:t>
            </w:r>
          </w:p>
        </w:tc>
        <w:tc>
          <w:tcPr>
            <w:tcW w:w="34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585,813</w:t>
            </w:r>
          </w:p>
        </w:tc>
        <w:tc>
          <w:tcPr>
            <w:tcW w:w="100" w:type="dxa"/>
            <w:vAlign w:val="bottom"/>
            <w:shd w:val="clear" w:color="auto" w:fill="CCEEFF"/>
          </w:tcPr>
          <w:p>
            <w:pPr>
              <w:spacing w:after="0"/>
              <w:rPr>
                <w:sz w:val="18"/>
                <w:szCs w:val="18"/>
                <w:color w:val="auto"/>
              </w:rPr>
            </w:pPr>
          </w:p>
        </w:tc>
      </w:tr>
      <w:tr>
        <w:trPr>
          <w:trHeight w:val="207"/>
        </w:trPr>
        <w:tc>
          <w:tcPr>
            <w:tcW w:w="6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907,534</w:t>
            </w:r>
          </w:p>
        </w:tc>
        <w:tc>
          <w:tcPr>
            <w:tcW w:w="340" w:type="dxa"/>
            <w:vAlign w:val="bottom"/>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1,385,668</w:t>
            </w:r>
          </w:p>
        </w:tc>
        <w:tc>
          <w:tcPr>
            <w:tcW w:w="100" w:type="dxa"/>
            <w:vAlign w:val="bottom"/>
          </w:tcPr>
          <w:p>
            <w:pPr>
              <w:spacing w:after="0"/>
              <w:rPr>
                <w:sz w:val="17"/>
                <w:szCs w:val="17"/>
                <w:color w:val="auto"/>
              </w:rPr>
            </w:pPr>
          </w:p>
        </w:tc>
      </w:tr>
      <w:tr>
        <w:trPr>
          <w:trHeight w:val="20"/>
        </w:trPr>
        <w:tc>
          <w:tcPr>
            <w:tcW w:w="6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hanging="599"/>
        <w:spacing w:after="0" w:line="274" w:lineRule="auto"/>
        <w:tabs>
          <w:tab w:leader="none" w:pos="6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Accruals include audit fees, professional fees, holiday pay accruals for employees, and others associated with the on-going running of the Group. Increase from 31 March 2024 is mainly due to additional accrued audit fees.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15 DEFERRED REVENUES</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87"/>
        </w:trPr>
        <w:tc>
          <w:tcPr>
            <w:tcW w:w="6980" w:type="dxa"/>
            <w:vAlign w:val="bottom"/>
          </w:tcPr>
          <w:p>
            <w:pPr>
              <w:spacing w:after="0"/>
              <w:rPr>
                <w:sz w:val="24"/>
                <w:szCs w:val="24"/>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w:t>
            </w: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At</w:t>
            </w:r>
          </w:p>
        </w:tc>
      </w:tr>
      <w:tr>
        <w:trPr>
          <w:trHeight w:val="218"/>
        </w:trPr>
        <w:tc>
          <w:tcPr>
            <w:tcW w:w="698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r>
      <w:tr>
        <w:trPr>
          <w:trHeight w:val="195"/>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Advisory service income</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145,760</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52,950</w:t>
            </w:r>
          </w:p>
        </w:tc>
        <w:tc>
          <w:tcPr>
            <w:tcW w:w="80" w:type="dxa"/>
            <w:vAlign w:val="bottom"/>
            <w:shd w:val="clear" w:color="auto" w:fill="CCEEFF"/>
          </w:tcPr>
          <w:p>
            <w:pPr>
              <w:spacing w:after="0"/>
              <w:rPr>
                <w:sz w:val="17"/>
                <w:szCs w:val="17"/>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Customization income</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42,600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122,200</w:t>
            </w:r>
          </w:p>
        </w:tc>
        <w:tc>
          <w:tcPr>
            <w:tcW w:w="80" w:type="dxa"/>
            <w:vAlign w:val="bottom"/>
          </w:tcPr>
          <w:p>
            <w:pPr>
              <w:spacing w:after="0"/>
              <w:rPr>
                <w:sz w:val="17"/>
                <w:szCs w:val="17"/>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Subscription fee income</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317,064</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147,676</w:t>
            </w:r>
          </w:p>
        </w:tc>
        <w:tc>
          <w:tcPr>
            <w:tcW w:w="80" w:type="dxa"/>
            <w:vAlign w:val="bottom"/>
            <w:shd w:val="clear" w:color="auto" w:fill="CCEEFF"/>
          </w:tcPr>
          <w:p>
            <w:pPr>
              <w:spacing w:after="0"/>
              <w:rPr>
                <w:sz w:val="17"/>
                <w:szCs w:val="17"/>
                <w:color w:val="auto"/>
              </w:rPr>
            </w:pPr>
          </w:p>
        </w:tc>
      </w:tr>
      <w:tr>
        <w:trPr>
          <w:trHeight w:val="194"/>
        </w:trPr>
        <w:tc>
          <w:tcPr>
            <w:tcW w:w="6980" w:type="dxa"/>
            <w:vAlign w:val="bottom"/>
          </w:tcPr>
          <w:p>
            <w:pPr>
              <w:spacing w:after="0"/>
              <w:rPr>
                <w:sz w:val="16"/>
                <w:szCs w:val="16"/>
                <w:color w:val="auto"/>
              </w:rPr>
            </w:pPr>
          </w:p>
        </w:tc>
        <w:tc>
          <w:tcPr>
            <w:tcW w:w="19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505,424</w:t>
            </w:r>
          </w:p>
        </w:tc>
        <w:tc>
          <w:tcPr>
            <w:tcW w:w="340" w:type="dxa"/>
            <w:vAlign w:val="bottom"/>
          </w:tcPr>
          <w:p>
            <w:pPr>
              <w:spacing w:after="0"/>
              <w:rPr>
                <w:sz w:val="16"/>
                <w:szCs w:val="16"/>
                <w:color w:val="auto"/>
              </w:rPr>
            </w:pPr>
          </w:p>
        </w:tc>
        <w:tc>
          <w:tcPr>
            <w:tcW w:w="19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322,826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1 April 2023, deferred revenues amounted to $335,666.</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Deferred revenues relate to revenues that have been invoiced to the client but not yet earned. The deferred revenues are expected to be recognized as revenue in the next 12 months.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color w:val="auto"/>
        </w:rPr>
        <w:t>16 RELATED PARTY TRANSACTIONS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16.1 Transactions with related parties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addition to those related party transactions and balances disclosed elsewhere in the consolidated financial statements, the Group had the following transactions with its related parties during the reporting period: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Year ended</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Year ended</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Year ended</w:t>
            </w:r>
          </w:p>
        </w:tc>
      </w:tr>
      <w:tr>
        <w:trPr>
          <w:trHeight w:val="218"/>
        </w:trPr>
        <w:tc>
          <w:tcPr>
            <w:tcW w:w="47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Notes</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31 March 2024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 March 2023</w:t>
            </w:r>
          </w:p>
        </w:tc>
      </w:tr>
      <w:tr>
        <w:trPr>
          <w:trHeight w:val="195"/>
        </w:trPr>
        <w:tc>
          <w:tcPr>
            <w:tcW w:w="47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2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Subscription fee income</w:t>
            </w: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5"/>
              </w:rPr>
              <w:t>(a)</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42,680</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71,333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387,751</w:t>
            </w:r>
          </w:p>
        </w:tc>
        <w:tc>
          <w:tcPr>
            <w:tcW w:w="100" w:type="dxa"/>
            <w:vAlign w:val="bottom"/>
            <w:shd w:val="clear" w:color="auto" w:fill="CCEEFF"/>
          </w:tcPr>
          <w:p>
            <w:pPr>
              <w:spacing w:after="0"/>
              <w:rPr>
                <w:sz w:val="17"/>
                <w:szCs w:val="17"/>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Consultancy fee</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(b)</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260,417</w:t>
            </w:r>
          </w:p>
        </w:tc>
        <w:tc>
          <w:tcPr>
            <w:tcW w:w="340" w:type="dxa"/>
            <w:vAlign w:val="bottom"/>
          </w:tcPr>
          <w:p>
            <w:pPr>
              <w:spacing w:after="0"/>
              <w:rPr>
                <w:sz w:val="17"/>
                <w:szCs w:val="17"/>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250,000</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17"/>
                <w:szCs w:val="17"/>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Write-off of due from related company</w:t>
            </w:r>
          </w:p>
        </w:tc>
        <w:tc>
          <w:tcPr>
            <w:tcW w:w="13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5"/>
              </w:rPr>
              <w:t>(c)</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81,347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185"/>
        </w:trPr>
        <w:tc>
          <w:tcPr>
            <w:tcW w:w="472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Share-based payments expenses on anti-dilution issuance of</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Preferred Shares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(d)</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369,648</w:t>
            </w:r>
          </w:p>
        </w:tc>
        <w:tc>
          <w:tcPr>
            <w:tcW w:w="3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0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charges on: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4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Loan from a related company</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5"/>
              </w:rPr>
              <w:t>(e)</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24,548</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80,219</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60,712</w:t>
            </w:r>
          </w:p>
        </w:tc>
        <w:tc>
          <w:tcPr>
            <w:tcW w:w="100" w:type="dxa"/>
            <w:vAlign w:val="bottom"/>
          </w:tcPr>
          <w:p>
            <w:pPr>
              <w:spacing w:after="0"/>
              <w:rPr>
                <w:sz w:val="17"/>
                <w:szCs w:val="17"/>
                <w:color w:val="auto"/>
              </w:rPr>
            </w:pPr>
          </w:p>
        </w:tc>
      </w:tr>
      <w:tr>
        <w:trPr>
          <w:trHeight w:val="202"/>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Loans from immediate holding company</w:t>
            </w:r>
          </w:p>
        </w:tc>
        <w:tc>
          <w:tcPr>
            <w:tcW w:w="13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3"/>
              </w:rPr>
              <w:t>(f)</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129,423</w:t>
            </w:r>
          </w:p>
        </w:tc>
        <w:tc>
          <w:tcPr>
            <w:tcW w:w="3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187,584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78,926</w:t>
            </w:r>
          </w:p>
        </w:tc>
        <w:tc>
          <w:tcPr>
            <w:tcW w:w="100" w:type="dxa"/>
            <w:vAlign w:val="bottom"/>
            <w:shd w:val="clear" w:color="auto" w:fill="CCEEFF"/>
          </w:tcPr>
          <w:p>
            <w:pPr>
              <w:spacing w:after="0"/>
              <w:rPr>
                <w:sz w:val="17"/>
                <w:szCs w:val="17"/>
                <w:color w:val="auto"/>
              </w:rPr>
            </w:pPr>
          </w:p>
        </w:tc>
      </w:tr>
      <w:tr>
        <w:trPr>
          <w:trHeight w:val="227"/>
        </w:trPr>
        <w:tc>
          <w:tcPr>
            <w:tcW w:w="4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Convertible loan notes</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(g)</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238,960</w:t>
            </w:r>
          </w:p>
        </w:tc>
        <w:tc>
          <w:tcPr>
            <w:tcW w:w="34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266,520</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80,822</w:t>
            </w: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hanging="599"/>
        <w:spacing w:after="0" w:line="274" w:lineRule="auto"/>
        <w:tabs>
          <w:tab w:leader="none" w:pos="6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31 March 2025, the Group entered into sales agreements with certain shareholders amounting to $42,680 in revenue generated (2024: $71,333; 2023: $387,751).</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31 March 2025, Miles Pelham, controller of Rhino Ventures, engaged as a contractor to provide management services in return for a fee of $260,417 (2024: $250,000; 2023: $250,000).</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31 March 2024, the Group has fully written off the amount due from a related company, Diginex (Holdings) Limited, a company controlled by Rhino Ventures, of $81,347 (2025 and 2023: $Nil).</w:t>
      </w:r>
    </w:p>
    <w:p>
      <w:pPr>
        <w:spacing w:after="0" w:line="158"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issuance 151 Preferred Shares of DSL triggered by the Capital Raise, share-based payments expenses of $369,648 are recognized during the year ended 31 March 2025 (2024 and 2023: $Nil).</w:t>
      </w:r>
    </w:p>
    <w:p>
      <w:pPr>
        <w:spacing w:after="0" w:line="158"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had a loan with a principal of $1,000,000, bore an 8% annual interest charge, due to Diginex (Holdings) Limited.</w:t>
      </w:r>
    </w:p>
    <w:p>
      <w:pPr>
        <w:spacing w:after="0" w:line="207" w:lineRule="exact"/>
        <w:rPr>
          <w:rFonts w:ascii="Times New Roman" w:cs="Times New Roman" w:eastAsia="Times New Roman" w:hAnsi="Times New Roman"/>
          <w:sz w:val="17"/>
          <w:szCs w:val="17"/>
          <w:color w:val="auto"/>
        </w:rPr>
      </w:pPr>
    </w:p>
    <w:p>
      <w:pPr>
        <w:jc w:val="both"/>
        <w:ind w:left="6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Recapitalization, the loan was converted into convertible loan notes with principal of $1,000,000, of which Rhino Ventures holds $517,535 of the principal amount and Working Capital Innovation Fund II L.P., shareholder of the Company, holds $482,465 of the principal amount, and the corresponding interest was recognized as finance charges on convertible loan notes. During the year ended March 31, 2025, interest of $24,548 was accrued (2024: $80,219; 2023: $60,712). The convertible loan notes were converted into ordinary shares on 20 December 2024.</w:t>
      </w:r>
    </w:p>
    <w:p>
      <w:pPr>
        <w:spacing w:after="0" w:line="174" w:lineRule="exact"/>
        <w:rPr>
          <w:rFonts w:ascii="Times New Roman" w:cs="Times New Roman" w:eastAsia="Times New Roman" w:hAnsi="Times New Roman"/>
          <w:sz w:val="17"/>
          <w:szCs w:val="17"/>
          <w:color w:val="auto"/>
        </w:rPr>
      </w:pPr>
    </w:p>
    <w:p>
      <w:pPr>
        <w:jc w:val="both"/>
        <w:ind w:left="600" w:hanging="599"/>
        <w:spacing w:after="0" w:line="256" w:lineRule="auto"/>
        <w:tabs>
          <w:tab w:leader="none" w:pos="6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had a loan outstanding from immediate holding company, Rhino Ventures. The loan bore an 8% annual interest charge and interest of $129,423 was accrued during the year ended 31 March 2025 (2024: $187,584; 2023: $78,926). On January 21, 2025, the loan balance was $3,530,091 and $3,000,000 was capitalized through the issuance of 731,707 Ordinary Shares with the balance of $530,019 being repaid in cash. At 31 March 2025, there was no balance outstanding.</w:t>
      </w:r>
    </w:p>
    <w:p>
      <w:pPr>
        <w:spacing w:after="0" w:line="174"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issued convertible loan notes to the shareholders of the Company. The convertible loan note bore an 8% annual interest charge and interest of $238,960 was accrued during the year ended 31 March 2025 (2024: $266,520; 2023: 80,822). The convertible loan notes were converted into ordinary shares on 20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4611370</wp:posOffset>
            </wp:positionH>
            <wp:positionV relativeFrom="paragraph">
              <wp:posOffset>-209550</wp:posOffset>
            </wp:positionV>
            <wp:extent cx="349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16.2 Amounts due to a related company/ immediate holding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31 March 2025, the amount due to a related company, Compass Limited, of $34,579 (2024: $34,579) related to the deposit for the office lease in Monaco.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Compass Limited is a company controlled by Rhino Ventures.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31 March 2024, an amount due to immediate holding company, Rhino Ventures, of $5,345,929 related to advance deposits towards the $8,000,000 Capital Raise. On 27 May 2024, the Group completed the Capital Raise, of which $6,059,142 of amount due to Rhino Ventures and $1,940,858 of loans from Rhino Ventures were capitalized into equity. At March 31, 2025, there were no outstanding amounts due to the immediate holding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amounts were unsecured, interest-free and repayable on demand.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color w:val="auto"/>
        </w:rPr>
        <w:t>16.3 Loans from immediate holding company/ a related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Loans from an immediate holding company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31 March 2024, loans from an immediate holding company, Rhino Ventures, were unsecured, bearing an interest rate of 8% per annum and were originally repayable on June 30, 2024. At 31 March 2024 the outstanding principal amount was $1,664,483 with accrued interest of $266,510, resulting in a total outstanding balance of $1,930,993.</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27 May 2024, the Group completed the Capital Raise with Rhino Ventures, of which $6,059,142 of the amount due to Rhino Ventures and $1,940,858 of loans from Rhino Ventures were capitalized into equity. During the period up to the Company IPO, Rhino Ventures continued to fund the Company. The maturity date of the remaining loans was initially extended to September 30, 2024 in May 2024, subsequently to November 31, 2024 in September 2024, and further extended to January 31, 2025 in November 2024.</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September 30, 2024, the Company, DSL and Rhino Ventures entered into a tripartite loan agreement. Under this agreement, Rhino Ventures agreed to capitalize up to $3.5 million of its loan with DSL into Ordinary Shares at the IPO offer price upon the pricing of the IPO.</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21, 2025, the outstanding principal and accrued interest amounted to $3,530,019, of which $3,000,000 was capitalized through the issuance of 731,707 Ordinary Shares at the IPO listing price of $4.10. The remaining balance of $530,019 was settled in cash. As of March 31, 2025, there were no outstanding loans from Rhino Ventures.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Loans from a related party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31 March 2024, loan from a related company, Diginex (Holdings) Limited, was unsecured, charging at an interest rate of 8% per annum and was repayable on</w:t>
      </w:r>
    </w:p>
    <w:p>
      <w:pPr>
        <w:spacing w:after="0" w:line="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31 December 2024. At 31 March 2024, the outstanding principal amount was $1,000,000 (2025: $Nil) and interest accrued on the loan amounted to $140,931 (2025: $Nil) resulting in a total outstanding balance of $1,140,931 (2025: $Nil). In July 2024, the loan was converted into convertible loan notes with a principal of $1,000,000, of which Rhino Ventures holds $517,535 of the principal amount and Working Capital Innovation Fund II L.P. holds $482,465 of the principal amount.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16.4 Key management compensation</w:t>
            </w: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5400" w:type="dxa"/>
            <w:vAlign w:val="bottom"/>
          </w:tcPr>
          <w:p>
            <w:pPr>
              <w:spacing w:after="0"/>
              <w:rPr>
                <w:sz w:val="24"/>
                <w:szCs w:val="24"/>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22"/>
        </w:trPr>
        <w:tc>
          <w:tcPr>
            <w:tcW w:w="5400" w:type="dxa"/>
            <w:vAlign w:val="bottom"/>
          </w:tcPr>
          <w:p>
            <w:pPr>
              <w:spacing w:after="0"/>
              <w:rPr>
                <w:sz w:val="19"/>
                <w:szCs w:val="19"/>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31 March 2023</w:t>
            </w:r>
          </w:p>
        </w:tc>
      </w:tr>
      <w:tr>
        <w:trPr>
          <w:trHeight w:val="195"/>
        </w:trPr>
        <w:tc>
          <w:tcPr>
            <w:tcW w:w="540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salaries, allowances and all benefits-in-kind (a)</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1,616,693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1,514,495</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1,304,369</w:t>
            </w:r>
          </w:p>
        </w:tc>
        <w:tc>
          <w:tcPr>
            <w:tcW w:w="100" w:type="dxa"/>
            <w:vAlign w:val="bottom"/>
            <w:shd w:val="clear" w:color="auto" w:fill="CCEEFF"/>
          </w:tcPr>
          <w:p>
            <w:pPr>
              <w:spacing w:after="0"/>
              <w:rPr>
                <w:sz w:val="17"/>
                <w:szCs w:val="17"/>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Pension costs - defined contribution plans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6,924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7,308</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7,885</w:t>
            </w:r>
          </w:p>
        </w:tc>
        <w:tc>
          <w:tcPr>
            <w:tcW w:w="100" w:type="dxa"/>
            <w:vAlign w:val="bottom"/>
          </w:tcPr>
          <w:p>
            <w:pPr>
              <w:spacing w:after="0"/>
              <w:rPr>
                <w:sz w:val="17"/>
                <w:szCs w:val="17"/>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payments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782,338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1,324,067</w:t>
            </w: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410,912</w:t>
            </w:r>
          </w:p>
        </w:tc>
        <w:tc>
          <w:tcPr>
            <w:tcW w:w="100" w:type="dxa"/>
            <w:vAlign w:val="bottom"/>
            <w:shd w:val="clear" w:color="auto" w:fill="CCEEFF"/>
          </w:tcPr>
          <w:p>
            <w:pPr>
              <w:spacing w:after="0"/>
              <w:rPr>
                <w:sz w:val="18"/>
                <w:szCs w:val="18"/>
                <w:color w:val="auto"/>
              </w:rPr>
            </w:pPr>
          </w:p>
        </w:tc>
      </w:tr>
      <w:tr>
        <w:trPr>
          <w:trHeight w:val="207"/>
        </w:trPr>
        <w:tc>
          <w:tcPr>
            <w:tcW w:w="540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2,405,955</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2,845,870</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1,723,166</w:t>
            </w:r>
          </w:p>
        </w:tc>
        <w:tc>
          <w:tcPr>
            <w:tcW w:w="1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hanging="599"/>
        <w:spacing w:after="0" w:line="274" w:lineRule="auto"/>
        <w:tabs>
          <w:tab w:leader="none" w:pos="60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Basic salaries, allowances and all benefits-in-kind include a payment of $260,417 to the Chairman of Diginex. The Chairman is also the controller of a related party, Rhino Ventures Limited.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management personnel are considered as senior representatives of the Group.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16.5 Amounts due to key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March 31, 2025, expense reimbursement of $68,724 were outstanding to key management personnel (2023: $12,135; 2024: $23,919) and were included in accruals.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16.6 Warrants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connection with the $8.0 million capital raise in May 2024. Rhino Ventures Limited was issued warrants in DSL. Following the Group restructure, there were 4,170,520 warrants issued and outstanding and exercisable for a period of three years from the date they were issued, May 27, 2024, and are exercisable at a price of US$6.13 per warrant. The warrants, if fully exercised, will result in the issuance of shares equal to 51% of the Company’s outstanding Ordinary Shares at the time the warrants are exercised. This amount will be prorated in the event of partial exercise of the warrants. See note 21.2.</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January 23, 2025, the Company issued Rhino Ventures Limited the IPO Warrants in connection with the IPO. See note 21.2</w:t>
      </w:r>
    </w:p>
    <w:p>
      <w:pPr>
        <w:spacing w:after="0" w:line="208" w:lineRule="exact"/>
        <w:rPr>
          <w:sz w:val="20"/>
          <w:szCs w:val="20"/>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6 - Warrants to purchase 2,250,000 Ordinary Shares at an exercise price $12.30 per share, which expire 24 months from January 23, 2025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at the date of this report, no warrants had been exercised.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16.6 Convertible Loan Notes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issued $4,350,000 convertible loan notes with an 8% coupon, of which all were held by related parties due to their shareholding in the Company. Rhino Ventures held $517,535, HBM IV, Inc. held $2,000,000 and Nalimz Holdings Limited held $1,000,000, Working Capital Innovation Fund II held $582,465 and Hafnia Pte Ltd held $250,000. On December 20, 2024, following the Company’s registration statement being declared effective by the SEC, all these outstanding convertible loan notes with an aggregate face value of $4,350,000 and accrued interest of $751,781, totaling $5,101,781, were converted into Ordinary Shares at a conversion price of $2.17 resulting in the issuance of 2,347,134 Ordinary Shares. See note 18.</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649"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color w:val="auto"/>
        </w:rPr>
        <w:t>17 PREFERRED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July 2021, DSL allotted 3,000 Series A Preferred Shares to a new shareholder for a consideration of $6,000,000.</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Each Preferred Share carried a number of votes equal to that of the ordinary shares then issuable upon its conversion into ordinary shares at the record date for determination of the shareholders entitled to vote on such matters. The holders of Preferred Shares and ordinary shares shall vote together as a single class unless it is required by applicable law or the Company’s Article of Association that Preferred Shares to vote separately as a class.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Conversion right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Each Preferred Share would automatically be converted into ordinary shares, at the conversion price (i) immediately upon the closing of a qualified initial public offering or (ii) upon the prior written approval of the holders of majority of Preferred Shares (voting together as a single class).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Unless converted earlier pursuant to above, each holder of Preferred Shares would have the right, at such holder’s sole discretion, to convert all or any portion of the Preferred Shares into ordinary shares at any time.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respective of the conversion price, the conversion rate for Preferred Shares would be determined by dividing the issue price (US$2,000) per share at the time of its issuance (the “Issue Price”) by the conversion price then in effect at the date of the conversion. The initial conversion price will be the Issue Price on first Preferred Share was issued (i.e., a 1-to-1 initial conversion ratio), and such initial conversion price would be subject to adjustments to reflect stock dividends, stock splits and future capital raises at a price per share lower than the conversion price in effect on the date of and immediately prior to such issuance (the “Applicable Conversion Price”). Upon future capital raises at a price per share lower than the Applicable Conversion Price, anti-dilution adjustment would be applied to reduce the Applicable Conversion Price concurrently.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Dividend right and protection provision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Each holder of Preferred Shares were entitled to receive dividends, prior and in preference to any declaration or payment of any dividend on the ordinary shares or any other class or series of shares issued by the Company, at the rate of four percent per annum of the applicable issue price of the Preferred Shares, on a non-cumulative basis, for each Preferred Share held by such holder. As part of the protective provision, certain reserved matters of the Company and its subsidiaries shall require the prior written approval of the holders of a majority of Preferred Shares as provided in the Articles of Association of the Company (the “Articles”).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Redemption right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Preferred Shares are redeemable at the request of the holders at earlier of (i) a qualified initial public offering has not been consummated on or before the fifth anniversary of the date on which the first Preferred Share was issued; or (ii) a redemption right has been triggered by a materially breach of certain transaction documents by the Company; or (iii) the Company materially fails to comply with applicable laws and regulations. The redemption price (the “Redemption Price”) for each Preferred Share shall be equal to the higher of (i) 100% of the applicable Issue Price for such Preferred Shares and plus all declared but unpaid dividend, or (ii) the then fair market value of such Preferred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Liquidation preference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Preferred Shares also provided with liquidation preference to its holders in the event of any liquidation, dissolution or winding up of the Company, either voluntary or involuntary or the consummation of a liquidation event as provided in the Articles to recover one hundred percent (100%) of the corresponding Issue Price per Share (such price may be adjusted as necessary) plus all accrued or declared but unpaid dividends.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at 31 March 2024, DSL had 3,000 Preferred Shares issued and outstanding, with recapitalized amount of 2,460,000 Preferred Shares and the carrying amount was $9,359,000 with fair value gain of $4,101,000 recognized during the year ended 31 March 2024.</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May 2024, DSL had issued a further 151 Series A Preferred Shares, with recapitalized amount of 123,820 Preferred Shares, and fair value of $369,648 was charged to profit or loss. The issuance of the 151 Series A Preferred Shares was the result of an anti-dilution clause, which was triggered upon the completion of the Capital Raise from Rhino Ventures in May 2024. In July 2024, in the Exchange as mentioned in Note 1.1, Series A Preferred Shares of DSL were exchanged for Preferred Shares, where Preferred Shares contained the same terms and conditions as the Series A Preferred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20, 2024, following the Company’s registration statement Form F-1 being declared effective by the SEC, the outstanding 2,583,820 Preferred Shares were converted into Ordinary Shares on a 1:1 basis with 2,583,820 Ordinary Shares being issued. During the year ended March 31, 2025, a fair value gain of $4,117,648 was recognized and there were no Preferred Shares outstanding as of March 31, 2025.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3" w:name="page154"/>
    <w:bookmarkEnd w:id="153"/>
    <w:p>
      <w:pPr>
        <w:jc w:val="both"/>
        <w:spacing w:after="0" w:line="261" w:lineRule="auto"/>
        <w:rPr>
          <w:sz w:val="20"/>
          <w:szCs w:val="20"/>
          <w:color w:val="auto"/>
        </w:rPr>
      </w:pPr>
      <w:r>
        <w:rPr>
          <w:rFonts w:ascii="Times New Roman" w:cs="Times New Roman" w:eastAsia="Times New Roman" w:hAnsi="Times New Roman"/>
          <w:sz w:val="17"/>
          <w:szCs w:val="17"/>
          <w:color w:val="auto"/>
        </w:rPr>
        <w:t>The fair value of Preferred Shares as of the date of conversion amounted to $5,611,000. The Discounted Cash Flow (“DCF”) method was used to determine the total equity value of the Group by capturing the present value of the expected cash flows. The equity allocation model was then used to allocate the total equity value of the Group to derive the fair value of the Preferred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details of fair value measurement as of 31 March 2024, please refer to note 26.5 to the consolidated financial statements.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18 CONVERTIBLE LOAN NOTES (THE “NOTES”)</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980" w:type="dxa"/>
            <w:vAlign w:val="bottom"/>
          </w:tcPr>
          <w:p>
            <w:pPr>
              <w:spacing w:after="0"/>
              <w:rPr>
                <w:sz w:val="24"/>
                <w:szCs w:val="24"/>
                <w:color w:val="auto"/>
              </w:rPr>
            </w:pPr>
          </w:p>
        </w:tc>
        <w:tc>
          <w:tcPr>
            <w:tcW w:w="22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At</w:t>
            </w: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At</w:t>
            </w: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the Notes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347,342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4,090,342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Classified as:</w:t>
            </w: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98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liabilities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3,975,534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Non-current liabilities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4,090,342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January 2023, the Company issued a convertible loan note instrument to create unsecured Notes of up to $10,000,000 in aggregate, bears fixed interest rate of 8% per annum. The Notes had a maturity date on the second anniversary of the effective date of the instrument.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Notes would automatically convert into ordinary shares at the conversion price on the earlier of the following events, (i) a relevant fund raising, (ii) change of control, or (iii) an initial public offering (“IPO”). Such senior class of shares to be issued to investors in connection with the relevant fund raising or issued at the completion of the change of control or IPO.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31 March 2024, a Note with a face value of $100,000 was issued resulting in an aggregate face value of $3,350,000 as of 31 March 2024.</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Upon the Recapitalization in July 2024, the $1,000,000 loan due from DSL to a related company, Diginex (Holdings) Limited, was converted into $1,000,000 Notes of which Rhino Ventures held $517,535 of the principal amount and Working Capital Innovation Fund II L.P. held $482,465 of the principal amount.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3 August 2024, the maturity date of the Notes with a principal of $1,000,000 was extended to 3 November 2024.</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December 20, 2024, following the Company’s registration statement being declared effective by the SEC, all the outstanding Notes with an aggregate face value of $4,350,000 and accrued interest of $751,781, totaling $5,101,781, were converted into Ordinary Shares at a conversion price of $2.17 resulting in the issuance of 2,347,134 Ordinary Shares. During the year ended March 31, 2025, a fair value loss of $639,000 (2024: loss of $374,000) was recognized and there were no Notes outstanding as of March 31,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the Notes as of the date of conversion amounted to $5,382,000 and is determined using binomial option pricing model.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details of fair value measurement as of 31 March 2024, please refer to note 26.5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color w:val="auto"/>
        </w:rPr>
        <w:t>19 LEASE LIABILITIES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year ended 31 March 2024, the Group entered into a lease that expires on 1 January 2027. The initial quarterly rent was 31,316 Euros ($34,580). The lease is adjusted annually by an indexation factor and has an annual break clause. The quarterly rent was adjusted and increased to 32,091 Euros ($34,905) from February 2024 and was further adjusted to 32,328 Euros ($33,917) from February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Changes in lease liability is as follows:</w:t>
            </w: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6980" w:type="dxa"/>
            <w:vAlign w:val="bottom"/>
          </w:tcPr>
          <w:p>
            <w:pPr>
              <w:spacing w:after="0"/>
              <w:rPr>
                <w:sz w:val="24"/>
                <w:szCs w:val="24"/>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 31 March</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At 31 March</w:t>
            </w: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April</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365,356</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Increase in lease liability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482,619</w:t>
            </w: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 (note 8)</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17,236</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18,328</w:t>
            </w:r>
          </w:p>
        </w:tc>
        <w:tc>
          <w:tcPr>
            <w:tcW w:w="0" w:type="dxa"/>
            <w:vAlign w:val="bottom"/>
          </w:tcPr>
          <w:p>
            <w:pPr>
              <w:spacing w:after="0"/>
              <w:rPr>
                <w:sz w:val="1"/>
                <w:szCs w:val="1"/>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Lease modification adjustment</w:t>
            </w: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(5,955)</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(25,837)</w:t>
            </w:r>
          </w:p>
        </w:tc>
        <w:tc>
          <w:tcPr>
            <w:tcW w:w="0" w:type="dxa"/>
            <w:vAlign w:val="bottom"/>
          </w:tcPr>
          <w:p>
            <w:pPr>
              <w:spacing w:after="0"/>
              <w:rPr>
                <w:sz w:val="1"/>
                <w:szCs w:val="1"/>
                <w:color w:val="auto"/>
              </w:rPr>
            </w:pPr>
          </w:p>
        </w:tc>
      </w:tr>
      <w:tr>
        <w:trPr>
          <w:trHeight w:val="21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Reduction in lease liability</w:t>
            </w:r>
          </w:p>
        </w:tc>
        <w:tc>
          <w:tcPr>
            <w:tcW w:w="2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(138,962)</w:t>
            </w: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(109,754)</w:t>
            </w:r>
          </w:p>
        </w:tc>
        <w:tc>
          <w:tcPr>
            <w:tcW w:w="0" w:type="dxa"/>
            <w:vAlign w:val="bottom"/>
          </w:tcPr>
          <w:p>
            <w:pPr>
              <w:spacing w:after="0"/>
              <w:rPr>
                <w:sz w:val="1"/>
                <w:szCs w:val="1"/>
                <w:color w:val="auto"/>
              </w:rPr>
            </w:pPr>
          </w:p>
        </w:tc>
      </w:tr>
      <w:tr>
        <w:trPr>
          <w:trHeight w:val="207"/>
        </w:trPr>
        <w:tc>
          <w:tcPr>
            <w:tcW w:w="698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237,675</w:t>
            </w:r>
          </w:p>
        </w:tc>
        <w:tc>
          <w:tcPr>
            <w:tcW w:w="340" w:type="dxa"/>
            <w:vAlign w:val="bottom"/>
          </w:tcPr>
          <w:p>
            <w:pPr>
              <w:spacing w:after="0"/>
              <w:rPr>
                <w:sz w:val="17"/>
                <w:szCs w:val="17"/>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Classified in the consolidated statements of financial position as follows:</w:t>
            </w: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9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980" w:type="dxa"/>
            <w:vAlign w:val="bottom"/>
          </w:tcPr>
          <w:p>
            <w:pPr>
              <w:spacing w:after="0"/>
              <w:rPr>
                <w:sz w:val="24"/>
                <w:szCs w:val="24"/>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 31 March</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At 31 March</w:t>
            </w: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126,808</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122,076</w:t>
            </w: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Non-current</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110,867</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243,280</w:t>
            </w:r>
          </w:p>
        </w:tc>
        <w:tc>
          <w:tcPr>
            <w:tcW w:w="0" w:type="dxa"/>
            <w:vAlign w:val="bottom"/>
          </w:tcPr>
          <w:p>
            <w:pPr>
              <w:spacing w:after="0"/>
              <w:rPr>
                <w:sz w:val="1"/>
                <w:szCs w:val="1"/>
                <w:color w:val="auto"/>
              </w:rPr>
            </w:pPr>
          </w:p>
        </w:tc>
      </w:tr>
      <w:tr>
        <w:trPr>
          <w:trHeight w:val="207"/>
        </w:trPr>
        <w:tc>
          <w:tcPr>
            <w:tcW w:w="698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237,675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Maturity of lease liabilities is as follows:</w:t>
            </w: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9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980" w:type="dxa"/>
            <w:vAlign w:val="bottom"/>
          </w:tcPr>
          <w:p>
            <w:pPr>
              <w:spacing w:after="0"/>
              <w:rPr>
                <w:sz w:val="24"/>
                <w:szCs w:val="24"/>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At 31 March</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At 31 March</w:t>
            </w: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Not later than one year</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135,670</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139,619</w:t>
            </w: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Later than one year and not later than five years</w:t>
            </w: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113,058</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255,969</w:t>
            </w:r>
          </w:p>
        </w:tc>
        <w:tc>
          <w:tcPr>
            <w:tcW w:w="0" w:type="dxa"/>
            <w:vAlign w:val="bottom"/>
          </w:tcPr>
          <w:p>
            <w:pPr>
              <w:spacing w:after="0"/>
              <w:rPr>
                <w:sz w:val="1"/>
                <w:szCs w:val="1"/>
                <w:color w:val="auto"/>
              </w:rPr>
            </w:pPr>
          </w:p>
        </w:tc>
      </w:tr>
      <w:tr>
        <w:trPr>
          <w:trHeight w:val="194"/>
        </w:trPr>
        <w:tc>
          <w:tcPr>
            <w:tcW w:w="698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248,728</w:t>
            </w:r>
          </w:p>
        </w:tc>
        <w:tc>
          <w:tcPr>
            <w:tcW w:w="34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395,588</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Finance costs</w:t>
            </w: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(11,053)</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(30,232)</w:t>
            </w:r>
          </w:p>
        </w:tc>
        <w:tc>
          <w:tcPr>
            <w:tcW w:w="0" w:type="dxa"/>
            <w:vAlign w:val="bottom"/>
          </w:tcPr>
          <w:p>
            <w:pPr>
              <w:spacing w:after="0"/>
              <w:rPr>
                <w:sz w:val="1"/>
                <w:szCs w:val="1"/>
                <w:color w:val="auto"/>
              </w:rPr>
            </w:pPr>
          </w:p>
        </w:tc>
      </w:tr>
      <w:tr>
        <w:trPr>
          <w:trHeight w:val="20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minimum lease payments</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237,675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lease commitments have been discounted to calculate a present value of commitments using a cost of capital rate of 5.25% (2024: 5.88%).</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color w:val="auto"/>
        </w:rPr>
        <w:t>20 SHARE CAPITAL</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Under a deemed reverse acquisition (as discussed in note 3), the historical shareholders’ equity of DSL, being the accounting acquirer (legal acquiree) prior to the Transaction is retrospectively adjusted to reflect the legal capital structure of the accounting acquiree (legal acquirer) and the Share Subdivision. This is calculated by using the exchange ratio as determined on the completion of the Transaction being 410 shares in the Company for each DSL share and multiplying by 2 for the impact of Share subdivision. The difference in value of the share capital arising from this conversion versus the share capital amount in DSL is recorded in equity under the capital reserve.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Shares of the Company have a par value of $0.00005 after the Share Subdivision.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Share capital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net of capital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reserve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jc w:val="right"/>
              <w:ind w:right="840"/>
              <w:spacing w:after="0"/>
              <w:rPr>
                <w:sz w:val="20"/>
                <w:szCs w:val="20"/>
                <w:color w:val="auto"/>
              </w:rPr>
            </w:pPr>
            <w:r>
              <w:rPr>
                <w:rFonts w:ascii="Times New Roman" w:cs="Times New Roman" w:eastAsia="Times New Roman" w:hAnsi="Times New Roman"/>
                <w:sz w:val="17"/>
                <w:szCs w:val="17"/>
                <w:color w:val="auto"/>
              </w:rPr>
              <w:t>Share capital</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Share</w:t>
            </w: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Capital</w:t>
            </w: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Warrant</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warrant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Notes</w:t>
            </w:r>
          </w:p>
        </w:tc>
        <w:tc>
          <w:tcPr>
            <w:tcW w:w="88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Shares</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Amount</w:t>
            </w:r>
          </w:p>
        </w:tc>
        <w:tc>
          <w:tcPr>
            <w:tcW w:w="3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premium</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7"/>
              </w:rPr>
              <w:t>reserve</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reserve</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reserve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top w:val="single" w:sz="8" w:color="auto"/>
            </w:tcBorders>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rPr>
              <w:t>USD</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USD</w:t>
            </w:r>
          </w:p>
        </w:tc>
        <w:tc>
          <w:tcPr>
            <w:tcW w:w="280" w:type="dxa"/>
            <w:vAlign w:val="bottom"/>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USD</w:t>
            </w:r>
          </w:p>
        </w:tc>
        <w:tc>
          <w:tcPr>
            <w:tcW w:w="3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Balance at 1 April 2022 and</w:t>
            </w: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 March 2023 – pre-recapitalization</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11,582</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3,725,301</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Recapitalization of DSL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(1:410 exchange ratio)</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(b)</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4,737,038</w:t>
            </w:r>
          </w:p>
        </w:tc>
        <w:tc>
          <w:tcPr>
            <w:tcW w:w="20" w:type="dxa"/>
            <w:vAlign w:val="bottom"/>
          </w:tcPr>
          <w:p>
            <w:pPr>
              <w:spacing w:after="0"/>
              <w:rPr>
                <w:sz w:val="20"/>
                <w:szCs w:val="20"/>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(3,724,826)</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3,724,826</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4,748,620</w:t>
            </w: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3,724,826</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3,725,301</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Share Subdivision</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(c)</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4,748,620</w:t>
            </w:r>
          </w:p>
        </w:tc>
        <w:tc>
          <w:tcPr>
            <w:tcW w:w="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31 March 2023 – recapitalized</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9,497,240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3,724,826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3,725,301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1 April 2023 – pre-recapitalization</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11,582</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3,725,301</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3,725,301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Exercise of share option awards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(a)</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27,368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27,368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Balance at 31 March 2024 – pre-recapitalization</w:t>
            </w:r>
          </w:p>
        </w:tc>
        <w:tc>
          <w:tcPr>
            <w:tcW w:w="7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11,626</w:t>
            </w: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3,752,669</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3,752,669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Recapitalization of DSL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(1:410 exchange ratio)</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(b)</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4,755,034</w:t>
            </w:r>
          </w:p>
        </w:tc>
        <w:tc>
          <w:tcPr>
            <w:tcW w:w="20" w:type="dxa"/>
            <w:vAlign w:val="bottom"/>
          </w:tcPr>
          <w:p>
            <w:pPr>
              <w:spacing w:after="0"/>
              <w:rPr>
                <w:sz w:val="20"/>
                <w:szCs w:val="20"/>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(3,752,192)</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3,752,192</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4,766,660</w:t>
            </w: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3,752,192</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3,752,669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Founding share of the Company</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4,766,661</w:t>
            </w: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477</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3,752,192</w:t>
            </w: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3,752,669</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Share Subdivision</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(c)</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4,766,661</w:t>
            </w:r>
          </w:p>
        </w:tc>
        <w:tc>
          <w:tcPr>
            <w:tcW w:w="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31 March 2024 – recapitalized</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9,533,322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3,752,192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3,752,669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1 April 2024 – pre-recapitalization</w:t>
            </w: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11,626</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3,752,669</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3,752,669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Exercise of share option awards</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(pre-recapitalization)</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27,368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27,368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Raise</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(e)</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5,086</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1,346,800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6,653,200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Pre-recapitalized balance</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16,756</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5,126,837</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80" w:type="dxa"/>
            <w:vAlign w:val="bottom"/>
          </w:tcPr>
          <w:p>
            <w:pPr>
              <w:spacing w:after="0"/>
              <w:rPr>
                <w:sz w:val="16"/>
                <w:szCs w:val="16"/>
                <w:color w:val="auto"/>
              </w:rPr>
            </w:pPr>
          </w:p>
        </w:tc>
        <w:tc>
          <w:tcPr>
            <w:tcW w:w="9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11,780,037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Recapitalization of DSL</w:t>
            </w: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(1:410 exchange ratio)</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(b)</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6,853,204</w:t>
            </w:r>
          </w:p>
        </w:tc>
        <w:tc>
          <w:tcPr>
            <w:tcW w:w="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(5,126,150)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5,126,150</w:t>
            </w: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6,869,960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687</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5,126,150</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80" w:type="dxa"/>
            <w:vAlign w:val="bottom"/>
          </w:tcPr>
          <w:p>
            <w:pPr>
              <w:spacing w:after="0"/>
              <w:rPr>
                <w:sz w:val="16"/>
                <w:szCs w:val="16"/>
                <w:color w:val="auto"/>
              </w:rPr>
            </w:pPr>
          </w:p>
        </w:tc>
        <w:tc>
          <w:tcPr>
            <w:tcW w:w="9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11,780,037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Founding share of the Company</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Sub-total</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6,869,961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687</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5,126,150</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80" w:type="dxa"/>
            <w:vAlign w:val="bottom"/>
          </w:tcPr>
          <w:p>
            <w:pPr>
              <w:spacing w:after="0"/>
              <w:rPr>
                <w:sz w:val="16"/>
                <w:szCs w:val="16"/>
                <w:color w:val="auto"/>
              </w:rPr>
            </w:pPr>
          </w:p>
        </w:tc>
        <w:tc>
          <w:tcPr>
            <w:tcW w:w="9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11,780,037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 Subdivision</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(c)</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6,869,961</w:t>
            </w:r>
          </w:p>
        </w:tc>
        <w:tc>
          <w:tcPr>
            <w:tcW w:w="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Recapitalized balance</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13,739,922</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687</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6"/>
                <w:szCs w:val="16"/>
                <w:color w:val="auto"/>
              </w:rPr>
            </w:pPr>
          </w:p>
        </w:tc>
        <w:tc>
          <w:tcPr>
            <w:tcW w:w="7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5,126,150</w:t>
            </w:r>
          </w:p>
        </w:tc>
        <w:tc>
          <w:tcPr>
            <w:tcW w:w="300" w:type="dxa"/>
            <w:vAlign w:val="bottom"/>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6,653,200</w:t>
            </w:r>
          </w:p>
        </w:tc>
        <w:tc>
          <w:tcPr>
            <w:tcW w:w="280" w:type="dxa"/>
            <w:vAlign w:val="bottom"/>
          </w:tcPr>
          <w:p>
            <w:pPr>
              <w:spacing w:after="0"/>
              <w:rPr>
                <w:sz w:val="16"/>
                <w:szCs w:val="16"/>
                <w:color w:val="auto"/>
              </w:rPr>
            </w:pPr>
          </w:p>
        </w:tc>
        <w:tc>
          <w:tcPr>
            <w:tcW w:w="9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11,780,037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Exercise of share option awards</w:t>
            </w: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(post-recapitalization)</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3"/>
              </w:rPr>
              <w:t>(f)</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1,003,680</w:t>
            </w:r>
          </w:p>
        </w:tc>
        <w:tc>
          <w:tcPr>
            <w:tcW w:w="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1,768,661</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1,768,711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Conversion of Preferred Shares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(g)</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2,583,820</w:t>
            </w:r>
          </w:p>
        </w:tc>
        <w:tc>
          <w:tcPr>
            <w:tcW w:w="20" w:type="dxa"/>
            <w:vAlign w:val="bottom"/>
          </w:tcPr>
          <w:p>
            <w:pPr>
              <w:spacing w:after="0"/>
              <w:rPr>
                <w:sz w:val="17"/>
                <w:szCs w:val="17"/>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129</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5,610,871</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5,611,000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convertible loan notes</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rPr>
              <w:t>(g)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2,347,134</w:t>
            </w:r>
          </w:p>
        </w:tc>
        <w:tc>
          <w:tcPr>
            <w:tcW w:w="2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117</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6,133,664</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6,133,781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6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Capitalization of loan from immediate holding</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(h)</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731,707</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37</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2,999,963</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IPO and Exercise of overallotment option</w:t>
            </w:r>
          </w:p>
        </w:tc>
        <w:tc>
          <w:tcPr>
            <w:tcW w:w="9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7"/>
                <w:szCs w:val="17"/>
                <w:color w:val="auto"/>
                <w:w w:val="99"/>
              </w:rPr>
              <w:t>(i)</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2,587,500</w:t>
            </w:r>
          </w:p>
        </w:tc>
        <w:tc>
          <w:tcPr>
            <w:tcW w:w="2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130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9,176,277</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9,176,407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Issuance of IPO Warrants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9"/>
              </w:rPr>
              <w:t>(j)</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72,610,000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72,610,000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31 March 2025</w:t>
            </w:r>
          </w:p>
        </w:tc>
        <w:tc>
          <w:tcPr>
            <w:tcW w:w="7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22,993,763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25,689,436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5,126,150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79,263,200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110,079,936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7"/>
                <w:szCs w:val="17"/>
                <w:color w:val="auto"/>
                <w:w w:val="99"/>
              </w:rPr>
              <w:t>F-37</w:t>
            </w: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156" w:name="page157"/>
    <w:bookmarkEnd w:id="156"/>
    <w:p>
      <w:pPr>
        <w:ind w:left="600" w:hanging="599"/>
        <w:spacing w:after="0" w:line="274" w:lineRule="auto"/>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2023, DSL issued 44 ordinary shares to an employee via the exercising of vested employee share options. These shares rank pari passu with the existing ordinary shares of DSL in all respects. These shares equate to 36,080 shares post the Recapitalization.</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54" w:lineRule="auto"/>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15 July 2024, the Company completed a Share Exchange Transaction (the “Transaction”) with DSL and each of the shareholders of DSL. Prior to the Transaction, the Company had issued one founding share with a par value of USD 0.0001 and was a newly incorporated entity without material business activities, while DSL was the parent of the DSL Group. The Transaction resulted in the Company becoming the immediate holding company of DSL and DSL became a wholly owned subsidiary of the Company. The Transaction resulted in one share in DSL being exchanged for four hundred and ten (410) Ordinary Shares.</w:t>
      </w:r>
    </w:p>
    <w:p>
      <w:pPr>
        <w:spacing w:after="0" w:line="175"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26 July 2024, the authorized share capital of the Company changed to USD50,000 divided into 960,000,000 Ordinary Shares of USD0.00005 par value each and 40,000,000 Preferred Shares of USD0.00005 par value each (the “Share Subdivision”). The Share Subdivision resulted in the shareholding of each Company shareholder increasing by a multiple of two.</w:t>
      </w:r>
    </w:p>
    <w:p>
      <w:pPr>
        <w:spacing w:after="0" w:line="169"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2024, DSL issued 44 shares to an employee via the exercising of vested employee share options. These shares rank pari passu with the existing ordinary shares of DSL in all respects. These shares equate to 36,080 shares post the Recapitalization.</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27, 2024, DSL Group completed the Capital Raise and DSL allotted 5,086 ordinary shares and 10,172 warrants to Rhino Ventures. The warrants have a fair value of $6,653,200 and $1,346,800 being allocated to share capital with a total value recognized in reserves of $8,000,000. These shares equate to 4,170,520 shares post the Recapitalization.</w:t>
      </w:r>
    </w:p>
    <w:p>
      <w:pPr>
        <w:spacing w:after="0" w:line="169"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August 2024, the Company issued 1,003,680 shares to certain employees via the exercising of vested employee share options. These shares rank pari passu with the Ordinary Shares in all respects.</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56" w:lineRule="auto"/>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20, 2024, the Company’s registration statement Form F-1 being declared effective by the SEC. This resulted in outstanding Preferred Shares converting into 2,583,820 Ordinary Shares on a 1:1 basis. All the outstanding convertible loan notes with an aggregate face value of $4,350,000 and accrued interest of $751,781, totaling $5,101,781, also converted into Ordinary Shares at a conversion price of $2.17 resulting in the issuance of 2,347,134 Ordinary Shares.</w:t>
      </w:r>
    </w:p>
    <w:p>
      <w:pPr>
        <w:spacing w:after="0" w:line="174"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triparty loan agreement dated September 30, 2024, $3.0 million loan from Rhino Ventures was capitalized through the issuance of 731,707 Ordinary Shares.</w:t>
      </w:r>
    </w:p>
    <w:p>
      <w:pPr>
        <w:spacing w:after="0" w:line="158" w:lineRule="exact"/>
        <w:rPr>
          <w:rFonts w:ascii="Times New Roman" w:cs="Times New Roman" w:eastAsia="Times New Roman" w:hAnsi="Times New Roman"/>
          <w:sz w:val="17"/>
          <w:szCs w:val="17"/>
          <w:color w:val="auto"/>
        </w:rPr>
      </w:pPr>
    </w:p>
    <w:p>
      <w:pPr>
        <w:jc w:val="both"/>
        <w:ind w:left="600" w:hanging="599"/>
        <w:spacing w:after="0" w:line="261" w:lineRule="auto"/>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23, 2025, the Company closed on its IPO of 2,250,000 ordinary shares, par value $0.00005 per share, at a public offering price of $4.10 per ordinary share, for total gross proceeds of $9,225,000, before deducting underwriting discounts, commissions, and other related expenses. The net proceeds amounted to $7,747,756.</w:t>
      </w:r>
    </w:p>
    <w:p>
      <w:pPr>
        <w:spacing w:after="0" w:line="169" w:lineRule="exact"/>
        <w:rPr>
          <w:rFonts w:ascii="Times New Roman" w:cs="Times New Roman" w:eastAsia="Times New Roman" w:hAnsi="Times New Roman"/>
          <w:sz w:val="17"/>
          <w:szCs w:val="17"/>
          <w:color w:val="auto"/>
        </w:rPr>
      </w:pPr>
    </w:p>
    <w:p>
      <w:pPr>
        <w:jc w:val="both"/>
        <w:ind w:left="60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27, 2025, the Company also closed on the underwriter’s exercise of the Over-Allotment Option to purchase 337,500 Ordinary Shares pursuant to the Underwriting Agreement. Pursuant to the Over-Allotment Option, the underwriters purchased an additional 337,500 Ordinary Shares at the public offering price of $4.10 per share, resulting in additional gross proceeds of $1.38 million, before deducting underwriting discounts and other related expenses. The net proceeds amounted to $1,261,969.</w:t>
      </w:r>
    </w:p>
    <w:p>
      <w:pPr>
        <w:spacing w:after="0" w:line="174" w:lineRule="exact"/>
        <w:rPr>
          <w:rFonts w:ascii="Times New Roman" w:cs="Times New Roman" w:eastAsia="Times New Roman" w:hAnsi="Times New Roman"/>
          <w:sz w:val="17"/>
          <w:szCs w:val="17"/>
          <w:color w:val="auto"/>
        </w:rPr>
      </w:pPr>
    </w:p>
    <w:p>
      <w:pPr>
        <w:jc w:val="both"/>
        <w:ind w:left="60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the full exercise of the Over-Allotment Option, the total number of Ordinary Shares sold by the Company in the IPO increased to 2,587,500 Ordinary Shares. The gross proceeds of $10,608,750 are deducted against the Deferred IPO Expenses of $1,432,343 upon the successful closing of the IPO and share capital of $130 and share premium of $9,176,277 are recognized.</w:t>
      </w:r>
    </w:p>
    <w:p>
      <w:pPr>
        <w:spacing w:after="0" w:line="169"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23, 2025, the Company issued Rhino Ventures 6 tranches of the IPO Warrants (as defined in note 21.2) , with each tranche comprising 2,250,000 warrants, in connection with the IPO. For details, please refer to note 21.2.</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314 ordinary shares issued by DSL in March 2022, with recapitalized amount of 257,480 Ordinary Shares, were issued with conditions. The conditions were based on the use of funds and the provision of information by DSL to the shareholder. Should any conditions not be met then there was a 30-day remediation period to resolve the issue. If such issues could not be resolved the shareholder can demand DSL to buy back the investment at the higher of the fair value of the investment or the initial investment value. Such conditions lapsed on the IPO of the Company. Following the successful closing of the IPO on January 23, 2025, the option lapsed accordingly.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7" w:name="page158"/>
    <w:bookmarkEnd w:id="157"/>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OTHER RESERVES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Nature and purpose of reserves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21.1 Capital reserve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capital reserve of $5,126,150 arose from the recapitalization of the Group with the Company’s share capital issued as part of the Transaction and the impact of the Share Subdivision. This reserve ensures that the total shareholders equity both pre- and post-Transaction and the Share Subdivision remains the same as that of the DSL Group immediately before the Transaction and Share Subdivision.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21.2 Warrant reserve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Private warrants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May 2024, the Group completed the Capital Raise with its immediate holding company, Rhino Venture. As part of this transaction, DSL allotted 5,086 ordinary shares and 10,172 warrants (the “DSL Private Warrants”) to Rhino Venture, with an exercise price of $2,512 per warrant. If fully exercised, the DSL Private Warrants will result in the issuance of such number of ordinary shares equal to 51% of the total issued and outstanding shares of the Company at the time of exercise. For partial exercise, the number of shares to be issued will be determined on a prorated basis at the time of exercise.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Following the Transaction and Recapitalization in July 2024, the DSL Private Warrants were cancelled and the Company issued 4,170,520 warrants (the “Private Warrants”) as a replacement with an exercise price of $6.13. The Private Warrants were issued on identical terms and with the same economic benefits as the DSL Private Warrants. Post the completion of the Restructuring, there was no change to the economic position of the shareholders or warrant holders.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Both the Private Warrants and the DSL Private Warrants (collectively, “Both Private Warrants”) are classified as an equity instrument on the basis that they do not include contractual obligation to deliver cash to the warrant holder, and Both Private Warrants meet the fixed-for-fixed condition by preserving the relative economic interests of both the warrant holder and the Company’s shareholders. The DSL Private Warrants were initially recognized at their fair value on the date of issuance and no subsequent remeasurement is required. The binomial option-pricing model was used to determine the fair value of the DSL Private Warrants, with key inputs and assumption set out as follow: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7"/>
                <w:szCs w:val="17"/>
                <w:color w:val="auto"/>
              </w:rPr>
              <w:t>Grant date</w:t>
            </w:r>
          </w:p>
        </w:tc>
        <w:tc>
          <w:tcPr>
            <w:tcW w:w="340" w:type="dxa"/>
            <w:vAlign w:val="bottom"/>
          </w:tcPr>
          <w:p>
            <w:pPr>
              <w:spacing w:after="0"/>
              <w:rPr>
                <w:sz w:val="20"/>
                <w:szCs w:val="20"/>
                <w:color w:val="auto"/>
              </w:rPr>
            </w:pPr>
          </w:p>
        </w:tc>
        <w:tc>
          <w:tcPr>
            <w:tcW w:w="192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color w:val="auto"/>
              </w:rPr>
              <w:t>May 28, 2024</w:t>
            </w:r>
          </w:p>
        </w:tc>
      </w:tr>
      <w:tr>
        <w:trPr>
          <w:trHeight w:val="195"/>
        </w:trPr>
        <w:tc>
          <w:tcPr>
            <w:tcW w:w="8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 to expiry (year)</w:t>
            </w:r>
          </w:p>
        </w:tc>
        <w:tc>
          <w:tcPr>
            <w:tcW w:w="34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40" w:type="dxa"/>
            <w:vAlign w:val="bottom"/>
            <w:tcBorders>
              <w:top w:val="single" w:sz="8" w:color="CCEEFF"/>
            </w:tcBorders>
            <w:shd w:val="clear" w:color="auto" w:fill="CCEEFF"/>
          </w:tcPr>
          <w:p>
            <w:pPr>
              <w:spacing w:after="0"/>
              <w:rPr>
                <w:sz w:val="16"/>
                <w:szCs w:val="16"/>
                <w:color w:val="auto"/>
              </w:rPr>
            </w:pPr>
          </w:p>
        </w:tc>
      </w:tr>
      <w:tr>
        <w:trPr>
          <w:trHeight w:val="202"/>
        </w:trPr>
        <w:tc>
          <w:tcPr>
            <w:tcW w:w="8980" w:type="dxa"/>
            <w:vAlign w:val="bottom"/>
          </w:tcPr>
          <w:p>
            <w:pPr>
              <w:spacing w:after="0"/>
              <w:rPr>
                <w:sz w:val="20"/>
                <w:szCs w:val="20"/>
                <w:color w:val="auto"/>
              </w:rPr>
            </w:pPr>
            <w:r>
              <w:rPr>
                <w:rFonts w:ascii="Times New Roman" w:cs="Times New Roman" w:eastAsia="Times New Roman" w:hAnsi="Times New Roman"/>
                <w:sz w:val="17"/>
                <w:szCs w:val="17"/>
                <w:color w:val="auto"/>
              </w:rPr>
              <w:t>Spot price (pre-recapitalization)</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2,252</w:t>
            </w:r>
          </w:p>
        </w:tc>
      </w:tr>
      <w:tr>
        <w:trPr>
          <w:trHeight w:val="202"/>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3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r>
      <w:tr>
        <w:trPr>
          <w:trHeight w:val="202"/>
        </w:trPr>
        <w:tc>
          <w:tcPr>
            <w:tcW w:w="898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4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202"/>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3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41.33%</w:t>
            </w: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Given the Private Warrants were issued as a replacement on identical terms, no additional valuation or remeasurement was required. No Private Warrants had been exercised during the year ended March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IPO warrants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January 23, 2025, the Company issued Rhino Ventures the warrants identified below in connection with the IPO. The IPO Warrants are classified as an equity instrument on the basis that they do not include contractual obligation to deliver cash to the warrant holder, and the IPO Warrants meet the fixed-for-fixed condition by preserving the relative economic interests of both the warrant holder and the Company’s shareholders. The IPO Warrants were initially recognized at their fair value on the date of issuance and no subsequent remeasurement is required.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Exercise Price</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Duration from</w:t>
            </w:r>
          </w:p>
        </w:tc>
      </w:tr>
      <w:tr>
        <w:trPr>
          <w:trHeight w:val="218"/>
        </w:trPr>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6"/>
              </w:rPr>
              <w:t>Tranche</w:t>
            </w:r>
          </w:p>
        </w:tc>
        <w:tc>
          <w:tcPr>
            <w:tcW w:w="23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Number of Warrants</w:t>
            </w:r>
          </w:p>
        </w:tc>
        <w:tc>
          <w:tcPr>
            <w:tcW w:w="15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(per share)</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7"/>
              </w:rPr>
              <w:t>Expiration Date</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23, 2025</w:t>
            </w:r>
          </w:p>
        </w:tc>
      </w:tr>
      <w:tr>
        <w:trPr>
          <w:trHeight w:val="195"/>
        </w:trPr>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22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w w:val="94"/>
              </w:rPr>
              <w:t>2,250,000</w:t>
            </w:r>
          </w:p>
        </w:tc>
        <w:tc>
          <w:tcPr>
            <w:tcW w:w="34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3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July 23, 2025</w:t>
            </w:r>
          </w:p>
        </w:tc>
        <w:tc>
          <w:tcPr>
            <w:tcW w:w="20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6 months</w:t>
            </w:r>
          </w:p>
        </w:tc>
      </w:tr>
      <w:tr>
        <w:trPr>
          <w:trHeight w:val="202"/>
        </w:trPr>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220" w:type="dxa"/>
            <w:vAlign w:val="bottom"/>
          </w:tcPr>
          <w:p>
            <w:pPr>
              <w:spacing w:after="0"/>
              <w:rPr>
                <w:sz w:val="17"/>
                <w:szCs w:val="17"/>
                <w:color w:val="auto"/>
              </w:rPr>
            </w:pPr>
          </w:p>
        </w:tc>
        <w:tc>
          <w:tcPr>
            <w:tcW w:w="236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2,250,000</w:t>
            </w:r>
          </w:p>
        </w:tc>
        <w:tc>
          <w:tcPr>
            <w:tcW w:w="158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6.15</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9"/>
              </w:rPr>
              <w:t>October 23,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9 months</w:t>
            </w:r>
          </w:p>
        </w:tc>
      </w:tr>
      <w:tr>
        <w:trPr>
          <w:trHeight w:val="202"/>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2,250,000</w:t>
            </w:r>
          </w:p>
        </w:tc>
        <w:tc>
          <w:tcPr>
            <w:tcW w:w="1580" w:type="dxa"/>
            <w:vAlign w:val="bottom"/>
            <w:shd w:val="clear" w:color="auto" w:fill="CCEEFF"/>
          </w:tcPr>
          <w:p>
            <w:pPr>
              <w:jc w:val="right"/>
              <w:ind w:right="139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7.18</w:t>
            </w:r>
          </w:p>
        </w:tc>
        <w:tc>
          <w:tcPr>
            <w:tcW w:w="2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7"/>
              </w:rPr>
              <w:t>January 23, 2026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 months</w:t>
            </w:r>
          </w:p>
        </w:tc>
      </w:tr>
      <w:tr>
        <w:trPr>
          <w:trHeight w:val="202"/>
        </w:trPr>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220" w:type="dxa"/>
            <w:vAlign w:val="bottom"/>
          </w:tcPr>
          <w:p>
            <w:pPr>
              <w:spacing w:after="0"/>
              <w:rPr>
                <w:sz w:val="17"/>
                <w:szCs w:val="17"/>
                <w:color w:val="auto"/>
              </w:rPr>
            </w:pPr>
          </w:p>
        </w:tc>
        <w:tc>
          <w:tcPr>
            <w:tcW w:w="236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2,250,000</w:t>
            </w:r>
          </w:p>
        </w:tc>
        <w:tc>
          <w:tcPr>
            <w:tcW w:w="158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8.20</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April 23, 2026</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 months</w:t>
            </w:r>
          </w:p>
        </w:tc>
      </w:tr>
      <w:tr>
        <w:trPr>
          <w:trHeight w:val="202"/>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2,250,000</w:t>
            </w:r>
          </w:p>
        </w:tc>
        <w:tc>
          <w:tcPr>
            <w:tcW w:w="1580" w:type="dxa"/>
            <w:vAlign w:val="bottom"/>
            <w:shd w:val="clear" w:color="auto" w:fill="CCEEFF"/>
          </w:tcPr>
          <w:p>
            <w:pPr>
              <w:jc w:val="right"/>
              <w:ind w:right="139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10.25</w:t>
            </w:r>
          </w:p>
        </w:tc>
        <w:tc>
          <w:tcPr>
            <w:tcW w:w="22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7"/>
              </w:rPr>
              <w:t>July 23, 2026</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 months</w:t>
            </w:r>
          </w:p>
        </w:tc>
      </w:tr>
      <w:tr>
        <w:trPr>
          <w:trHeight w:val="218"/>
        </w:trPr>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220" w:type="dxa"/>
            <w:vAlign w:val="bottom"/>
          </w:tcPr>
          <w:p>
            <w:pPr>
              <w:spacing w:after="0"/>
              <w:rPr>
                <w:sz w:val="18"/>
                <w:szCs w:val="18"/>
                <w:color w:val="auto"/>
              </w:rPr>
            </w:pPr>
          </w:p>
        </w:tc>
        <w:tc>
          <w:tcPr>
            <w:tcW w:w="236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2,250,000</w:t>
            </w:r>
          </w:p>
        </w:tc>
        <w:tc>
          <w:tcPr>
            <w:tcW w:w="1580" w:type="dxa"/>
            <w:vAlign w:val="bottom"/>
          </w:tcPr>
          <w:p>
            <w:pPr>
              <w:jc w:val="right"/>
              <w:ind w:right="1396"/>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12.30</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7"/>
              </w:rPr>
              <w:t>January 23, 2027</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 months</w:t>
            </w: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3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The binomial option-pricing model was used to determine the fair value of the IPO Warrants, with key inputs and assumptions set out as follow:</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Tranche</w:t>
            </w: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spacing w:after="0"/>
              <w:rPr>
                <w:sz w:val="20"/>
                <w:szCs w:val="20"/>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20"/>
                <w:szCs w:val="20"/>
                <w:color w:val="auto"/>
              </w:rPr>
            </w:pPr>
          </w:p>
        </w:tc>
        <w:tc>
          <w:tcPr>
            <w:tcW w:w="900" w:type="dxa"/>
            <w:vAlign w:val="bottom"/>
            <w:gridSpan w:val="2"/>
          </w:tcPr>
          <w:p>
            <w:pPr>
              <w:jc w:val="right"/>
              <w:ind w:right="276"/>
              <w:spacing w:after="0"/>
              <w:rPr>
                <w:sz w:val="20"/>
                <w:szCs w:val="20"/>
                <w:color w:val="auto"/>
              </w:rPr>
            </w:pPr>
            <w:r>
              <w:rPr>
                <w:rFonts w:ascii="Times New Roman" w:cs="Times New Roman" w:eastAsia="Times New Roman" w:hAnsi="Times New Roman"/>
                <w:sz w:val="17"/>
                <w:szCs w:val="17"/>
                <w:color w:val="auto"/>
              </w:rPr>
              <w:t>3</w:t>
            </w:r>
          </w:p>
        </w:tc>
        <w:tc>
          <w:tcPr>
            <w:tcW w:w="360" w:type="dxa"/>
            <w:vAlign w:val="bottom"/>
          </w:tcPr>
          <w:p>
            <w:pPr>
              <w:spacing w:after="0"/>
              <w:rPr>
                <w:sz w:val="20"/>
                <w:szCs w:val="20"/>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Pr>
          <w:p>
            <w:pPr>
              <w:spacing w:after="0"/>
              <w:rPr>
                <w:sz w:val="20"/>
                <w:szCs w:val="20"/>
                <w:color w:val="auto"/>
              </w:rPr>
            </w:pPr>
          </w:p>
        </w:tc>
        <w:tc>
          <w:tcPr>
            <w:tcW w:w="880" w:type="dxa"/>
            <w:vAlign w:val="bottom"/>
            <w:gridSpan w:val="2"/>
          </w:tcPr>
          <w:p>
            <w:pPr>
              <w:jc w:val="right"/>
              <w:ind w:right="256"/>
              <w:spacing w:after="0"/>
              <w:rPr>
                <w:sz w:val="20"/>
                <w:szCs w:val="20"/>
                <w:color w:val="auto"/>
              </w:rPr>
            </w:pPr>
            <w:r>
              <w:rPr>
                <w:rFonts w:ascii="Times New Roman" w:cs="Times New Roman" w:eastAsia="Times New Roman" w:hAnsi="Times New Roman"/>
                <w:sz w:val="17"/>
                <w:szCs w:val="17"/>
                <w:color w:val="auto"/>
              </w:rPr>
              <w:t>5</w:t>
            </w:r>
          </w:p>
        </w:tc>
        <w:tc>
          <w:tcPr>
            <w:tcW w:w="360" w:type="dxa"/>
            <w:vAlign w:val="bottom"/>
          </w:tcPr>
          <w:p>
            <w:pPr>
              <w:spacing w:after="0"/>
              <w:rPr>
                <w:sz w:val="20"/>
                <w:szCs w:val="20"/>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20"/>
                <w:szCs w:val="20"/>
                <w:color w:val="auto"/>
              </w:rPr>
            </w:pPr>
          </w:p>
        </w:tc>
      </w:tr>
      <w:tr>
        <w:trPr>
          <w:trHeight w:val="195"/>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Time to expiry (year)</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0.50</w:t>
            </w:r>
          </w:p>
        </w:tc>
        <w:tc>
          <w:tcPr>
            <w:tcW w:w="3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w:t>
            </w: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3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Borders>
              <w:top w:val="single" w:sz="8" w:color="CCEEFF"/>
            </w:tcBorders>
            <w:shd w:val="clear" w:color="auto" w:fill="CCEEFF"/>
          </w:tcPr>
          <w:p>
            <w:pPr>
              <w:spacing w:after="0"/>
              <w:rPr>
                <w:sz w:val="16"/>
                <w:szCs w:val="16"/>
                <w:color w:val="auto"/>
              </w:rPr>
            </w:pPr>
          </w:p>
        </w:tc>
      </w:tr>
      <w:tr>
        <w:trPr>
          <w:trHeight w:val="202"/>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Closing Spot price on January 23</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    12.75</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12.75</w:t>
            </w: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    12.75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12.75</w:t>
            </w:r>
          </w:p>
        </w:tc>
        <w:tc>
          <w:tcPr>
            <w:tcW w:w="260" w:type="dxa"/>
            <w:vAlign w:val="bottom"/>
          </w:tcPr>
          <w:p>
            <w:pPr>
              <w:spacing w:after="0"/>
              <w:rPr>
                <w:sz w:val="17"/>
                <w:szCs w:val="17"/>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    12.75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    12.75</w:t>
            </w:r>
          </w:p>
        </w:tc>
      </w:tr>
      <w:tr>
        <w:trPr>
          <w:trHeight w:val="202"/>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4.27%</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4.23%</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4.21%</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r>
      <w:tr>
        <w:trPr>
          <w:trHeight w:val="202"/>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0.00%</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0.00%</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0.00%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0.00%</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202"/>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Volatility</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30.66%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32.79%</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33.25%</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32.83%</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32.81%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IPO warrants had been exercised during the year ended March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21.3 Share option reserve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share option reserve comprises of the fair value of share option awards that have yet to vest.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21.4 Exchange reserve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Exchange reserve comprises all foreign exchange differences arising from the translation of the financial statement of foreign operation. The reserve is dealt with in accordance with the accounting policies set out in note 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21.5 Accumulated losses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Accumulated losses are the cumulative net loss of the Group sustained in the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 DIVIDEND</w:t>
      </w:r>
    </w:p>
    <w:p>
      <w:pPr>
        <w:sectPr>
          <w:pgSz w:w="11900" w:h="16842" w:orient="portrait"/>
          <w:cols w:equalWidth="0" w:num="1">
            <w:col w:w="11240"/>
          </w:cols>
          <w:pgMar w:left="320" w:top="648" w:right="339" w:bottom="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color w:val="auto"/>
        </w:rPr>
        <w:t>No dividends were declared or paid during each of the years ended 31 March 2023, 2024 and 2025.</w:t>
      </w:r>
    </w:p>
    <w:p>
      <w:pPr>
        <w:sectPr>
          <w:pgSz w:w="11900" w:h="16838" w:orient="portrait"/>
          <w:cols w:equalWidth="0" w:num="1">
            <w:col w:w="10139"/>
          </w:cols>
          <w:pgMar w:left="320" w:top="325" w:right="1440" w:bottom="1440" w:gutter="0" w:footer="0" w:header="0"/>
        </w:sectPr>
      </w:pPr>
    </w:p>
    <w:p>
      <w:pPr>
        <w:spacing w:after="0" w:line="2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71412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325" w:right="1440"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color w:val="auto"/>
        </w:rPr>
        <w:t>23 SHARE-BASED PAYMENTS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DSL’s Share Option Award Scheme (the “DSL Scheme”)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of directors of DSL (the “DSL Board”) approved and adopted the DSL Scheme which outlines the grant of share option award (the “DSL Award”) to selected employees and/or consultants of the DSL Group (the “DSL Participant”) to subscribe ordinary shares of DSL (the “DSL Share”). The DSL Board may determine the DSL Participant and grant DSL Shares under the DSL Scheme not exceeding 15% of issued shares in the Company on a fully diluted basis. Purpose of the DSL Scheme is to attract and retain the best available talent for the DSL Group to benefit its business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DSL may grant the DSL Participant an DSL Award consisting in the right to acquire or receive a certain number, or a percentage, of DSL Shares (the “DSL Ownership Stake”) determined in the DSL Scheme (each event being an “DSL Award Grant”). The DSL Award Grant shall vest after thirty-six (36) calendar months of continuous employment with, or service to, DSL or of any of its affiliates (the “DSL Vesting Date”). Unless exercised, the Award will lapse and expire after six (6) calendar months from the Vesting Date (“DSL Long Stop Date”).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number of DSL Shares the DSL Participant is entitled to under an DSL Award Grant shall be determined at the DSL Vesting Date. The vesting of the DSL Award Grant shall confer to the DSL Participant the same shareholding percentage in DSL as the DSL Ownership Stake. Unless determined at the time of the DSL Award Grant, such shareholding shall be calculated based on the total number of DSL Shares issued at the DSL Vesting Date.</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Prior to the DSL Long Stop Date, should DSL give notice of: 1) merger or acquisition or similar event involving change of control of DSL; or 2) listing of its shares on a recognized and regulated stock exchange, all DSL Awards, whether vested or unvested, shall be: 1) (i) automatically exchanged for equivalent options over or in relation to shares in the acquirer entity or listed company; or (ii) cancelled in exchange for, and automatically converted to, shares in the acquiring entity or listed company in equivalent value as the value under the DSL Award Grant, which will be locked-up for a period of 15 months from the date of change of control or listing, respectively, (the “DSL Lock-up Period”) and will be released in three (3) equal instalments over a period of six (6) months following the expiration of such DSL Lock-up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DSL Award Grant shall be forfeited and cancelled if before the DSL Vesting Date: (a) the DSL Participant hands in a notice of resignation; (b) the DSL Participant gives notice of termination of service; or (c) the DSL Participant’s employment or service with DSL is terminated for any reason, unless otherwise determined by the DSL Board in its sole and absolute discretion.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Diginex Limited 2024 Omnibus Incentive Plan (the “Scheme”)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28 July 2024, the board of directors of the Company (the “Board”) approved and adopted the Diginex Limited 2024 Omnibus Incentive Plan (the “Scheme”), which replaced the DSL Scheme, which outlines the grant of share option award (the “Award”) to selected employees and/or consultants of the Group (the “Participant”) to subscribe ordinary shares of the Company (the “Share”). The Board may determine the Participant and grant Shares under the Scheme not exceeding 5,400,000 ordinary shares. Purpose of the Scheme is to attract and retain the best available talent for the Company to benefit its business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may grant the Participant an Award consisting in the right to acquire or receive a certain number, or a percentage, of Shares (the “Ownership Stake”) determined in the Scheme (each event being an “Award Grant”). The exercise price of Shares purchasable under an Award shall be determined at the time of grant, provided that the exercise price per Share for the Shares to be issued pursuant to the exercise of an Award shall be no less than the par value of such Share.</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Awards vest and become exercisable in accordance with the terms and conditions specified in the applicable Award Agreement, which may include the achievement of pre-established performance goals, if applicable. For Awards granted prior to the Company’s listing on the NASDAQ Capital Market or any other stock exchange, vesting occurs on (i) the date(s) specified in the Award Agreement, (ii) after 36 months of continuous employment or service with the Company or its affiliates, or (iii) an earlier date if determined at the discretion of the Board to accelerate the vesting schedule.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Upon termination of employment or service, the treatment of stock options depends on the circumstances of the termination. If the termination occurs for reasons other than cause, retirement, disability, or death, vested options remain exercisable for 90 days following the termination date. This period is extended to one year if the participant passes away during the 90-day period. Unvested options, however, are forfeited immediately upon termination. In all cases, options cannot be exercised beyond their original expiration date. For terminations due to retirement, disability, or death, vested options remain exercisable for one year from the termination date, subject to their original expiration date. Unvested options are forfeited immediately upon termination. If the termination is for cause, all options, whether vested or unvested, are forfeited immediately.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color w:val="auto"/>
        </w:rPr>
        <w:t>Details of the Awards granted during the years ended March 31, 2023, 2024 and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9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8"/>
              </w:rPr>
              <w:t>Number of/% of</w:t>
            </w: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14"/>
        </w:trPr>
        <w:tc>
          <w:tcPr>
            <w:tcW w:w="1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share option</w:t>
            </w:r>
          </w:p>
        </w:tc>
        <w:tc>
          <w:tcPr>
            <w:tcW w:w="1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Fair value per</w:t>
            </w: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Grant dates</w:t>
            </w:r>
          </w:p>
        </w:tc>
        <w:tc>
          <w:tcPr>
            <w:tcW w:w="1360" w:type="dxa"/>
            <w:vAlign w:val="bottom"/>
          </w:tcPr>
          <w:p>
            <w:pPr>
              <w:spacing w:after="0"/>
              <w:rPr>
                <w:sz w:val="18"/>
                <w:szCs w:val="18"/>
                <w:color w:val="auto"/>
              </w:rPr>
            </w:pPr>
          </w:p>
        </w:tc>
        <w:tc>
          <w:tcPr>
            <w:tcW w:w="19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7"/>
              </w:rPr>
              <w:t>award to vest</w:t>
            </w:r>
          </w:p>
        </w:tc>
        <w:tc>
          <w:tcPr>
            <w:tcW w:w="1440" w:type="dxa"/>
            <w:vAlign w:val="bottom"/>
          </w:tcPr>
          <w:p>
            <w:pPr>
              <w:spacing w:after="0"/>
              <w:rPr>
                <w:sz w:val="18"/>
                <w:szCs w:val="18"/>
                <w:color w:val="auto"/>
              </w:rPr>
            </w:pPr>
          </w:p>
        </w:tc>
        <w:tc>
          <w:tcPr>
            <w:tcW w:w="25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Vesting periods</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option at grant date</w:t>
            </w:r>
          </w:p>
        </w:tc>
      </w:tr>
      <w:tr>
        <w:trPr>
          <w:trHeight w:val="207"/>
        </w:trPr>
        <w:tc>
          <w:tcPr>
            <w:tcW w:w="1700" w:type="dxa"/>
            <w:vAlign w:val="bottom"/>
            <w:tcBorders>
              <w:top w:val="single" w:sz="8" w:color="auto"/>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560" w:type="dxa"/>
            <w:vAlign w:val="bottom"/>
            <w:tcBorders>
              <w:top w:val="single" w:sz="8" w:color="auto"/>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center"/>
              <w:ind w:left="356"/>
              <w:spacing w:after="0"/>
              <w:rPr>
                <w:sz w:val="20"/>
                <w:szCs w:val="20"/>
                <w:color w:val="auto"/>
              </w:rPr>
            </w:pPr>
            <w:r>
              <w:rPr>
                <w:rFonts w:ascii="Times New Roman" w:cs="Times New Roman" w:eastAsia="Times New Roman" w:hAnsi="Times New Roman"/>
                <w:sz w:val="17"/>
                <w:szCs w:val="17"/>
                <w:color w:val="auto"/>
                <w:w w:val="97"/>
              </w:rPr>
              <w:t>From</w:t>
            </w:r>
          </w:p>
        </w:tc>
        <w:tc>
          <w:tcPr>
            <w:tcW w:w="4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19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To</w:t>
            </w:r>
          </w:p>
        </w:tc>
        <w:tc>
          <w:tcPr>
            <w:tcW w:w="200" w:type="dxa"/>
            <w:vAlign w:val="bottom"/>
            <w:tcBorders>
              <w:bottom w:val="single" w:sz="8" w:color="CCEEFF"/>
            </w:tcBorders>
          </w:tcPr>
          <w:p>
            <w:pPr>
              <w:spacing w:after="0"/>
              <w:rPr>
                <w:sz w:val="18"/>
                <w:szCs w:val="18"/>
                <w:color w:val="auto"/>
              </w:rPr>
            </w:pPr>
          </w:p>
        </w:tc>
        <w:tc>
          <w:tcPr>
            <w:tcW w:w="2020" w:type="dxa"/>
            <w:vAlign w:val="bottom"/>
            <w:tcBorders>
              <w:top w:val="single" w:sz="8" w:color="auto"/>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USD</w:t>
            </w:r>
          </w:p>
        </w:tc>
      </w:tr>
      <w:tr>
        <w:trPr>
          <w:trHeight w:val="194"/>
        </w:trPr>
        <w:tc>
          <w:tcPr>
            <w:tcW w:w="17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25-Apr-2022</w:t>
            </w:r>
          </w:p>
        </w:tc>
        <w:tc>
          <w:tcPr>
            <w:tcW w:w="1360" w:type="dxa"/>
            <w:vAlign w:val="bottom"/>
            <w:shd w:val="clear" w:color="auto" w:fill="CCEEFF"/>
          </w:tcPr>
          <w:p>
            <w:pPr>
              <w:ind w:left="2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240"/>
              <w:spacing w:after="0" w:line="194" w:lineRule="exact"/>
              <w:rPr>
                <w:sz w:val="20"/>
                <w:szCs w:val="20"/>
                <w:color w:val="auto"/>
              </w:rPr>
            </w:pPr>
            <w:r>
              <w:rPr>
                <w:rFonts w:ascii="Times New Roman" w:cs="Times New Roman" w:eastAsia="Times New Roman" w:hAnsi="Times New Roman"/>
                <w:sz w:val="17"/>
                <w:szCs w:val="17"/>
                <w:color w:val="auto"/>
              </w:rPr>
              <w:t>0.10%</w:t>
            </w:r>
          </w:p>
        </w:tc>
        <w:tc>
          <w:tcPr>
            <w:tcW w:w="1440" w:type="dxa"/>
            <w:vAlign w:val="bottom"/>
            <w:shd w:val="clear" w:color="auto" w:fill="CCEEFF"/>
          </w:tcPr>
          <w:p>
            <w:pPr>
              <w:jc w:val="center"/>
              <w:ind w:left="356"/>
              <w:spacing w:after="0" w:line="194" w:lineRule="exact"/>
              <w:rPr>
                <w:sz w:val="20"/>
                <w:szCs w:val="20"/>
                <w:color w:val="auto"/>
              </w:rPr>
            </w:pPr>
            <w:r>
              <w:rPr>
                <w:rFonts w:ascii="Times New Roman" w:cs="Times New Roman" w:eastAsia="Times New Roman" w:hAnsi="Times New Roman"/>
                <w:sz w:val="17"/>
                <w:szCs w:val="17"/>
                <w:color w:val="auto"/>
                <w:w w:val="99"/>
              </w:rPr>
              <w:t>25-Apr-2022</w:t>
            </w: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7"/>
              </w:rPr>
              <w:t>31-Mar-2023</w:t>
            </w:r>
          </w:p>
        </w:tc>
        <w:tc>
          <w:tcPr>
            <w:tcW w:w="200" w:type="dxa"/>
            <w:vAlign w:val="bottom"/>
            <w:shd w:val="clear" w:color="auto" w:fill="CCEEFF"/>
          </w:tcPr>
          <w:p>
            <w:pPr>
              <w:spacing w:after="0"/>
              <w:rPr>
                <w:sz w:val="16"/>
                <w:szCs w:val="16"/>
                <w:color w:val="auto"/>
              </w:rPr>
            </w:pPr>
          </w:p>
        </w:tc>
        <w:tc>
          <w:tcPr>
            <w:tcW w:w="202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3.924 (recapitalized)</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25-May-2022</w:t>
            </w:r>
          </w:p>
        </w:tc>
        <w:tc>
          <w:tcPr>
            <w:tcW w:w="1360" w:type="dxa"/>
            <w:vAlign w:val="bottom"/>
          </w:tcPr>
          <w:p>
            <w:pPr>
              <w:spacing w:after="0"/>
              <w:rPr>
                <w:sz w:val="17"/>
                <w:szCs w:val="17"/>
                <w:color w:val="auto"/>
              </w:rPr>
            </w:pP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0.10%</w:t>
            </w:r>
          </w:p>
        </w:tc>
        <w:tc>
          <w:tcPr>
            <w:tcW w:w="1440" w:type="dxa"/>
            <w:vAlign w:val="bottom"/>
          </w:tcPr>
          <w:p>
            <w:pPr>
              <w:jc w:val="center"/>
              <w:ind w:left="356"/>
              <w:spacing w:after="0"/>
              <w:rPr>
                <w:sz w:val="20"/>
                <w:szCs w:val="20"/>
                <w:color w:val="auto"/>
              </w:rPr>
            </w:pPr>
            <w:r>
              <w:rPr>
                <w:rFonts w:ascii="Times New Roman" w:cs="Times New Roman" w:eastAsia="Times New Roman" w:hAnsi="Times New Roman"/>
                <w:sz w:val="17"/>
                <w:szCs w:val="17"/>
                <w:color w:val="auto"/>
                <w:w w:val="98"/>
              </w:rPr>
              <w:t>25-May-2022</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5-Nov-2023</w:t>
            </w: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3.924 (recapitalized)</w:t>
            </w: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26-Sep-2022</w:t>
            </w: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1.00%</w:t>
            </w:r>
          </w:p>
        </w:tc>
        <w:tc>
          <w:tcPr>
            <w:tcW w:w="14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w w:val="97"/>
              </w:rPr>
              <w:t>26-Sep-2022</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25-Sep-2025</w:t>
            </w: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4.254 (recapitalized)</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18-Oct-2022</w:t>
            </w:r>
          </w:p>
        </w:tc>
        <w:tc>
          <w:tcPr>
            <w:tcW w:w="1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0.10%</w:t>
            </w:r>
          </w:p>
        </w:tc>
        <w:tc>
          <w:tcPr>
            <w:tcW w:w="14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w w:val="98"/>
              </w:rPr>
              <w:t>18-Oct-2022</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1-Sep-2024</w:t>
            </w: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4.287 (recapitalized)</w:t>
            </w: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23-Nov-2022</w:t>
            </w: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0.20%</w:t>
            </w:r>
          </w:p>
        </w:tc>
        <w:tc>
          <w:tcPr>
            <w:tcW w:w="14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w w:val="98"/>
              </w:rPr>
              <w:t>23-Nov-2022</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1-Jul-2023</w:t>
            </w: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4.354 (recapitalized)</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12-Jan-2023</w:t>
            </w:r>
          </w:p>
        </w:tc>
        <w:tc>
          <w:tcPr>
            <w:tcW w:w="1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0.05%</w:t>
            </w:r>
          </w:p>
        </w:tc>
        <w:tc>
          <w:tcPr>
            <w:tcW w:w="1440" w:type="dxa"/>
            <w:vAlign w:val="bottom"/>
          </w:tcPr>
          <w:p>
            <w:pPr>
              <w:jc w:val="center"/>
              <w:ind w:left="356"/>
              <w:spacing w:after="0"/>
              <w:rPr>
                <w:sz w:val="20"/>
                <w:szCs w:val="20"/>
                <w:color w:val="auto"/>
              </w:rPr>
            </w:pPr>
            <w:r>
              <w:rPr>
                <w:rFonts w:ascii="Times New Roman" w:cs="Times New Roman" w:eastAsia="Times New Roman" w:hAnsi="Times New Roman"/>
                <w:sz w:val="17"/>
                <w:szCs w:val="17"/>
                <w:color w:val="auto"/>
                <w:w w:val="98"/>
              </w:rPr>
              <w:t>12-Jan-2023</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1-Jul-2023</w:t>
            </w: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4.446 (recapitalized)</w:t>
            </w: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1-May-2023</w:t>
            </w: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1.00%</w:t>
            </w:r>
          </w:p>
        </w:tc>
        <w:tc>
          <w:tcPr>
            <w:tcW w:w="1440" w:type="dxa"/>
            <w:vAlign w:val="bottom"/>
            <w:shd w:val="clear" w:color="auto" w:fill="CCEEFF"/>
          </w:tcPr>
          <w:p>
            <w:pPr>
              <w:jc w:val="center"/>
              <w:ind w:left="356"/>
              <w:spacing w:after="0"/>
              <w:rPr>
                <w:sz w:val="20"/>
                <w:szCs w:val="20"/>
                <w:color w:val="auto"/>
              </w:rPr>
            </w:pPr>
            <w:r>
              <w:rPr>
                <w:rFonts w:ascii="Times New Roman" w:cs="Times New Roman" w:eastAsia="Times New Roman" w:hAnsi="Times New Roman"/>
                <w:sz w:val="17"/>
                <w:szCs w:val="17"/>
                <w:color w:val="auto"/>
                <w:w w:val="98"/>
              </w:rPr>
              <w:t>1-May-2023</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30-Apr-2026</w:t>
            </w: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4.321 (recapitalized)</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8-Aug-2023</w:t>
            </w:r>
          </w:p>
        </w:tc>
        <w:tc>
          <w:tcPr>
            <w:tcW w:w="1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2.40%</w:t>
            </w:r>
          </w:p>
        </w:tc>
        <w:tc>
          <w:tcPr>
            <w:tcW w:w="14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w w:val="98"/>
              </w:rPr>
              <w:t>8-Aug-2023</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8-Aug-2023</w:t>
            </w:r>
          </w:p>
        </w:tc>
        <w:tc>
          <w:tcPr>
            <w:tcW w:w="2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3.460 (recapitalized)</w:t>
            </w: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1-Sep-2023</w:t>
            </w:r>
          </w:p>
        </w:tc>
        <w:tc>
          <w:tcPr>
            <w:tcW w:w="1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0.20%</w:t>
            </w:r>
          </w:p>
        </w:tc>
        <w:tc>
          <w:tcPr>
            <w:tcW w:w="14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w w:val="98"/>
              </w:rPr>
              <w:t>1-Sep-2023</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30-Apr-2026</w:t>
            </w:r>
          </w:p>
        </w:tc>
        <w:tc>
          <w:tcPr>
            <w:tcW w:w="2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3.251 (recapitalized)</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31-Jul-2024</w:t>
            </w:r>
          </w:p>
        </w:tc>
        <w:tc>
          <w:tcPr>
            <w:tcW w:w="1360" w:type="dxa"/>
            <w:vAlign w:val="bottom"/>
          </w:tcPr>
          <w:p>
            <w:pPr>
              <w:spacing w:after="0"/>
              <w:rPr>
                <w:sz w:val="17"/>
                <w:szCs w:val="17"/>
                <w:color w:val="auto"/>
              </w:rPr>
            </w:pPr>
          </w:p>
        </w:tc>
        <w:tc>
          <w:tcPr>
            <w:tcW w:w="19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65,426</w:t>
            </w:r>
          </w:p>
        </w:tc>
        <w:tc>
          <w:tcPr>
            <w:tcW w:w="14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w w:val="99"/>
              </w:rPr>
              <w:t>31-Jul-2024</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27-Aug-2026</w:t>
            </w:r>
          </w:p>
        </w:tc>
        <w:tc>
          <w:tcPr>
            <w:tcW w:w="2220" w:type="dxa"/>
            <w:vAlign w:val="bottom"/>
            <w:gridSpan w:val="2"/>
          </w:tcPr>
          <w:p>
            <w:pPr>
              <w:jc w:val="center"/>
              <w:ind w:left="116"/>
              <w:spacing w:after="0"/>
              <w:rPr>
                <w:sz w:val="20"/>
                <w:szCs w:val="20"/>
                <w:color w:val="auto"/>
              </w:rPr>
            </w:pPr>
            <w:r>
              <w:rPr>
                <w:rFonts w:ascii="Times New Roman" w:cs="Times New Roman" w:eastAsia="Times New Roman" w:hAnsi="Times New Roman"/>
                <w:sz w:val="17"/>
                <w:szCs w:val="17"/>
                <w:color w:val="auto"/>
                <w:w w:val="99"/>
              </w:rPr>
              <w:t>2.098</w:t>
            </w:r>
          </w:p>
        </w:tc>
      </w:tr>
      <w:tr>
        <w:trPr>
          <w:trHeight w:val="20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31-Jul-2024</w:t>
            </w:r>
          </w:p>
        </w:tc>
        <w:tc>
          <w:tcPr>
            <w:tcW w:w="13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303,400</w:t>
            </w:r>
          </w:p>
        </w:tc>
        <w:tc>
          <w:tcPr>
            <w:tcW w:w="144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7"/>
                <w:szCs w:val="17"/>
                <w:color w:val="auto"/>
                <w:w w:val="99"/>
              </w:rPr>
              <w:t>31-Jul-2024</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31-Jul-2027</w:t>
            </w:r>
          </w:p>
        </w:tc>
        <w:tc>
          <w:tcPr>
            <w:tcW w:w="2220" w:type="dxa"/>
            <w:vAlign w:val="bottom"/>
            <w:gridSpan w:val="2"/>
            <w:shd w:val="clear" w:color="auto" w:fill="CCEEFF"/>
          </w:tcPr>
          <w:p>
            <w:pPr>
              <w:jc w:val="center"/>
              <w:ind w:left="116"/>
              <w:spacing w:after="0"/>
              <w:rPr>
                <w:sz w:val="20"/>
                <w:szCs w:val="20"/>
                <w:color w:val="auto"/>
              </w:rPr>
            </w:pPr>
            <w:r>
              <w:rPr>
                <w:rFonts w:ascii="Times New Roman" w:cs="Times New Roman" w:eastAsia="Times New Roman" w:hAnsi="Times New Roman"/>
                <w:sz w:val="17"/>
                <w:szCs w:val="17"/>
                <w:color w:val="auto"/>
                <w:w w:val="99"/>
              </w:rPr>
              <w:t>2.098</w:t>
            </w:r>
          </w:p>
        </w:tc>
      </w:tr>
      <w:tr>
        <w:trPr>
          <w:trHeight w:val="218"/>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21-Aug-2024</w:t>
            </w:r>
          </w:p>
        </w:tc>
        <w:tc>
          <w:tcPr>
            <w:tcW w:w="1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0.50%</w:t>
            </w:r>
          </w:p>
        </w:tc>
        <w:tc>
          <w:tcPr>
            <w:tcW w:w="1440" w:type="dxa"/>
            <w:vAlign w:val="bottom"/>
          </w:tcPr>
          <w:p>
            <w:pPr>
              <w:jc w:val="center"/>
              <w:ind w:left="376"/>
              <w:spacing w:after="0"/>
              <w:rPr>
                <w:sz w:val="20"/>
                <w:szCs w:val="20"/>
                <w:color w:val="auto"/>
              </w:rPr>
            </w:pPr>
            <w:r>
              <w:rPr>
                <w:rFonts w:ascii="Times New Roman" w:cs="Times New Roman" w:eastAsia="Times New Roman" w:hAnsi="Times New Roman"/>
                <w:sz w:val="17"/>
                <w:szCs w:val="17"/>
                <w:color w:val="auto"/>
                <w:w w:val="98"/>
              </w:rPr>
              <w:t>21-Aug-2024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30-Apr-2026</w:t>
            </w:r>
          </w:p>
        </w:tc>
        <w:tc>
          <w:tcPr>
            <w:tcW w:w="2220" w:type="dxa"/>
            <w:vAlign w:val="bottom"/>
            <w:gridSpan w:val="2"/>
          </w:tcPr>
          <w:p>
            <w:pPr>
              <w:jc w:val="center"/>
              <w:ind w:left="116"/>
              <w:spacing w:after="0"/>
              <w:rPr>
                <w:sz w:val="20"/>
                <w:szCs w:val="20"/>
                <w:color w:val="auto"/>
              </w:rPr>
            </w:pPr>
            <w:r>
              <w:rPr>
                <w:rFonts w:ascii="Times New Roman" w:cs="Times New Roman" w:eastAsia="Times New Roman" w:hAnsi="Times New Roman"/>
                <w:sz w:val="17"/>
                <w:szCs w:val="17"/>
                <w:color w:val="auto"/>
                <w:w w:val="99"/>
              </w:rPr>
              <w:t>2.098</w:t>
            </w:r>
          </w:p>
        </w:tc>
      </w:tr>
    </w:tbl>
    <w:p>
      <w:pPr>
        <w:spacing w:after="0" w:line="169" w:lineRule="exact"/>
        <w:rPr>
          <w:sz w:val="20"/>
          <w:szCs w:val="20"/>
          <w:color w:val="auto"/>
        </w:rPr>
      </w:pPr>
    </w:p>
    <w:p>
      <w:pPr>
        <w:ind w:left="660" w:hanging="609"/>
        <w:spacing w:after="0"/>
        <w:tabs>
          <w:tab w:leader="none" w:pos="66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of the DSL Awards as of 25 April 2022 and 26 September 2022 is approximated to that as of 1 April 2022 and 30 September 2022, respectively.</w:t>
      </w:r>
    </w:p>
    <w:p>
      <w:pPr>
        <w:spacing w:after="0" w:line="208" w:lineRule="exact"/>
        <w:rPr>
          <w:sz w:val="20"/>
          <w:szCs w:val="20"/>
          <w:color w:val="auto"/>
        </w:rPr>
      </w:pPr>
    </w:p>
    <w:p>
      <w:pPr>
        <w:ind w:left="660" w:hanging="609"/>
        <w:spacing w:after="0" w:line="274" w:lineRule="auto"/>
        <w:tabs>
          <w:tab w:leader="none" w:pos="66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values of the DSL Awards as of 18 October 2022, 23 November 2022 and 12 January 2023 are determined using interpolation method between the fair values determined on 30 September 2022 and 31 March 2023.</w:t>
      </w:r>
    </w:p>
    <w:p>
      <w:pPr>
        <w:spacing w:after="0" w:line="158" w:lineRule="exact"/>
        <w:rPr>
          <w:rFonts w:ascii="Times New Roman" w:cs="Times New Roman" w:eastAsia="Times New Roman" w:hAnsi="Times New Roman"/>
          <w:sz w:val="17"/>
          <w:szCs w:val="17"/>
          <w:color w:val="auto"/>
        </w:rPr>
      </w:pPr>
    </w:p>
    <w:p>
      <w:pPr>
        <w:ind w:left="660" w:hanging="609"/>
        <w:spacing w:after="0" w:line="274" w:lineRule="auto"/>
        <w:tabs>
          <w:tab w:leader="none" w:pos="66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values of the DSL Awards as of 1 May 2023, 8 August 2023 and 1 September 2023 are determined using the interpolation method between the fair values determined on 31 March 2023 and 30 September 2023.</w:t>
      </w:r>
    </w:p>
    <w:p>
      <w:pPr>
        <w:spacing w:after="0" w:line="158" w:lineRule="exact"/>
        <w:rPr>
          <w:rFonts w:ascii="Times New Roman" w:cs="Times New Roman" w:eastAsia="Times New Roman" w:hAnsi="Times New Roman"/>
          <w:sz w:val="17"/>
          <w:szCs w:val="17"/>
          <w:color w:val="auto"/>
        </w:rPr>
      </w:pPr>
    </w:p>
    <w:p>
      <w:pPr>
        <w:ind w:left="660" w:hanging="609"/>
        <w:spacing w:after="0"/>
        <w:tabs>
          <w:tab w:leader="none" w:pos="66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of the Awards as of 21 August 2024 is with reference to the fair values determined on 31 July 2024.</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Number of shares options. Re-capitalization takes into account the impact of the share exchange between the Company and DSL at a ratio of 410:1 and the subsequent share subdivision on the Company at a ratio of 2:1:</w:t>
      </w:r>
    </w:p>
    <w:p>
      <w:pPr>
        <w:sectPr>
          <w:pgSz w:w="11900" w:h="16838" w:orient="portrait"/>
          <w:cols w:equalWidth="0" w:num="1">
            <w:col w:w="11240"/>
          </w:cols>
          <w:pgMar w:left="320" w:top="653" w:right="339" w:bottom="0" w:gutter="0" w:footer="0" w:header="0"/>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1 April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135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31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52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31 March 2023 recapitalized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1210" cy="144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49" w:lineRule="exact"/>
        <w:rPr>
          <w:sz w:val="20"/>
          <w:szCs w:val="20"/>
          <w:color w:val="auto"/>
        </w:rPr>
      </w:pPr>
    </w:p>
    <w:p>
      <w:pPr>
        <w:ind w:left="100" w:hanging="99"/>
        <w:spacing w:after="0"/>
        <w:tabs>
          <w:tab w:leader="none" w:pos="10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weighted average exercise price</w:t>
      </w:r>
    </w:p>
    <w:p>
      <w:pPr>
        <w:spacing w:after="0" w:line="22" w:lineRule="exact"/>
        <w:rPr>
          <w:rFonts w:ascii="Times New Roman" w:cs="Times New Roman" w:eastAsia="Times New Roman" w:hAnsi="Times New Roman"/>
          <w:sz w:val="17"/>
          <w:szCs w:val="17"/>
          <w:color w:val="auto"/>
        </w:rPr>
      </w:pPr>
    </w:p>
    <w:p>
      <w:pPr>
        <w:ind w:left="100" w:hanging="99"/>
        <w:spacing w:after="0"/>
        <w:tabs>
          <w:tab w:leader="none" w:pos="10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 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1282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1 April 2023, based on number of DSL’s shares-in-issue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Exercised (note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31 March 2024, based on number of DSL’s shares-in-issue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7141210" cy="152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31 March 2024 recapitalized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1210" cy="144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49" w:lineRule="exact"/>
        <w:rPr>
          <w:sz w:val="20"/>
          <w:szCs w:val="20"/>
          <w:color w:val="auto"/>
        </w:rPr>
      </w:pPr>
    </w:p>
    <w:p>
      <w:pPr>
        <w:ind w:left="100" w:hanging="99"/>
        <w:spacing w:after="0"/>
        <w:tabs>
          <w:tab w:leader="none" w:pos="1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weighted average exercise price</w:t>
      </w:r>
    </w:p>
    <w:p>
      <w:pPr>
        <w:spacing w:after="0" w:line="22" w:lineRule="exact"/>
        <w:rPr>
          <w:rFonts w:ascii="Times New Roman" w:cs="Times New Roman" w:eastAsia="Times New Roman" w:hAnsi="Times New Roman"/>
          <w:sz w:val="17"/>
          <w:szCs w:val="17"/>
          <w:color w:val="auto"/>
        </w:rPr>
      </w:pPr>
    </w:p>
    <w:p>
      <w:pPr>
        <w:ind w:left="100" w:hanging="99"/>
        <w:spacing w:after="0"/>
        <w:tabs>
          <w:tab w:leader="none" w:pos="10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 options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1282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1 April 2024, based on number of DSL’s shares-in-issue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Exercised (note b)</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Pre-recapitalized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35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Post-recapitalized balance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Exercised (note 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35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Number of</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0" w:type="dxa"/>
            <w:vAlign w:val="bottom"/>
          </w:tcPr>
          <w:p>
            <w:pPr>
              <w:spacing w:after="0"/>
              <w:rPr>
                <w:sz w:val="17"/>
                <w:szCs w:val="17"/>
                <w:color w:val="auto"/>
              </w:rPr>
            </w:pPr>
          </w:p>
        </w:tc>
        <w:tc>
          <w:tcPr>
            <w:tcW w:w="15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color w:val="auto"/>
              </w:rPr>
              <w:t>share options</w:t>
            </w:r>
          </w:p>
        </w:tc>
        <w:tc>
          <w:tcPr>
            <w:tcW w:w="0" w:type="dxa"/>
            <w:vAlign w:val="bottom"/>
          </w:tcPr>
          <w:p>
            <w:pPr>
              <w:spacing w:after="0"/>
              <w:rPr>
                <w:sz w:val="1"/>
                <w:szCs w:val="1"/>
                <w:color w:val="auto"/>
              </w:rPr>
            </w:pPr>
          </w:p>
        </w:tc>
      </w:tr>
      <w:tr>
        <w:trPr>
          <w:trHeight w:val="190"/>
        </w:trPr>
        <w:tc>
          <w:tcPr>
            <w:tcW w:w="6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right"/>
              <w:ind w:right="40"/>
              <w:spacing w:after="0" w:line="190" w:lineRule="exact"/>
              <w:rPr>
                <w:sz w:val="20"/>
                <w:szCs w:val="20"/>
                <w:color w:val="auto"/>
              </w:rPr>
            </w:pPr>
            <w:r>
              <w:rPr>
                <w:rFonts w:ascii="Times New Roman" w:cs="Times New Roman" w:eastAsia="Times New Roman" w:hAnsi="Times New Roman"/>
                <w:sz w:val="17"/>
                <w:szCs w:val="17"/>
                <w:color w:val="auto"/>
              </w:rPr>
              <w:t>1,404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1,266,900</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 w:type="dxa"/>
            <w:vAlign w:val="bottom"/>
          </w:tcPr>
          <w:p>
            <w:pPr>
              <w:jc w:val="right"/>
              <w:ind w:right="516"/>
              <w:spacing w:after="0" w:line="16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0"/>
              <w:spacing w:after="0" w:line="163" w:lineRule="exact"/>
              <w:rPr>
                <w:sz w:val="20"/>
                <w:szCs w:val="20"/>
                <w:color w:val="auto"/>
              </w:rPr>
            </w:pPr>
            <w:r>
              <w:rPr>
                <w:rFonts w:ascii="Times New Roman" w:cs="Times New Roman" w:eastAsia="Times New Roman" w:hAnsi="Times New Roman"/>
                <w:sz w:val="17"/>
                <w:szCs w:val="17"/>
                <w:color w:val="auto"/>
              </w:rPr>
              <w:t>Nil</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680" w:type="dxa"/>
            <w:vAlign w:val="bottom"/>
          </w:tcPr>
          <w:p>
            <w:pPr>
              <w:spacing w:after="0"/>
              <w:rPr>
                <w:sz w:val="24"/>
                <w:szCs w:val="24"/>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1,545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68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7"/>
        </w:trPr>
        <w:tc>
          <w:tcPr>
            <w:tcW w:w="6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1,890</w:t>
            </w: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1,549,800</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0" w:type="dxa"/>
            <w:vAlign w:val="bottom"/>
          </w:tcPr>
          <w:p>
            <w:pPr>
              <w:jc w:val="right"/>
              <w:ind w:right="516"/>
              <w:spacing w:after="0" w:line="163"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0"/>
              <w:spacing w:after="0" w:line="163" w:lineRule="exact"/>
              <w:rPr>
                <w:sz w:val="20"/>
                <w:szCs w:val="20"/>
                <w:color w:val="auto"/>
              </w:rPr>
            </w:pPr>
            <w:r>
              <w:rPr>
                <w:rFonts w:ascii="Times New Roman" w:cs="Times New Roman" w:eastAsia="Times New Roman" w:hAnsi="Times New Roman"/>
                <w:sz w:val="17"/>
                <w:szCs w:val="17"/>
                <w:color w:val="auto"/>
              </w:rPr>
              <w:t>Nil</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1,380,060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1,890</w:t>
      </w:r>
    </w:p>
    <w:p>
      <w:pPr>
        <w:spacing w:after="0" w:line="2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69</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(44)</w:t>
      </w:r>
    </w:p>
    <w:p>
      <w:pPr>
        <w:spacing w:after="0" w:line="1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1,915</w:t>
      </w:r>
    </w:p>
    <w:p>
      <w:pPr>
        <w:spacing w:after="0" w:line="1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1,570,219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13608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1600"/>
        <w:spacing w:after="0"/>
        <w:rPr>
          <w:sz w:val="20"/>
          <w:szCs w:val="20"/>
          <w:color w:val="auto"/>
        </w:rPr>
      </w:pPr>
      <w:r>
        <w:rPr>
          <w:rFonts w:ascii="Times New Roman" w:cs="Times New Roman" w:eastAsia="Times New Roman" w:hAnsi="Times New Roman"/>
          <w:sz w:val="17"/>
          <w:szCs w:val="17"/>
          <w:color w:val="auto"/>
        </w:rPr>
        <w:t>566,119</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(1,003,680)</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(352,600)</w:t>
      </w:r>
    </w:p>
    <w:p>
      <w:pPr>
        <w:spacing w:after="0" w:line="31" w:lineRule="exact"/>
        <w:rPr>
          <w:sz w:val="20"/>
          <w:szCs w:val="20"/>
          <w:color w:val="auto"/>
        </w:rPr>
      </w:pPr>
    </w:p>
    <w:p>
      <w:pPr>
        <w:sectPr>
          <w:pgSz w:w="11900" w:h="16838" w:orient="portrait"/>
          <w:cols w:equalWidth="0" w:num="2">
            <w:col w:w="8280" w:space="720"/>
            <w:col w:w="2240"/>
          </w:cols>
          <w:pgMar w:left="320" w:top="653" w:right="339" w:bottom="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9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 31 March 2025, based on number of Diginex Limited’s shares-in-issue</w:t>
            </w:r>
          </w:p>
        </w:tc>
        <w:tc>
          <w:tcPr>
            <w:tcW w:w="8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780,058</w:t>
            </w:r>
          </w:p>
        </w:tc>
        <w:tc>
          <w:tcPr>
            <w:tcW w:w="80" w:type="dxa"/>
            <w:vAlign w:val="bottom"/>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8980" w:type="dxa"/>
            <w:vAlign w:val="bottom"/>
            <w:tcBorders>
              <w:top w:val="single" w:sz="8" w:color="CCEEFF"/>
              <w:bottom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 weighted average exercise price</w:t>
            </w:r>
          </w:p>
        </w:tc>
        <w:tc>
          <w:tcPr>
            <w:tcW w:w="840" w:type="dxa"/>
            <w:vAlign w:val="bottom"/>
            <w:tcBorders>
              <w:top w:val="single" w:sz="8" w:color="auto"/>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0.00005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Times New Roman" w:cs="Times New Roman" w:eastAsia="Times New Roman" w:hAnsi="Times New Roman"/>
                <w:sz w:val="17"/>
                <w:szCs w:val="17"/>
                <w:color w:val="auto"/>
              </w:rPr>
              <w:t>‘- number of share options exercisable</w:t>
            </w: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17,345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hanging="599"/>
        <w:spacing w:after="0"/>
        <w:tabs>
          <w:tab w:leader="none" w:pos="6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share price at the exercise date is $2.998 (recapitalized).</w:t>
      </w:r>
    </w:p>
    <w:p>
      <w:pPr>
        <w:spacing w:after="0" w:line="207"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share price at the exercise date is $2.746 (recapitalized).</w:t>
      </w:r>
    </w:p>
    <w:p>
      <w:pPr>
        <w:spacing w:after="0" w:line="207"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share price at the exercise date is $2.098.</w:t>
      </w:r>
    </w:p>
    <w:p>
      <w:pPr>
        <w:spacing w:after="0" w:line="207" w:lineRule="exact"/>
        <w:rPr>
          <w:rFonts w:ascii="Times New Roman" w:cs="Times New Roman" w:eastAsia="Times New Roman" w:hAnsi="Times New Roman"/>
          <w:sz w:val="17"/>
          <w:szCs w:val="17"/>
          <w:color w:val="auto"/>
        </w:rPr>
      </w:pPr>
    </w:p>
    <w:p>
      <w:pPr>
        <w:ind w:right="300" w:firstLine="1"/>
        <w:spacing w:after="0" w:line="503" w:lineRule="auto"/>
        <w:tabs>
          <w:tab w:leader="none" w:pos="60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 average remaining contractual life of the outstanding share options is 2.57 years as of March 31, 2025 (2024: 0.63 years; 2023: 1.02 years). Movement of share option reserve:</w:t>
      </w:r>
    </w:p>
    <w:tbl>
      <w:tblPr>
        <w:tblLayout w:type="fixed"/>
        <w:tblInd w:w="0" w:type="dxa"/>
        <w:tblCellMar>
          <w:top w:w="0" w:type="dxa"/>
          <w:left w:w="0" w:type="dxa"/>
          <w:bottom w:w="0" w:type="dxa"/>
          <w:right w:w="0" w:type="dxa"/>
        </w:tblCellMar>
      </w:tblPr>
      <w:tr>
        <w:trPr>
          <w:trHeight w:val="218"/>
        </w:trPr>
        <w:tc>
          <w:tcPr>
            <w:tcW w:w="9000" w:type="dxa"/>
            <w:vAlign w:val="bottom"/>
          </w:tcPr>
          <w:p>
            <w:pPr>
              <w:spacing w:after="0"/>
              <w:rPr>
                <w:sz w:val="18"/>
                <w:szCs w:val="18"/>
                <w:color w:val="auto"/>
              </w:rPr>
            </w:pPr>
          </w:p>
        </w:tc>
        <w:tc>
          <w:tcPr>
            <w:tcW w:w="22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Share option reserve</w:t>
            </w:r>
          </w:p>
        </w:tc>
      </w:tr>
      <w:tr>
        <w:trPr>
          <w:trHeight w:val="195"/>
        </w:trPr>
        <w:tc>
          <w:tcPr>
            <w:tcW w:w="9000" w:type="dxa"/>
            <w:vAlign w:val="bottom"/>
          </w:tcPr>
          <w:p>
            <w:pPr>
              <w:spacing w:after="0"/>
              <w:rPr>
                <w:sz w:val="16"/>
                <w:szCs w:val="16"/>
                <w:color w:val="auto"/>
              </w:rPr>
            </w:pP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r>
      <w:tr>
        <w:trPr>
          <w:trHeight w:val="20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April 2022</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499,808</w:t>
            </w:r>
          </w:p>
        </w:tc>
        <w:tc>
          <w:tcPr>
            <w:tcW w:w="100" w:type="dxa"/>
            <w:vAlign w:val="bottom"/>
            <w:shd w:val="clear" w:color="auto" w:fill="CCEEFF"/>
          </w:tcPr>
          <w:p>
            <w:pPr>
              <w:spacing w:after="0"/>
              <w:rPr>
                <w:sz w:val="17"/>
                <w:szCs w:val="17"/>
                <w:color w:val="auto"/>
              </w:rPr>
            </w:pPr>
          </w:p>
        </w:tc>
      </w:tr>
      <w:tr>
        <w:trPr>
          <w:trHeight w:val="214"/>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Additions</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584,462</w:t>
            </w:r>
          </w:p>
        </w:tc>
        <w:tc>
          <w:tcPr>
            <w:tcW w:w="100" w:type="dxa"/>
            <w:vAlign w:val="bottom"/>
            <w:tcBorders>
              <w:bottom w:val="single" w:sz="8" w:color="CCEEFF"/>
            </w:tcBorders>
          </w:tcPr>
          <w:p>
            <w:pPr>
              <w:spacing w:after="0"/>
              <w:rPr>
                <w:sz w:val="18"/>
                <w:szCs w:val="18"/>
                <w:color w:val="auto"/>
              </w:rPr>
            </w:pPr>
          </w:p>
        </w:tc>
      </w:tr>
      <w:tr>
        <w:trPr>
          <w:trHeight w:val="194"/>
        </w:trPr>
        <w:tc>
          <w:tcPr>
            <w:tcW w:w="9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At 31 March 2023</w:t>
            </w:r>
          </w:p>
        </w:tc>
        <w:tc>
          <w:tcPr>
            <w:tcW w:w="21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1,084,270</w:t>
            </w:r>
          </w:p>
        </w:tc>
        <w:tc>
          <w:tcPr>
            <w:tcW w:w="100" w:type="dxa"/>
            <w:vAlign w:val="bottom"/>
            <w:shd w:val="clear" w:color="auto" w:fill="CCEEFF"/>
          </w:tcPr>
          <w:p>
            <w:pPr>
              <w:spacing w:after="0"/>
              <w:rPr>
                <w:sz w:val="16"/>
                <w:szCs w:val="16"/>
                <w:color w:val="auto"/>
              </w:rPr>
            </w:pPr>
          </w:p>
        </w:tc>
      </w:tr>
    </w:tbl>
    <w:p>
      <w:pPr>
        <w:sectPr>
          <w:pgSz w:w="11900" w:h="16838" w:orient="portrait"/>
          <w:cols w:equalWidth="0" w:num="1">
            <w:col w:w="11240"/>
          </w:cols>
          <w:pgMar w:left="320" w:top="653" w:right="339" w:bottom="0" w:gutter="0" w:footer="0" w:header="0"/>
          <w:type w:val="continuous"/>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1,352,787</w:t>
            </w:r>
          </w:p>
        </w:tc>
        <w:tc>
          <w:tcPr>
            <w:tcW w:w="100" w:type="dxa"/>
            <w:vAlign w:val="bottom"/>
          </w:tcPr>
          <w:p>
            <w:pPr>
              <w:spacing w:after="0"/>
              <w:rPr>
                <w:sz w:val="18"/>
                <w:szCs w:val="18"/>
                <w:color w:val="auto"/>
              </w:rPr>
            </w:pPr>
          </w:p>
        </w:tc>
      </w:tr>
      <w:tr>
        <w:trPr>
          <w:trHeight w:val="21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2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(27,368)</w:t>
            </w:r>
          </w:p>
        </w:tc>
      </w:tr>
      <w:tr>
        <w:trPr>
          <w:trHeight w:val="194"/>
        </w:trPr>
        <w:tc>
          <w:tcPr>
            <w:tcW w:w="90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At 31 March 2024</w:t>
            </w:r>
          </w:p>
        </w:tc>
        <w:tc>
          <w:tcPr>
            <w:tcW w:w="21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2,409,689</w:t>
            </w:r>
          </w:p>
        </w:tc>
        <w:tc>
          <w:tcPr>
            <w:tcW w:w="100" w:type="dxa"/>
            <w:vAlign w:val="bottom"/>
          </w:tcPr>
          <w:p>
            <w:pPr>
              <w:spacing w:after="0"/>
              <w:rPr>
                <w:sz w:val="16"/>
                <w:szCs w:val="16"/>
                <w:color w:val="auto"/>
              </w:rPr>
            </w:pPr>
          </w:p>
        </w:tc>
      </w:tr>
      <w:tr>
        <w:trPr>
          <w:trHeight w:val="20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2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859,685</w:t>
            </w:r>
          </w:p>
        </w:tc>
      </w:tr>
      <w:tr>
        <w:trPr>
          <w:trHeight w:val="20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(1,796,029)</w:t>
            </w:r>
          </w:p>
        </w:tc>
      </w:tr>
      <w:tr>
        <w:trPr>
          <w:trHeight w:val="214"/>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Expired</w:t>
            </w:r>
          </w:p>
        </w:tc>
        <w:tc>
          <w:tcPr>
            <w:tcW w:w="2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(397,000)</w:t>
            </w:r>
          </w:p>
        </w:tc>
      </w:tr>
      <w:tr>
        <w:trPr>
          <w:trHeight w:val="207"/>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At 31 March 2025</w:t>
            </w: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1,076,345</w:t>
            </w:r>
          </w:p>
        </w:tc>
        <w:tc>
          <w:tcPr>
            <w:tcW w:w="100" w:type="dxa"/>
            <w:vAlign w:val="bottom"/>
          </w:tcPr>
          <w:p>
            <w:pPr>
              <w:spacing w:after="0"/>
              <w:rPr>
                <w:sz w:val="17"/>
                <w:szCs w:val="17"/>
                <w:color w:val="auto"/>
              </w:rPr>
            </w:pPr>
          </w:p>
        </w:tc>
      </w:tr>
      <w:tr>
        <w:trPr>
          <w:trHeight w:val="20"/>
        </w:trPr>
        <w:tc>
          <w:tcPr>
            <w:tcW w:w="90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fair value of the Awards granted is estimated at the grant date using the discounted cash flow (“DCF”) and equity allocation model (“EAM”). The following table lists the inputs to those models at respective grant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Lack of</w:t>
            </w: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Terminal growth</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marketability</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Lack of control</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Dates of fair value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Valuation approach</w:t>
            </w:r>
          </w:p>
        </w:tc>
        <w:tc>
          <w:tcPr>
            <w:tcW w:w="22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Discount rate</w:t>
            </w: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rate</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discount</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discount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Volatility</w:t>
            </w: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1-Apr-2022</w:t>
            </w:r>
          </w:p>
        </w:tc>
        <w:tc>
          <w:tcPr>
            <w:tcW w:w="220" w:type="dxa"/>
            <w:vAlign w:val="bottom"/>
            <w:vMerge w:val="continue"/>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DCF &amp; EAM</w:t>
            </w:r>
          </w:p>
        </w:tc>
        <w:tc>
          <w:tcPr>
            <w:tcW w:w="220" w:type="dxa"/>
            <w:vAlign w:val="bottom"/>
            <w:vMerge w:val="continue"/>
            <w:shd w:val="clear" w:color="auto" w:fill="CCEEFF"/>
          </w:tcPr>
          <w:p>
            <w:pPr>
              <w:spacing w:after="0"/>
              <w:rPr>
                <w:sz w:val="16"/>
                <w:szCs w:val="16"/>
                <w:color w:val="auto"/>
              </w:rPr>
            </w:pP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41.16%</w:t>
            </w:r>
          </w:p>
        </w:tc>
        <w:tc>
          <w:tcPr>
            <w:tcW w:w="0" w:type="dxa"/>
            <w:vAlign w:val="bottom"/>
          </w:tcPr>
          <w:p>
            <w:pPr>
              <w:spacing w:after="0"/>
              <w:rPr>
                <w:sz w:val="1"/>
                <w:szCs w:val="1"/>
                <w:color w:val="auto"/>
              </w:rPr>
            </w:pPr>
          </w:p>
        </w:tc>
      </w:tr>
      <w:tr>
        <w:trPr>
          <w:trHeight w:val="202"/>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25-May-2022</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DCF &amp; EAM</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41.16%</w:t>
            </w:r>
          </w:p>
        </w:tc>
        <w:tc>
          <w:tcPr>
            <w:tcW w:w="0" w:type="dxa"/>
            <w:vAlign w:val="bottom"/>
          </w:tcPr>
          <w:p>
            <w:pPr>
              <w:spacing w:after="0"/>
              <w:rPr>
                <w:sz w:val="1"/>
                <w:szCs w:val="1"/>
                <w:color w:val="auto"/>
              </w:rPr>
            </w:pPr>
          </w:p>
        </w:tc>
      </w:tr>
      <w:tr>
        <w:trPr>
          <w:trHeight w:val="202"/>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30-Sep-2022</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DCF &amp; EAM</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17%</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44.16%</w:t>
            </w:r>
          </w:p>
        </w:tc>
        <w:tc>
          <w:tcPr>
            <w:tcW w:w="0" w:type="dxa"/>
            <w:vAlign w:val="bottom"/>
          </w:tcPr>
          <w:p>
            <w:pPr>
              <w:spacing w:after="0"/>
              <w:rPr>
                <w:sz w:val="1"/>
                <w:szCs w:val="1"/>
                <w:color w:val="auto"/>
              </w:rPr>
            </w:pPr>
          </w:p>
        </w:tc>
      </w:tr>
      <w:tr>
        <w:trPr>
          <w:trHeight w:val="202"/>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31-Mar-2023</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DCF &amp; EAM</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17%</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46.62%</w:t>
            </w:r>
          </w:p>
        </w:tc>
        <w:tc>
          <w:tcPr>
            <w:tcW w:w="0" w:type="dxa"/>
            <w:vAlign w:val="bottom"/>
          </w:tcPr>
          <w:p>
            <w:pPr>
              <w:spacing w:after="0"/>
              <w:rPr>
                <w:sz w:val="1"/>
                <w:szCs w:val="1"/>
                <w:color w:val="auto"/>
              </w:rPr>
            </w:pPr>
          </w:p>
        </w:tc>
      </w:tr>
      <w:tr>
        <w:trPr>
          <w:trHeight w:val="202"/>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30-Sep-2023</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DCF &amp; EAM</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w:t>
            </w: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42.41%</w:t>
            </w:r>
          </w:p>
        </w:tc>
        <w:tc>
          <w:tcPr>
            <w:tcW w:w="0" w:type="dxa"/>
            <w:vAlign w:val="bottom"/>
          </w:tcPr>
          <w:p>
            <w:pPr>
              <w:spacing w:after="0"/>
              <w:rPr>
                <w:sz w:val="1"/>
                <w:szCs w:val="1"/>
                <w:color w:val="auto"/>
              </w:rPr>
            </w:pPr>
          </w:p>
        </w:tc>
      </w:tr>
      <w:tr>
        <w:trPr>
          <w:trHeight w:val="218"/>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31-Jul-2024</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DCF &amp; EAM</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38.16%</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equity value at 100% basis is determined using DCF method based on the estimates of cash flows as of the grant date discounted using an appropriate discount rate, having considered relevant risk factors. Volatility is determined based on the average annualized standard deviation of the historical stock prices of listed comparable companies.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color w:val="auto"/>
        </w:rPr>
        <w:t>24 RECONCILIATION OF LIABILITIES ARISING FROM FINANCING ACTIVITIES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table below details changes in the Group’s liabilities arising from financing activities, including both cash and non-cash changes. Liabilities arising from financing activities are those for which cash flows were, or future cash flows will be, classified in the Group’s consolidated statement of cash flows as cash flows from financing activities.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Amount</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due to</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Amount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Loan from</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immediate</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due to</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immediate</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w w:val="97"/>
              </w:rPr>
              <w:t>Loan from a</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Preferred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Convertible</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holding</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a related</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holding</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related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shares</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loan notes</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company</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company</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company</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company</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w:t>
            </w:r>
          </w:p>
        </w:tc>
        <w:tc>
          <w:tcPr>
            <w:tcW w:w="3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w:t>
            </w:r>
          </w:p>
        </w:tc>
        <w:tc>
          <w:tcPr>
            <w:tcW w:w="28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April 2022</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11,619,000</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506</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11,619,506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Financing cash flows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3,250,000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600,000</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2,250,000</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1,000,000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7,100,000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Repayments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(600,000)</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80,822</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78,926</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60,712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220,460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Fair value adjustments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1,841,000</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19,000</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31 March 2023</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13,460,000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3,349,822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2,328,926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1,060,712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20,199,966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April 1, 2023</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13,460,000</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3,349,822</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506</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2,328,926</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1,060,712</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20,199,966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Financing cash flows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100,000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5,345,423</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564,483</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6,009,906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(1,150,000)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(1,150,000)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transaction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34,579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34,579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266,520</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187,584</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80,219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534,323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value/other adjustments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(4,101,000)</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374,000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(3,727,000)</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At March 31, 2024</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9,359,000</w:t>
            </w:r>
          </w:p>
        </w:tc>
        <w:tc>
          <w:tcPr>
            <w:tcW w:w="28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4,090,342</w:t>
            </w:r>
          </w:p>
        </w:tc>
        <w:tc>
          <w:tcPr>
            <w:tcW w:w="30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5,345,929</w:t>
            </w:r>
          </w:p>
        </w:tc>
        <w:tc>
          <w:tcPr>
            <w:tcW w:w="30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34,579</w:t>
            </w:r>
          </w:p>
        </w:tc>
        <w:tc>
          <w:tcPr>
            <w:tcW w:w="28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1,930,993</w:t>
            </w:r>
          </w:p>
        </w:tc>
        <w:tc>
          <w:tcPr>
            <w:tcW w:w="28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1,140,931</w:t>
            </w:r>
          </w:p>
        </w:tc>
        <w:tc>
          <w:tcPr>
            <w:tcW w:w="2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21,901,774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At 1 April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9,359,000</w:t>
            </w:r>
          </w:p>
        </w:tc>
        <w:tc>
          <w:tcPr>
            <w:tcW w:w="2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4,090,342</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5,345,929</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34,579</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1,930,993</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1,140,931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21,901,774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cash flows</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713,719</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3,410,461</w:t>
            </w:r>
          </w:p>
        </w:tc>
        <w:tc>
          <w:tcPr>
            <w:tcW w:w="28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4,493,828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(530,019)</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(530,019)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Non-cash transaction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(5,611,000)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(4,968,302)</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(6,059,142)</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(4,940,858)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(1,165,479)</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(22,744,781)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238,960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129,423</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24,548</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392,931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Fair value/other adjustments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(3,748,000)</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639,000</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(506)</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(3,479,154)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31 March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25 SUBSIDIARIES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Group’s subsidiaries on March 31, 2025, from a legal perspective following the Recapitalization, are set out below. Unless otherwise stated, they have share capital consisting solely of ordinary shares that are held directly by the Group. The country of incorporation or registration is also their principal business place of business. Particulars of the subsidiaries as of March 31, 2025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Places of</w:t>
            </w: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Particulars of</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Percentage of</w:t>
            </w:r>
          </w:p>
        </w:tc>
      </w:tr>
      <w:tr>
        <w:trPr>
          <w:trHeight w:val="202"/>
        </w:trPr>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Incorporation and</w:t>
            </w: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issued/registered</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ownership</w:t>
            </w:r>
          </w:p>
        </w:tc>
      </w:tr>
      <w:tr>
        <w:trPr>
          <w:trHeight w:val="218"/>
        </w:trPr>
        <w:tc>
          <w:tcPr>
            <w:tcW w:w="2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Name of entities</w:t>
            </w:r>
          </w:p>
        </w:tc>
        <w:tc>
          <w:tcPr>
            <w:tcW w:w="2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operation</w:t>
            </w: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Principal activities</w:t>
            </w:r>
          </w:p>
        </w:tc>
        <w:tc>
          <w:tcPr>
            <w:tcW w:w="22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share capital</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interest</w:t>
            </w:r>
          </w:p>
        </w:tc>
      </w:tr>
      <w:tr>
        <w:trPr>
          <w:trHeight w:val="178"/>
        </w:trPr>
        <w:tc>
          <w:tcPr>
            <w:tcW w:w="21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Diginex Solutions (HK)</w:t>
            </w:r>
          </w:p>
        </w:tc>
        <w:tc>
          <w:tcPr>
            <w:tcW w:w="24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Hong Kong</w:t>
            </w:r>
          </w:p>
        </w:tc>
        <w:tc>
          <w:tcPr>
            <w:tcW w:w="22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Provision of ESG reporting</w:t>
            </w:r>
          </w:p>
        </w:tc>
        <w:tc>
          <w:tcPr>
            <w:tcW w:w="22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w w:val="98"/>
              </w:rPr>
              <w:t>19,907 ordinary shares issued</w:t>
            </w:r>
          </w:p>
        </w:tc>
        <w:tc>
          <w:tcPr>
            <w:tcW w:w="20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7"/>
                <w:szCs w:val="17"/>
                <w:color w:val="auto"/>
              </w:rPr>
              <w:t>Direct 100%</w:t>
            </w:r>
          </w:p>
        </w:tc>
      </w:tr>
      <w:tr>
        <w:trPr>
          <w:trHeight w:val="202"/>
        </w:trPr>
        <w:tc>
          <w:tcPr>
            <w:tcW w:w="2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Limited*</w:t>
            </w: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solutions services</w:t>
            </w: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8"/>
              </w:rPr>
              <w:t>(2024: 11,626 ordinary shares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 100%)</w:t>
            </w:r>
          </w:p>
        </w:tc>
      </w:tr>
      <w:tr>
        <w:trPr>
          <w:trHeight w:val="202"/>
        </w:trPr>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and 3,000 preferred shares</w:t>
            </w:r>
          </w:p>
        </w:tc>
        <w:tc>
          <w:tcPr>
            <w:tcW w:w="2020" w:type="dxa"/>
            <w:vAlign w:val="bottom"/>
            <w:shd w:val="clear" w:color="auto" w:fill="CCEEFF"/>
          </w:tcPr>
          <w:p>
            <w:pPr>
              <w:spacing w:after="0"/>
              <w:rPr>
                <w:sz w:val="17"/>
                <w:szCs w:val="17"/>
                <w:color w:val="auto"/>
              </w:rPr>
            </w:pPr>
          </w:p>
        </w:tc>
      </w:tr>
      <w:tr>
        <w:trPr>
          <w:trHeight w:val="218"/>
        </w:trPr>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issued) (note)</w:t>
            </w:r>
          </w:p>
        </w:tc>
        <w:tc>
          <w:tcPr>
            <w:tcW w:w="2020" w:type="dxa"/>
            <w:vAlign w:val="bottom"/>
            <w:shd w:val="clear" w:color="auto" w:fill="CCEEFF"/>
          </w:tcPr>
          <w:p>
            <w:pPr>
              <w:spacing w:after="0"/>
              <w:rPr>
                <w:sz w:val="18"/>
                <w:szCs w:val="18"/>
                <w:color w:val="auto"/>
              </w:rPr>
            </w:pPr>
          </w:p>
        </w:tc>
      </w:tr>
      <w:tr>
        <w:trPr>
          <w:trHeight w:val="185"/>
        </w:trPr>
        <w:tc>
          <w:tcPr>
            <w:tcW w:w="2380" w:type="dxa"/>
            <w:vAlign w:val="bottom"/>
            <w:gridSpan w:val="2"/>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Diginex USA, LLC</w:t>
            </w:r>
          </w:p>
        </w:tc>
        <w:tc>
          <w:tcPr>
            <w:tcW w:w="2360" w:type="dxa"/>
            <w:vAlign w:val="bottom"/>
            <w:gridSpan w:val="2"/>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United States of America</w:t>
            </w:r>
          </w:p>
        </w:tc>
        <w:tc>
          <w:tcPr>
            <w:tcW w:w="2260" w:type="dxa"/>
            <w:vAlign w:val="bottom"/>
            <w:gridSpan w:val="2"/>
          </w:tcPr>
          <w:p>
            <w:pPr>
              <w:jc w:val="right"/>
              <w:ind w:right="220"/>
              <w:spacing w:after="0" w:line="185" w:lineRule="exact"/>
              <w:rPr>
                <w:sz w:val="20"/>
                <w:szCs w:val="20"/>
                <w:color w:val="auto"/>
              </w:rPr>
            </w:pPr>
            <w:r>
              <w:rPr>
                <w:rFonts w:ascii="Times New Roman" w:cs="Times New Roman" w:eastAsia="Times New Roman" w:hAnsi="Times New Roman"/>
                <w:sz w:val="17"/>
                <w:szCs w:val="17"/>
                <w:color w:val="auto"/>
              </w:rPr>
              <w:t>Provision of ESG reporting</w:t>
            </w:r>
          </w:p>
        </w:tc>
        <w:tc>
          <w:tcPr>
            <w:tcW w:w="2220" w:type="dxa"/>
            <w:vAlign w:val="bottom"/>
            <w:gridSpan w:val="2"/>
          </w:tcPr>
          <w:p>
            <w:pPr>
              <w:jc w:val="right"/>
              <w:ind w:right="240"/>
              <w:spacing w:after="0" w:line="185" w:lineRule="exact"/>
              <w:rPr>
                <w:sz w:val="20"/>
                <w:szCs w:val="20"/>
                <w:color w:val="auto"/>
              </w:rPr>
            </w:pPr>
            <w:r>
              <w:rPr>
                <w:rFonts w:ascii="Times New Roman" w:cs="Times New Roman" w:eastAsia="Times New Roman" w:hAnsi="Times New Roman"/>
                <w:sz w:val="17"/>
                <w:szCs w:val="17"/>
                <w:color w:val="auto"/>
              </w:rPr>
              <w:t>1,000 Class A Units</w:t>
            </w:r>
          </w:p>
        </w:tc>
        <w:tc>
          <w:tcPr>
            <w:tcW w:w="20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Indirect 100%</w:t>
            </w:r>
          </w:p>
        </w:tc>
      </w:tr>
      <w:tr>
        <w:trPr>
          <w:trHeight w:val="202"/>
        </w:trPr>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solutions services</w:t>
            </w: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of $10 each</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 100%)</w:t>
            </w:r>
          </w:p>
        </w:tc>
      </w:tr>
      <w:tr>
        <w:trPr>
          <w:trHeight w:val="202"/>
        </w:trPr>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(2024: 1,000 Class A Units</w:t>
            </w:r>
          </w:p>
        </w:tc>
        <w:tc>
          <w:tcPr>
            <w:tcW w:w="2020" w:type="dxa"/>
            <w:vAlign w:val="bottom"/>
          </w:tcPr>
          <w:p>
            <w:pPr>
              <w:spacing w:after="0"/>
              <w:rPr>
                <w:sz w:val="17"/>
                <w:szCs w:val="17"/>
                <w:color w:val="auto"/>
              </w:rPr>
            </w:pPr>
          </w:p>
        </w:tc>
      </w:tr>
      <w:tr>
        <w:trPr>
          <w:trHeight w:val="218"/>
        </w:trPr>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of $10 each)</w:t>
            </w:r>
          </w:p>
        </w:tc>
        <w:tc>
          <w:tcPr>
            <w:tcW w:w="2020" w:type="dxa"/>
            <w:vAlign w:val="bottom"/>
          </w:tcPr>
          <w:p>
            <w:pPr>
              <w:spacing w:after="0"/>
              <w:rPr>
                <w:sz w:val="18"/>
                <w:szCs w:val="18"/>
                <w:color w:val="auto"/>
              </w:rPr>
            </w:pPr>
          </w:p>
        </w:tc>
      </w:tr>
      <w:tr>
        <w:trPr>
          <w:trHeight w:val="186"/>
        </w:trPr>
        <w:tc>
          <w:tcPr>
            <w:tcW w:w="2380" w:type="dxa"/>
            <w:vAlign w:val="bottom"/>
            <w:gridSpan w:val="2"/>
            <w:shd w:val="clear" w:color="auto" w:fill="CCEEFF"/>
          </w:tcPr>
          <w:p>
            <w:pPr>
              <w:jc w:val="right"/>
              <w:ind w:right="280"/>
              <w:spacing w:after="0" w:line="186" w:lineRule="exact"/>
              <w:rPr>
                <w:sz w:val="20"/>
                <w:szCs w:val="20"/>
                <w:color w:val="auto"/>
              </w:rPr>
            </w:pPr>
            <w:r>
              <w:rPr>
                <w:rFonts w:ascii="Times New Roman" w:cs="Times New Roman" w:eastAsia="Times New Roman" w:hAnsi="Times New Roman"/>
                <w:sz w:val="17"/>
                <w:szCs w:val="17"/>
                <w:color w:val="auto"/>
              </w:rPr>
              <w:t>Diginex Services</w:t>
            </w:r>
          </w:p>
        </w:tc>
        <w:tc>
          <w:tcPr>
            <w:tcW w:w="2360" w:type="dxa"/>
            <w:vAlign w:val="bottom"/>
            <w:gridSpan w:val="2"/>
            <w:shd w:val="clear" w:color="auto" w:fill="CCEEFF"/>
          </w:tcPr>
          <w:p>
            <w:pPr>
              <w:jc w:val="right"/>
              <w:ind w:right="220"/>
              <w:spacing w:after="0" w:line="186" w:lineRule="exact"/>
              <w:rPr>
                <w:sz w:val="20"/>
                <w:szCs w:val="20"/>
                <w:color w:val="auto"/>
              </w:rPr>
            </w:pPr>
            <w:r>
              <w:rPr>
                <w:rFonts w:ascii="Times New Roman" w:cs="Times New Roman" w:eastAsia="Times New Roman" w:hAnsi="Times New Roman"/>
                <w:sz w:val="17"/>
                <w:szCs w:val="17"/>
                <w:color w:val="auto"/>
              </w:rPr>
              <w:t>United Kingdom</w:t>
            </w:r>
          </w:p>
        </w:tc>
        <w:tc>
          <w:tcPr>
            <w:tcW w:w="2260" w:type="dxa"/>
            <w:vAlign w:val="bottom"/>
            <w:gridSpan w:val="2"/>
            <w:shd w:val="clear" w:color="auto" w:fill="CCEEFF"/>
          </w:tcPr>
          <w:p>
            <w:pPr>
              <w:jc w:val="right"/>
              <w:ind w:right="220"/>
              <w:spacing w:after="0" w:line="186" w:lineRule="exact"/>
              <w:rPr>
                <w:sz w:val="20"/>
                <w:szCs w:val="20"/>
                <w:color w:val="auto"/>
              </w:rPr>
            </w:pPr>
            <w:r>
              <w:rPr>
                <w:rFonts w:ascii="Times New Roman" w:cs="Times New Roman" w:eastAsia="Times New Roman" w:hAnsi="Times New Roman"/>
                <w:sz w:val="17"/>
                <w:szCs w:val="17"/>
                <w:color w:val="auto"/>
              </w:rPr>
              <w:t>Provision of ESG reporting</w:t>
            </w:r>
          </w:p>
        </w:tc>
        <w:tc>
          <w:tcPr>
            <w:tcW w:w="2220" w:type="dxa"/>
            <w:vAlign w:val="bottom"/>
            <w:gridSpan w:val="2"/>
            <w:shd w:val="clear" w:color="auto" w:fill="CCEEFF"/>
          </w:tcPr>
          <w:p>
            <w:pPr>
              <w:jc w:val="right"/>
              <w:ind w:right="240"/>
              <w:spacing w:after="0" w:line="186" w:lineRule="exact"/>
              <w:rPr>
                <w:sz w:val="20"/>
                <w:szCs w:val="20"/>
                <w:color w:val="auto"/>
              </w:rPr>
            </w:pPr>
            <w:r>
              <w:rPr>
                <w:rFonts w:ascii="Times New Roman" w:cs="Times New Roman" w:eastAsia="Times New Roman" w:hAnsi="Times New Roman"/>
                <w:sz w:val="17"/>
                <w:szCs w:val="17"/>
                <w:color w:val="auto"/>
              </w:rPr>
              <w:t>Ordinary shares of</w:t>
            </w:r>
          </w:p>
        </w:tc>
        <w:tc>
          <w:tcPr>
            <w:tcW w:w="202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Indirect 100%</w:t>
            </w:r>
          </w:p>
        </w:tc>
      </w:tr>
      <w:tr>
        <w:trPr>
          <w:trHeight w:val="202"/>
        </w:trPr>
        <w:tc>
          <w:tcPr>
            <w:tcW w:w="2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Limited</w:t>
            </w: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solutions services</w:t>
            </w:r>
          </w:p>
        </w:tc>
        <w:tc>
          <w:tcPr>
            <w:tcW w:w="2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 pence each</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 100%)</w:t>
            </w:r>
          </w:p>
        </w:tc>
      </w:tr>
      <w:tr>
        <w:trPr>
          <w:trHeight w:val="202"/>
        </w:trPr>
        <w:tc>
          <w:tcPr>
            <w:tcW w:w="2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(2024: Ordinary shares of</w:t>
            </w:r>
          </w:p>
        </w:tc>
        <w:tc>
          <w:tcPr>
            <w:tcW w:w="2020" w:type="dxa"/>
            <w:vAlign w:val="bottom"/>
            <w:shd w:val="clear" w:color="auto" w:fill="CCEEFF"/>
          </w:tcPr>
          <w:p>
            <w:pPr>
              <w:spacing w:after="0"/>
              <w:rPr>
                <w:sz w:val="17"/>
                <w:szCs w:val="17"/>
                <w:color w:val="auto"/>
              </w:rPr>
            </w:pPr>
          </w:p>
        </w:tc>
      </w:tr>
      <w:tr>
        <w:trPr>
          <w:trHeight w:val="218"/>
        </w:trPr>
        <w:tc>
          <w:tcPr>
            <w:tcW w:w="2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 pence each</w:t>
            </w:r>
          </w:p>
        </w:tc>
        <w:tc>
          <w:tcPr>
            <w:tcW w:w="2020" w:type="dxa"/>
            <w:vAlign w:val="bottom"/>
            <w:shd w:val="clear" w:color="auto" w:fill="CCEEFF"/>
          </w:tcPr>
          <w:p>
            <w:pPr>
              <w:spacing w:after="0"/>
              <w:rPr>
                <w:sz w:val="18"/>
                <w:szCs w:val="18"/>
                <w:color w:val="auto"/>
              </w:rPr>
            </w:pPr>
          </w:p>
        </w:tc>
      </w:tr>
    </w:tbl>
    <w:p>
      <w:pPr>
        <w:spacing w:after="0" w:line="185" w:lineRule="exact"/>
        <w:rPr>
          <w:sz w:val="20"/>
          <w:szCs w:val="20"/>
          <w:color w:val="auto"/>
        </w:rPr>
      </w:pPr>
    </w:p>
    <w:p>
      <w:pPr>
        <w:jc w:val="center"/>
        <w:ind w:right="40"/>
        <w:spacing w:after="0"/>
        <w:tabs>
          <w:tab w:leader="none" w:pos="200" w:val="left"/>
        </w:tabs>
        <w:rPr>
          <w:sz w:val="20"/>
          <w:szCs w:val="20"/>
          <w:color w:val="auto"/>
        </w:rPr>
      </w:pPr>
      <w:r>
        <w:rPr>
          <w:rFonts w:ascii="Times New Roman" w:cs="Times New Roman" w:eastAsia="Times New Roman" w:hAnsi="Times New Roman"/>
          <w:sz w:val="17"/>
          <w:szCs w:val="17"/>
          <w:color w:val="auto"/>
        </w:rPr>
        <w:t>Note:</w:t>
        <w:tab/>
        <w:t>In September 2024, the Company converted all issued Preferred Shares of DSL into ordinary shares of DSL at a ratio of 1 preferred share to 1 ordinary share.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color w:val="auto"/>
        </w:rPr>
        <w:t>26 FINANCIAL RISK MANAGEMENT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 Market risk factors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Group’s activities expose it to a variety of market risks: foreign currency risk, interest rate risk and liquidation risk. The Group’s overall risk management program focuses on the unpredictability of financial markets and seeks to minimize potential adverse effects on the Group’s financial performance.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risks are minimized by the financial management policies and practices described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26.1.2 Foreign currency risk</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Group operates primarily in USD and HKD, albeit there is an increasing exposure to GBP. Given USD and HKD are pegged within a range, the Group had a reduced exposure to foreign currency risk during the year. Given the increasing exposure to other currencies, the Group will formalize a foreign currency hedging policy in respect of foreign currency transactions, assets and liabilities. The Group monitors its foreign currency exposure closely and will consider hedging significant foreign currency exposure to manage the risk. The material balance sheet items are denominated in USD and as such no sensitivity analysis on the impact of foreign exchange movements has been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26.1.3 Interest rate risk</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Group has minimal interest rate risk because there are no significant borrowings at variable interest rates. The Group currently does not have an interest rate hedging policy. However, the management monitors interest rate exposure and will consider other necessary actions when significant interest rate exposure is anticipated. The Group’s cash flow interest rate risk relates primarily to variable-rate bank balances. The exposure to the interest rate risk for variable rate bank balances is insignificant as the bank balances have a short maturity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 Credit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Group has exposure to credit risk arising from deposits in banks as well as trade receivables. Credit risk is managed on a Group basis.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amount of the Group’s maximum exposure to credit risk is the amount of the Group’s carrying value of the related financial assets and liabilities as of the end of the reporting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26.2.1 Deposits with bank</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With respect to the Group’s deposits with banks, the Group limits its exposure to credit risk by placing deposits with financial institutions with high credit ratings and no recent history of default. Given the high credit ratings of the banks, management does not expect any counterparty to fail to meet its obligations. Management will continue to monitor the position and will take appropriate action if their ratings are changed. As at 31 March 2025 and 2024, the Group had a concentration of deposits with one bank but does have additional banking relationships to mitigate any concentration risk.</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color w:val="auto"/>
        </w:rPr>
        <w:t>26.3 Liquidity risk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26.3.1 Financing arrangement</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Group monitors its cash position on a regular basis and manages cash and cash equivalents to finance the Group’s operations. The Group has been primarily financed via the proceeds from the issuance of equity, issuance of convertible loan notes and access to a shareholder loan together with proceeds from the IPO.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26.3.2 Maturities of financial liabilities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table below analyses the Group’s financial liabilities into relevant maturity groupings based on the remaining period at the end of each financial reporting period to the contractual maturity dates. The amounts disclosed in the table are the contractual undiscounted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00" w:type="dxa"/>
            <w:vAlign w:val="bottom"/>
          </w:tcPr>
          <w:p>
            <w:pPr>
              <w:spacing w:after="0"/>
              <w:rPr>
                <w:sz w:val="17"/>
                <w:szCs w:val="17"/>
                <w:color w:val="auto"/>
              </w:rPr>
            </w:pPr>
          </w:p>
        </w:tc>
        <w:tc>
          <w:tcPr>
            <w:tcW w:w="204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auto"/>
              </w:rPr>
              <w:t>Within</w:t>
            </w: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 year</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 years</w:t>
            </w:r>
          </w:p>
        </w:tc>
        <w:tc>
          <w:tcPr>
            <w:tcW w:w="1780" w:type="dxa"/>
            <w:vAlign w:val="bottom"/>
            <w:gridSpan w:val="3"/>
          </w:tcPr>
          <w:p>
            <w:pPr>
              <w:ind w:left="134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95"/>
        </w:trPr>
        <w:tc>
          <w:tcPr>
            <w:tcW w:w="5400" w:type="dxa"/>
            <w:vAlign w:val="bottom"/>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700" w:type="dxa"/>
            <w:vAlign w:val="bottom"/>
            <w:tcBorders>
              <w:top w:val="single" w:sz="8" w:color="auto"/>
            </w:tcBorders>
            <w:gridSpan w:val="2"/>
          </w:tcPr>
          <w:p>
            <w:pPr>
              <w:ind w:left="1360"/>
              <w:spacing w:after="0"/>
              <w:rPr>
                <w:sz w:val="20"/>
                <w:szCs w:val="20"/>
                <w:color w:val="auto"/>
              </w:rPr>
            </w:pPr>
            <w:r>
              <w:rPr>
                <w:rFonts w:ascii="Times New Roman" w:cs="Times New Roman" w:eastAsia="Times New Roman" w:hAnsi="Times New Roman"/>
                <w:sz w:val="17"/>
                <w:szCs w:val="17"/>
                <w:color w:val="auto"/>
                <w:w w:val="93"/>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At 31 March 2025</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200,660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200,660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payables and accruals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706,874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706,874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505,424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505,424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a related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34,579</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34,579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126,808</w:t>
            </w: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110,867</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237,675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1,574,345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110,867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1,685,212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At 31 March 2024</w:t>
            </w: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788,798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788,798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Other payables and accruals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596,870</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596,870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payables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8,917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Deferred revenues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322,826</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322,826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a related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34,579</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34,579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Due to immediate holding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5,345,929</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5,345,929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 from immediate holding company</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1,930,993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1,930,993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Loan from a related company</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1,140,931</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1,140,931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122,076</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243,280</w:t>
            </w:r>
          </w:p>
        </w:tc>
        <w:tc>
          <w:tcPr>
            <w:tcW w:w="3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365,356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Preferred shares</w:t>
            </w:r>
          </w:p>
        </w:tc>
        <w:tc>
          <w:tcPr>
            <w:tcW w:w="20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9,359,000</w:t>
            </w:r>
          </w:p>
        </w:tc>
        <w:tc>
          <w:tcPr>
            <w:tcW w:w="3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9,359,000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loan notes</w:t>
            </w:r>
          </w:p>
        </w:tc>
        <w:tc>
          <w:tcPr>
            <w:tcW w:w="2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3,975,534</w:t>
            </w:r>
          </w:p>
        </w:tc>
        <w:tc>
          <w:tcPr>
            <w:tcW w:w="20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114,808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4,090,342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14,267,453</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9,717,088</w:t>
            </w:r>
          </w:p>
        </w:tc>
        <w:tc>
          <w:tcPr>
            <w:tcW w:w="34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23,984,541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4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F-44</w:t>
            </w:r>
          </w:p>
        </w:tc>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color w:val="auto"/>
        </w:rPr>
        <w:t>26.4 Capital risk</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Group’s objectives when managing capital are to safeguard the Group’s ability to continue as a going concern and to maximize the return to the shareholders through the optimization of the debt and equity balance.</w:t>
      </w:r>
    </w:p>
    <w:p>
      <w:pPr>
        <w:spacing w:after="0" w:line="15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The Group manages its capital structure and adjusts it in light of changes in economic conditions. To maintain or adjust the capital structure, the Group may issue new shares or other instruments. No changes were made in the objectives, policies or processes for managing capital during the years ended 31 March 2025 and 2024.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26.5 Fair values measurements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26.5.1 Fair value hierarchy</w:t>
      </w:r>
    </w:p>
    <w:p>
      <w:pPr>
        <w:spacing w:after="0" w:line="21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This section explains the judgements and estimates made in determining the fair values of financial instruments in the consolidated financial statements. To provide an indication about the reliability of the inputs used in determining fair value, the Group has classified its financial instruments and non-financial assets into the three levels prescribed under the accounting standards. An explanation of each level is set out in Note 3. There is no transfer between level 1, 2 or 3 during both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Fair value measurements using level 3</w:t>
            </w:r>
          </w:p>
        </w:tc>
        <w:tc>
          <w:tcPr>
            <w:tcW w:w="22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At</w:t>
            </w:r>
          </w:p>
        </w:tc>
        <w:tc>
          <w:tcPr>
            <w:tcW w:w="2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At</w:t>
            </w:r>
          </w:p>
        </w:tc>
        <w:tc>
          <w:tcPr>
            <w:tcW w:w="0" w:type="dxa"/>
            <w:vAlign w:val="bottom"/>
          </w:tcPr>
          <w:p>
            <w:pPr>
              <w:spacing w:after="0"/>
              <w:rPr>
                <w:sz w:val="1"/>
                <w:szCs w:val="1"/>
                <w:color w:val="auto"/>
              </w:rPr>
            </w:pPr>
          </w:p>
        </w:tc>
      </w:tr>
      <w:tr>
        <w:trPr>
          <w:trHeight w:val="218"/>
        </w:trPr>
        <w:tc>
          <w:tcPr>
            <w:tcW w:w="6980" w:type="dxa"/>
            <w:vAlign w:val="bottom"/>
            <w:gridSpan w:val="2"/>
            <w:vMerge w:val="continue"/>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c>
          <w:tcPr>
            <w:tcW w:w="0" w:type="dxa"/>
            <w:vAlign w:val="bottom"/>
          </w:tcPr>
          <w:p>
            <w:pPr>
              <w:spacing w:after="0"/>
              <w:rPr>
                <w:sz w:val="1"/>
                <w:szCs w:val="1"/>
                <w:color w:val="auto"/>
              </w:rPr>
            </w:pPr>
          </w:p>
        </w:tc>
      </w:tr>
      <w:tr>
        <w:trPr>
          <w:trHeight w:val="195"/>
        </w:trPr>
        <w:tc>
          <w:tcPr>
            <w:tcW w:w="6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Recurring fair value</w:t>
            </w:r>
          </w:p>
        </w:tc>
        <w:tc>
          <w:tcPr>
            <w:tcW w:w="1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Preferred shares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loan notes</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26.5.2 Valuation techniques used to determine fair values</w:t>
            </w: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98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Below lists the valuation techniques and key inputs used by the Group to value its Level 3 financial instruments. There has been no change in valuation technique during the year ended 31 March 2025 and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Amount as at</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Amount as at</w:t>
            </w: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2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Financial instruments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 March 2025</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31 March 2024</w:t>
            </w:r>
          </w:p>
        </w:tc>
        <w:tc>
          <w:tcPr>
            <w:tcW w:w="4040" w:type="dxa"/>
            <w:vAlign w:val="bottom"/>
          </w:tcPr>
          <w:p>
            <w:pPr>
              <w:ind w:left="720"/>
              <w:spacing w:after="0"/>
              <w:rPr>
                <w:sz w:val="20"/>
                <w:szCs w:val="20"/>
                <w:color w:val="auto"/>
              </w:rPr>
            </w:pPr>
            <w:r>
              <w:rPr>
                <w:rFonts w:ascii="Times New Roman" w:cs="Times New Roman" w:eastAsia="Times New Roman" w:hAnsi="Times New Roman"/>
                <w:sz w:val="17"/>
                <w:szCs w:val="17"/>
                <w:b w:val="1"/>
                <w:bCs w:val="1"/>
                <w:color w:val="auto"/>
              </w:rPr>
              <w:t>Valuation techniques and key inputs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2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Preferred shares</w:t>
            </w:r>
          </w:p>
        </w:tc>
        <w:tc>
          <w:tcPr>
            <w:tcW w:w="22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404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The Discounted Cash Flows (“DCF”) method was used to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1)</w:t>
            </w:r>
          </w:p>
        </w:tc>
        <w:tc>
          <w:tcPr>
            <w:tcW w:w="2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determine the total equity value of the Group by capturing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present value of the expected cash flows.</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 equity allocation model was then used to allocate the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total equity value of the Group to different classes of shares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9,359,000</w:t>
            </w: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 the Company.</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2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Convertible loan notes</w:t>
            </w:r>
          </w:p>
        </w:tc>
        <w:tc>
          <w:tcPr>
            <w:tcW w:w="2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2)</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3,743,000</w:t>
            </w: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Binomial Option Pricing Model</w:t>
            </w:r>
          </w:p>
        </w:tc>
        <w:tc>
          <w:tcPr>
            <w:tcW w:w="0" w:type="dxa"/>
            <w:vAlign w:val="bottom"/>
          </w:tcPr>
          <w:p>
            <w:pPr>
              <w:spacing w:after="0"/>
              <w:rPr>
                <w:sz w:val="1"/>
                <w:szCs w:val="1"/>
                <w:color w:val="auto"/>
              </w:rPr>
            </w:pPr>
          </w:p>
        </w:tc>
      </w:tr>
      <w:tr>
        <w:trPr>
          <w:trHeight w:val="403"/>
        </w:trPr>
        <w:tc>
          <w:tcPr>
            <w:tcW w:w="2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Notes:</w:t>
            </w:r>
          </w:p>
        </w:tc>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left="600" w:hanging="599"/>
        <w:spacing w:after="0" w:line="252" w:lineRule="auto"/>
        <w:tabs>
          <w:tab w:leader="none" w:pos="6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the revenue growth rate used in isolation would result in an increase in the fair value measurement of the preferred shares, and vice versa, while a slight increase in the discount rate used in isolation would result in a decrease in the fair value measurement of the preferred shares, and vice versa. As of 31 March 2024, a 1% (2025: N/A) increase in the discount rate holding all other variables constant would decrease the carry amount of the preferred shares by $0.9 million (2025: N/A) while a 1% (2025: N/A) decrease in the discount rate holding all other variables constant would increase the carry amount of the preferred shares by $1.1 million (2025: N/A). A 1% (2025: N/A) increase in the revenue growth rate holding all other variables constant would increase the carry amount of the preferred shares by $0.6 million (2025: N/A) while a 1% (2025: N/A) decrease in the discount rate holding all other variables constant would decrease the carry amount of the preferred shares by $0.6 million (2025: N/A).</w:t>
      </w:r>
    </w:p>
    <w:p>
      <w:pPr>
        <w:spacing w:after="0" w:line="177" w:lineRule="exact"/>
        <w:rPr>
          <w:rFonts w:ascii="Times New Roman" w:cs="Times New Roman" w:eastAsia="Times New Roman" w:hAnsi="Times New Roman"/>
          <w:sz w:val="17"/>
          <w:szCs w:val="17"/>
          <w:color w:val="auto"/>
        </w:rPr>
      </w:pPr>
    </w:p>
    <w:p>
      <w:pPr>
        <w:ind w:left="600" w:hanging="599"/>
        <w:spacing w:after="0" w:line="274" w:lineRule="auto"/>
        <w:tabs>
          <w:tab w:leader="none" w:pos="60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1% increase in the discount rate used in isolation would result in a minimal decrease in the fair value measurement of the convertible loan notes, and vice versa.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22"/>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26.5.3 Reconciliation of Level 3 fair value measurements</w:t>
            </w:r>
          </w:p>
        </w:tc>
        <w:tc>
          <w:tcPr>
            <w:tcW w:w="1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980" w:type="dxa"/>
            <w:vAlign w:val="bottom"/>
          </w:tcPr>
          <w:p>
            <w:pPr>
              <w:spacing w:after="0"/>
              <w:rPr>
                <w:sz w:val="24"/>
                <w:szCs w:val="24"/>
                <w:color w:val="auto"/>
              </w:rPr>
            </w:pPr>
          </w:p>
        </w:tc>
        <w:tc>
          <w:tcPr>
            <w:tcW w:w="22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At</w:t>
            </w:r>
          </w:p>
        </w:tc>
        <w:tc>
          <w:tcPr>
            <w:tcW w:w="2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At</w:t>
            </w: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At 1 April</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13,102,000</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16,729,000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Additions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1,369,648</w:t>
            </w:r>
          </w:p>
        </w:tc>
        <w:tc>
          <w:tcPr>
            <w:tcW w:w="340" w:type="dxa"/>
            <w:vAlign w:val="bottom"/>
          </w:tcPr>
          <w:p>
            <w:pPr>
              <w:spacing w:after="0"/>
              <w:rPr>
                <w:sz w:val="17"/>
                <w:szCs w:val="17"/>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adjustments</w:t>
            </w:r>
          </w:p>
        </w:tc>
        <w:tc>
          <w:tcPr>
            <w:tcW w:w="2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(3,478,648)</w:t>
            </w:r>
          </w:p>
        </w:tc>
        <w:tc>
          <w:tcPr>
            <w:tcW w:w="2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(3,727,000)</w:t>
            </w: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7"/>
                <w:szCs w:val="17"/>
                <w:color w:val="auto"/>
              </w:rPr>
              <w:t>Conversion</w:t>
            </w:r>
          </w:p>
        </w:tc>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(10,993,000)</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At 31 March</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13,102,000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26.5.4 Financial assets and financial liabilities measured at amortized cost</w:t>
            </w: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9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financial assets and financial liabilities in the table below are measured at amortized cost. Management believes the carrying amounts of these financial assets and liabilities measured at amortized cost approximate their fair values.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2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At</w:t>
            </w:r>
          </w:p>
        </w:tc>
        <w:tc>
          <w:tcPr>
            <w:tcW w:w="2000" w:type="dxa"/>
            <w:vAlign w:val="bottom"/>
            <w:gridSpan w:val="3"/>
          </w:tcPr>
          <w:p>
            <w:pPr>
              <w:ind w:left="1700"/>
              <w:spacing w:after="0"/>
              <w:rPr>
                <w:sz w:val="20"/>
                <w:szCs w:val="20"/>
                <w:color w:val="auto"/>
              </w:rPr>
            </w:pPr>
            <w:r>
              <w:rPr>
                <w:rFonts w:ascii="Times New Roman" w:cs="Times New Roman" w:eastAsia="Times New Roman" w:hAnsi="Times New Roman"/>
                <w:sz w:val="17"/>
                <w:szCs w:val="17"/>
                <w:color w:val="auto"/>
              </w:rPr>
              <w:t>At</w:t>
            </w:r>
          </w:p>
        </w:tc>
        <w:tc>
          <w:tcPr>
            <w:tcW w:w="0" w:type="dxa"/>
            <w:vAlign w:val="bottom"/>
          </w:tcPr>
          <w:p>
            <w:pPr>
              <w:spacing w:after="0"/>
              <w:rPr>
                <w:sz w:val="1"/>
                <w:szCs w:val="1"/>
                <w:color w:val="auto"/>
              </w:rPr>
            </w:pPr>
          </w:p>
        </w:tc>
      </w:tr>
      <w:tr>
        <w:trPr>
          <w:trHeight w:val="218"/>
        </w:trPr>
        <w:tc>
          <w:tcPr>
            <w:tcW w:w="4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31 March 2025</w:t>
            </w:r>
          </w:p>
        </w:tc>
        <w:tc>
          <w:tcPr>
            <w:tcW w:w="20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31 March 2024</w:t>
            </w:r>
          </w:p>
        </w:tc>
        <w:tc>
          <w:tcPr>
            <w:tcW w:w="0" w:type="dxa"/>
            <w:vAlign w:val="bottom"/>
          </w:tcPr>
          <w:p>
            <w:pPr>
              <w:spacing w:after="0"/>
              <w:rPr>
                <w:sz w:val="1"/>
                <w:szCs w:val="1"/>
                <w:color w:val="auto"/>
              </w:rPr>
            </w:pPr>
          </w:p>
        </w:tc>
      </w:tr>
      <w:tr>
        <w:trPr>
          <w:trHeight w:val="195"/>
        </w:trPr>
        <w:tc>
          <w:tcPr>
            <w:tcW w:w="4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Pr>
          <w:p>
            <w:pPr>
              <w:spacing w:after="0"/>
              <w:rPr>
                <w:sz w:val="16"/>
                <w:szCs w:val="16"/>
                <w:color w:val="auto"/>
              </w:rPr>
            </w:pPr>
          </w:p>
        </w:tc>
        <w:tc>
          <w:tcPr>
            <w:tcW w:w="1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USD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8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Trade receivables</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1,394,545</w:t>
            </w:r>
          </w:p>
        </w:tc>
        <w:tc>
          <w:tcPr>
            <w:tcW w:w="340" w:type="dxa"/>
            <w:vAlign w:val="bottom"/>
          </w:tcPr>
          <w:p>
            <w:pPr>
              <w:spacing w:after="0"/>
              <w:rPr>
                <w:sz w:val="17"/>
                <w:szCs w:val="17"/>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182,334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5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650,486</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184,018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Contract assets</w:t>
            </w:r>
          </w:p>
        </w:tc>
        <w:tc>
          <w:tcPr>
            <w:tcW w:w="5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750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69,354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bank balance</w:t>
            </w:r>
          </w:p>
        </w:tc>
        <w:tc>
          <w:tcPr>
            <w:tcW w:w="5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399,400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3,111,141</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76,620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00" w:type="dxa"/>
            <w:vAlign w:val="bottom"/>
            <w:tcBorders>
              <w:top w:val="single" w:sz="8" w:color="CCEEFF"/>
              <w:bottom w:val="single" w:sz="8" w:color="CCEEFF"/>
            </w:tcBorders>
            <w:shd w:val="clear" w:color="auto" w:fill="CCEEFF"/>
          </w:tcPr>
          <w:p>
            <w:pPr>
              <w:spacing w:after="0"/>
              <w:rPr>
                <w:sz w:val="17"/>
                <w:szCs w:val="17"/>
                <w:color w:val="auto"/>
              </w:rPr>
            </w:pPr>
          </w:p>
        </w:tc>
        <w:tc>
          <w:tcPr>
            <w:tcW w:w="288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5,556,322</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512,326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Financial liabilities</w:t>
            </w:r>
          </w:p>
        </w:tc>
        <w:tc>
          <w:tcPr>
            <w:tcW w:w="28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10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51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200,660</w:t>
            </w: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788,798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Other payables</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11,852</w:t>
            </w:r>
          </w:p>
        </w:tc>
        <w:tc>
          <w:tcPr>
            <w:tcW w:w="340" w:type="dxa"/>
            <w:vAlign w:val="bottom"/>
          </w:tcPr>
          <w:p>
            <w:pPr>
              <w:spacing w:after="0"/>
              <w:rPr>
                <w:sz w:val="17"/>
                <w:szCs w:val="17"/>
                <w:color w:val="auto"/>
              </w:rPr>
            </w:pP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11,057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payables</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8,917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Due to related companies</w:t>
            </w:r>
          </w:p>
        </w:tc>
        <w:tc>
          <w:tcPr>
            <w:tcW w:w="5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34,579</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34,579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immediate holding company</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5,345,929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Loan from a related company</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1,930,993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Loans from immediate holding company</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1,140,931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w:t>
            </w:r>
          </w:p>
        </w:tc>
        <w:tc>
          <w:tcPr>
            <w:tcW w:w="514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237,675</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365,356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00" w:type="dxa"/>
            <w:vAlign w:val="bottom"/>
            <w:tcBorders>
              <w:top w:val="single" w:sz="8" w:color="CCEEFF"/>
              <w:bottom w:val="single" w:sz="8" w:color="CCEEFF"/>
            </w:tcBorders>
            <w:shd w:val="clear" w:color="auto" w:fill="CCEEFF"/>
          </w:tcPr>
          <w:p>
            <w:pPr>
              <w:spacing w:after="0"/>
              <w:rPr>
                <w:sz w:val="17"/>
                <w:szCs w:val="17"/>
                <w:color w:val="auto"/>
              </w:rPr>
            </w:pPr>
          </w:p>
        </w:tc>
        <w:tc>
          <w:tcPr>
            <w:tcW w:w="288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484,766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9,626,560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1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3"/>
          </w:tcPr>
          <w:p>
            <w:pPr>
              <w:jc w:val="right"/>
              <w:ind w:right="3460"/>
              <w:spacing w:after="0"/>
              <w:rPr>
                <w:sz w:val="20"/>
                <w:szCs w:val="20"/>
                <w:color w:val="auto"/>
              </w:rPr>
            </w:pPr>
            <w:r>
              <w:rPr>
                <w:rFonts w:ascii="Times New Roman" w:cs="Times New Roman" w:eastAsia="Times New Roman" w:hAnsi="Times New Roman"/>
                <w:sz w:val="17"/>
                <w:szCs w:val="17"/>
                <w:color w:val="auto"/>
              </w:rPr>
              <w:t>F-46</w:t>
            </w: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color w:val="auto"/>
        </w:rPr>
        <w:t>27 COMMITMENTS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Nomas MOU, Diginex has agreed pay fixed non-refundable fees in an aggregate amount of $800,000, with the initial payment of $400,000 paid upon signing of the Nomas MOU and the remaining balance of $400,000, as held under escrow and recognized as a restricted bank balance, to be released in equal installments upon the occurrence of three defined milestones via an escrow arrangement. The Nomas MOU also provides that the Company shall pay success fees upon achieving certain capital raise targets and the successful listing of the Company’s securities on the ADX.</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Al Noor MOU, Diginex has agreed to fees in an aggregate amount of $650,000, with the initial payment of $250,000 paid upon signing of the Al Noor MOU, an additional amount of $150,000 was paid in June 2025 and the remaining fees in equal installments upon the occurrence of three defined milestones. The Al Noor MOU also provides that the Company shall pay success fees upon achieving certain capital raise targets and the successful listing the Company s securities on the ADX.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 SUBSEQUENT EVENTS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accordance with IAS 10 “Events after the Reporting Period”, which establishes general standards of accounting for and disclosure of events that occur after the balance sheet date but before financial statements are issued, the Company has evaluated all events or transactions that occurred after the balance sheet date, up through the date the Company issued the financial statements.</w:t>
      </w:r>
    </w:p>
    <w:p>
      <w:pPr>
        <w:spacing w:after="0" w:line="169" w:lineRule="exact"/>
        <w:rPr>
          <w:sz w:val="20"/>
          <w:szCs w:val="20"/>
          <w:color w:val="auto"/>
        </w:rPr>
      </w:pPr>
    </w:p>
    <w:p>
      <w:pPr>
        <w:ind w:left="600" w:hanging="297"/>
        <w:spacing w:after="0" w:line="274" w:lineRule="auto"/>
        <w:tabs>
          <w:tab w:leader="none" w:pos="6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6, 2025, Rhino Ventures sold the tranches 4, 5 and 6 of the IPO Warrants to Nomas Global Investments-LLC-S.P.C for consideration of $300 million. Rhino Ventures received a promissory note for $50 million upon sale and will receive $250 million at December 31, 2025.</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Group entered into two new lease agreements to provide additional workspace for the Group’s expanding operations in UK and HK:</w:t>
      </w:r>
    </w:p>
    <w:p>
      <w:pPr>
        <w:spacing w:after="0" w:line="207" w:lineRule="exact"/>
        <w:rPr>
          <w:rFonts w:ascii="Times New Roman" w:cs="Times New Roman" w:eastAsia="Times New Roman" w:hAnsi="Times New Roman"/>
          <w:sz w:val="17"/>
          <w:szCs w:val="17"/>
          <w:color w:val="auto"/>
        </w:rPr>
      </w:pPr>
    </w:p>
    <w:p>
      <w:pPr>
        <w:ind w:left="1220" w:hanging="311"/>
        <w:spacing w:after="0" w:line="274" w:lineRule="auto"/>
        <w:tabs>
          <w:tab w:leader="none" w:pos="122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18-month office lease in the United Kingdom, commencing in April 2025, with monthly rent of GBP3,782 (approximate: $5,105). Right-of-use assets and lease liabilities would be recognized for the lease in accordance with IFRS 16 Leases.</w:t>
      </w:r>
    </w:p>
    <w:p>
      <w:pPr>
        <w:spacing w:after="0" w:line="158" w:lineRule="exact"/>
        <w:rPr>
          <w:rFonts w:ascii="Times New Roman" w:cs="Times New Roman" w:eastAsia="Times New Roman" w:hAnsi="Times New Roman"/>
          <w:sz w:val="17"/>
          <w:szCs w:val="17"/>
          <w:color w:val="auto"/>
        </w:rPr>
      </w:pPr>
    </w:p>
    <w:p>
      <w:pPr>
        <w:jc w:val="both"/>
        <w:ind w:left="1220" w:hanging="311"/>
        <w:spacing w:after="0" w:line="261" w:lineRule="auto"/>
        <w:tabs>
          <w:tab w:leader="none" w:pos="122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one-year office lease in Hong Kong, commencing in June 2025, with monthly rent of HK$52,000 (approximately: $6,625). Given the lease has a lease term of 12 months, the lease would be accounted for as a short-term lease and the Group would recognize the lease payments as an expense over the lease term.</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2" w:lineRule="auto"/>
        <w:tabs>
          <w:tab w:leader="none" w:pos="6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23, 2025, the Company signed a memorandum of understanding (the “Matter MOU”) to acquire Matter DK ApS (“Matter”) in an all share acquisition. Matter is an innovative ESG data company focused on delivering sustainability data and analytics solutions to the investment industry and helping financial institutions understand and communicate the sustainability of investments. Matter is based in Copenhagen, Denmark. The Matter MOU values the equity of Matter at $13 million which will be paid through the issuance of the Company’s ordinary shares valued at the 60-trading day trailing VWAP (volume weighted average price) as of May 23, 2025, and such shares issued to Matter will subject to an 18-month lock-up period. Target executives and key employees will also receive $2.5 million of Diginex shares with 50% released after 18 months following 12 months of good service and 50% after 30 months following 24 months of good service.</w:t>
      </w:r>
    </w:p>
    <w:p>
      <w:pPr>
        <w:spacing w:after="0" w:line="177"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23, 2025, the Company entered into a loan agreement with Matter (the “Matter Loan Agreement”), pursuant to which the Company agreed to loan Matter EUR 250,000, as follows: (1) EUR 150,000 (approximately: $175,500) within 3 business days of the signing of the Matter MOU, (2) EUR 50,000 (approximately: $58,500) within 30 days following the signing of the Matter MOU, and (3) EUR 50,000 (approximately: $58,500) within 60 days following the signing of the Matter MOU. The loan principal shall accrue interest at a rate of 5% per annum. Matter shall repay all amounts outstanding under the Matter Loan Agreement together with all accrued interest only if the Company fails to acquire 100% of the share capital of Matter under permitted reasons set forth in the Matter MOU. Repayment will be due 60 days after notification from the Company that they will not proceed with the acquisition of Matter.</w:t>
      </w:r>
    </w:p>
    <w:p>
      <w:pPr>
        <w:spacing w:after="0" w:line="175"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5, 2025, the Company signed a memorandum of understanding (the “Resulticks MOU”) for an acquisition of Resulticks Global Companies Pte. Limited (“Resulticks”) for shares and cash. Resulticks is a globally recognized leader in real-time, AI-driven customer engagement and data management solutions.</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Resulticks MOU values Resulticks at $2 billion which will be paid by the Company in three tranches: (1) $1.4 billion in the Company’s ordinary shares valued at $72 per share and subject to a 12-18 month lock-up. Shares will be issued at closing of the transaction; (2) $100 million in cash that is payable by the Company within 90 days of the closing of the transaction; and (3) an earnout of up to $500 million payable in the Company’s ordinary shares valued at $72 per share and paid in 3 independent tranches subject to Resulticks attaining at least 75% of the below audited EBITDA threshold figures:</w:t>
      </w:r>
    </w:p>
    <w:p>
      <w:pPr>
        <w:spacing w:after="0" w:line="212" w:lineRule="exact"/>
        <w:rPr>
          <w:sz w:val="20"/>
          <w:szCs w:val="20"/>
          <w:color w:val="auto"/>
        </w:rPr>
      </w:pPr>
    </w:p>
    <w:tbl>
      <w:tblPr>
        <w:tblLayout w:type="fixed"/>
        <w:tblInd w:w="900" w:type="dxa"/>
        <w:tblCellMar>
          <w:top w:w="0" w:type="dxa"/>
          <w:left w:w="0" w:type="dxa"/>
          <w:bottom w:w="0" w:type="dxa"/>
          <w:right w:w="0" w:type="dxa"/>
        </w:tblCellMar>
      </w:tblPr>
      <w:tr>
        <w:trPr>
          <w:trHeight w:val="218"/>
        </w:trPr>
        <w:tc>
          <w:tcPr>
            <w:tcW w:w="700" w:type="dxa"/>
            <w:vAlign w:val="bottom"/>
          </w:tcPr>
          <w:p>
            <w:pPr>
              <w:spacing w:after="0"/>
              <w:rPr>
                <w:sz w:val="18"/>
                <w:szCs w:val="18"/>
                <w:color w:val="auto"/>
              </w:rPr>
            </w:pPr>
          </w:p>
        </w:tc>
        <w:tc>
          <w:tcPr>
            <w:tcW w:w="3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Earnout Amount</w:t>
            </w: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Accounting Period</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EBITDA Threshold*</w:t>
            </w:r>
          </w:p>
        </w:tc>
      </w:tr>
      <w:tr>
        <w:trPr>
          <w:trHeight w:val="195"/>
        </w:trPr>
        <w:tc>
          <w:tcPr>
            <w:tcW w:w="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w:t>
            </w:r>
          </w:p>
        </w:tc>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$166,666,666</w:t>
            </w:r>
          </w:p>
        </w:tc>
        <w:tc>
          <w:tcPr>
            <w:tcW w:w="200" w:type="dxa"/>
            <w:vAlign w:val="bottom"/>
            <w:tcBorders>
              <w:top w:val="single" w:sz="8" w:color="CCEEFF"/>
            </w:tcBorders>
            <w:shd w:val="clear" w:color="auto" w:fill="CCEEFF"/>
          </w:tcPr>
          <w:p>
            <w:pPr>
              <w:spacing w:after="0"/>
              <w:rPr>
                <w:sz w:val="16"/>
                <w:szCs w:val="16"/>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Fiscal Year 2026</w:t>
            </w:r>
          </w:p>
        </w:tc>
        <w:tc>
          <w:tcPr>
            <w:tcW w:w="200" w:type="dxa"/>
            <w:vAlign w:val="bottom"/>
            <w:tcBorders>
              <w:top w:val="single" w:sz="8" w:color="CCEEFF"/>
            </w:tcBorders>
            <w:shd w:val="clear" w:color="auto" w:fill="CCEEFF"/>
          </w:tcPr>
          <w:p>
            <w:pPr>
              <w:spacing w:after="0"/>
              <w:rPr>
                <w:sz w:val="16"/>
                <w:szCs w:val="16"/>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$100,000,000</w:t>
            </w:r>
          </w:p>
        </w:tc>
      </w:tr>
      <w:tr>
        <w:trPr>
          <w:trHeight w:val="202"/>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3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$166,666,667</w:t>
            </w:r>
          </w:p>
        </w:tc>
        <w:tc>
          <w:tcPr>
            <w:tcW w:w="200" w:type="dxa"/>
            <w:vAlign w:val="bottom"/>
          </w:tcPr>
          <w:p>
            <w:pPr>
              <w:spacing w:after="0"/>
              <w:rPr>
                <w:sz w:val="17"/>
                <w:szCs w:val="17"/>
                <w:color w:val="auto"/>
              </w:rPr>
            </w:pPr>
          </w:p>
        </w:tc>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Fiscal Year 2027</w:t>
            </w:r>
          </w:p>
        </w:tc>
        <w:tc>
          <w:tcPr>
            <w:tcW w:w="2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$200,000,000</w:t>
            </w:r>
          </w:p>
        </w:tc>
      </w:tr>
      <w:tr>
        <w:trPr>
          <w:trHeight w:val="202"/>
        </w:trPr>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w:t>
            </w:r>
          </w:p>
        </w:tc>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$166,666,667</w:t>
            </w:r>
          </w:p>
        </w:tc>
        <w:tc>
          <w:tcPr>
            <w:tcW w:w="200" w:type="dxa"/>
            <w:vAlign w:val="bottom"/>
            <w:shd w:val="clear" w:color="auto" w:fill="CCEEFF"/>
          </w:tcPr>
          <w:p>
            <w:pPr>
              <w:spacing w:after="0"/>
              <w:rPr>
                <w:sz w:val="17"/>
                <w:szCs w:val="17"/>
                <w:color w:val="auto"/>
              </w:rPr>
            </w:pPr>
          </w:p>
        </w:tc>
        <w:tc>
          <w:tcPr>
            <w:tcW w:w="3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8"/>
              </w:rPr>
              <w:t>Fiscal Year 2028</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$325,000,000</w:t>
            </w:r>
          </w:p>
        </w:tc>
      </w:tr>
    </w:tbl>
    <w:p>
      <w:pPr>
        <w:spacing w:after="0" w:line="210" w:lineRule="exact"/>
        <w:rPr>
          <w:sz w:val="20"/>
          <w:szCs w:val="20"/>
          <w:color w:val="auto"/>
        </w:rPr>
      </w:pPr>
    </w:p>
    <w:p>
      <w:pPr>
        <w:ind w:left="320" w:hanging="151"/>
        <w:spacing w:after="0"/>
        <w:tabs>
          <w:tab w:leader="none" w:pos="32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Resulticks shall receive a pro rated portion of the Earnout Amount provided Resulticks achieves between 75% and 100% of the EBITDA Threshold.</w:t>
      </w:r>
    </w:p>
    <w:p>
      <w:pPr>
        <w:spacing w:after="0" w:line="308"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23, 2025, the Company entered into a funding agreement with Resulticks. Under the terms of this agreement, the Company has agreed to provide Resulticks with funding of up to $11,000,000, to be disbursed in tranches as mutually agreed between the parties. The funding is intended to be completed by 11 July 2025 and will be offset against the proposed $200 million post-acquisition funding, if the acquisition proceeds. In the event that (a) the parties mutually determine not to proceed with the acquisition, or (b) the parties fail to enter into a definitive agreement by July 28, 2025 (or such later date as may be mutually agreed) (each a “Deal Failure”), any amounts disbursed under the funding arrangement will become repayable within 45 calendar days of a Deal Failure and will accrue interest at a rate of 10% per annum, effective from the date of initial disbursement until repayment.</w:t>
      </w:r>
    </w:p>
    <w:p>
      <w:pPr>
        <w:spacing w:after="0" w:line="175" w:lineRule="exact"/>
        <w:rPr>
          <w:rFonts w:ascii="Times New Roman" w:cs="Times New Roman" w:eastAsia="Times New Roman" w:hAnsi="Times New Roman"/>
          <w:sz w:val="17"/>
          <w:szCs w:val="17"/>
          <w:color w:val="auto"/>
        </w:rPr>
      </w:pPr>
    </w:p>
    <w:p>
      <w:pPr>
        <w:ind w:left="60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Furthermore, the agreement provides that if Resulticks raises capital or draws down from a debt facility prior to the acquisition or a Deal Failure, the proceeds from such funding must be applied to repay any amounts disbursed by Diginex under the funding arrangement.</w:t>
      </w:r>
    </w:p>
    <w:p>
      <w:pPr>
        <w:spacing w:after="0" w:line="158"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 to the date of this report, the Company has disbursed $8 million to Resulticks.</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June 24, 2025, the Company received a non-interest-bearing advance of $5 million from Rhino Ventures who holds IPO Warrants in the Company and a further advance of $3 million on July 4, 2025. Rhino Ventures intends to make additional advances on a piecemeal basis through to late-July 2025, with the total amount to be applied toward the exercise of certain tranches of IPO Warrants into ordinary shares of the Company.</w:t>
      </w:r>
    </w:p>
    <w:p>
      <w:pPr>
        <w:spacing w:after="0" w:line="169"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1, 2025, the Board of Directors approved a forward stock split of its authorized issued and unissued shares such that the authorized share capital of</w:t>
      </w:r>
    </w:p>
    <w:p>
      <w:pPr>
        <w:sectPr>
          <w:pgSz w:w="11900" w:h="16838" w:orient="portrait"/>
          <w:cols w:equalWidth="0" w:num="1">
            <w:col w:w="11240"/>
          </w:cols>
          <w:pgMar w:left="320" w:top="649" w:right="339" w:bottom="0" w:gutter="0" w:footer="0" w:header="0"/>
        </w:sectPr>
      </w:pPr>
    </w:p>
    <w:bookmarkStart w:id="168" w:name="page169"/>
    <w:bookmarkEnd w:id="168"/>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Company shall be changed to US$50,000 divided into 7,680,000,000 ordinary shares of par value $0.00000625 each and 320,000,000 preferred shares of par value $0.00000625 each. The forward stock split is subject to shareholders approval and will be voted on at an extraordinary general meeting (EGM) to be held on July 29,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29 EVENTS (UNAUDITED) SUBSEQUENT TO THE DATE OF INDEPENDENT AUDITOR’S REPORT</w:t>
      </w:r>
    </w:p>
    <w:p>
      <w:pPr>
        <w:spacing w:after="0" w:line="212" w:lineRule="exact"/>
        <w:rPr>
          <w:sz w:val="20"/>
          <w:szCs w:val="20"/>
          <w:color w:val="auto"/>
        </w:rPr>
      </w:pPr>
    </w:p>
    <w:p>
      <w:pPr>
        <w:jc w:val="both"/>
        <w:ind w:left="600" w:hanging="297"/>
        <w:spacing w:after="0" w:line="261" w:lineRule="auto"/>
        <w:tabs>
          <w:tab w:leader="none" w:pos="6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22, 2025, Rhino Ventures Limited exercised all of the Tranche 1 Warrants to purchase 2,250,000 Ordinary Shares at an exercise price of $5.13 per share, which were to expire on July 23, 2025. In connection with the exercise of the warrants Rhino Ventures Limited paid the exercise price of $11,542,500 to the Company.</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12, 2025, the Company signed a memorandum of understanding (“the Findings MOU”) to acquire 100% of the shares of IDRRA Cyber Security Ltd (also known as Findings) for shares and cash. Findings provides innovative category leading supply chain risk monitoring and vendor risk automation solutions in the cybersecurity and sustainability regulatory domains.</w:t>
      </w:r>
    </w:p>
    <w:p>
      <w:pPr>
        <w:spacing w:after="0" w:line="169"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Findings MOU values Findings at US$305 million which will be paid by $270 million in the Company’s ordinary shares and up to US$35 million in cash. The Company’s ordinary shares will be valued based on the 60-business day trailing VWAP of the Company’s ordinary shares as of the Findings MOU signing date, with ordinary shares subject to customary lock-up periods ranging from 9 to 18 months for Findings’ shareholders. The cash consideration will be split as $15 million paid upon closing and $20 million paid subject to Findings achieving certain EBITDA or ARR thresholds.</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22, 2025, the Nomas WPA was rescinded by mutual agreement of Rhino Ventures Limited and Nomas Global Investments-L.L.C-S.P.C and the Nomas Warrants were returned to Rhino Ventures Limited and the previously issued promissory note from Nomas Global Investments L.L.C-S.P.C to Rhino Ventures Limited in the amount of $50,000,000 as the initial consideration under the Nomas WPA has been cancelled. Accordingly, Rhino Ventures Limited is the owner of 100% of the outstanding IPO Warrants.</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18, 2025 Diginex announced an eight (8) for one (1) forward stock split to be paid in the form of a bonus share issuance. Each shareholder of the Company of record at the close of business on September 5, 2025 will receive 7 bonus ordinary shares for every one ordinary share held on the record date. The Company expects the bonus shares will be distributed on September 8, 2025.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30"/>
          <w:szCs w:val="30"/>
          <w:b w:val="1"/>
          <w:bCs w:val="1"/>
          <w:color w:val="auto"/>
        </w:rPr>
        <w:t>DIGINEX LIMITED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4,500,000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RESALE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03"/>
        <w:spacing w:after="0" w:line="256" w:lineRule="auto"/>
        <w:rPr>
          <w:sz w:val="20"/>
          <w:szCs w:val="20"/>
          <w:color w:val="auto"/>
        </w:rPr>
      </w:pPr>
      <w:r>
        <w:rPr>
          <w:rFonts w:ascii="Times New Roman" w:cs="Times New Roman" w:eastAsia="Times New Roman" w:hAnsi="Times New Roman"/>
          <w:sz w:val="17"/>
          <w:szCs w:val="17"/>
          <w:color w:val="auto"/>
        </w:rPr>
        <w:t>You should rely only on the information contained in this Resale Prospectus. No dealer, salesperson or other person is authorized to give information that is not contained in this Resale Prospectus. This Resale Prospectus is not an offer to sell nor is it seeking an offer to buy these securities in any jurisdiction where the offer or sale is not permitted. The information contained in this Resale Prospectus is correct only as of the date of this prospectus, regardless of the time of the delivery of this prospectus or the sale of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Indemnification of Directors and Officers.</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or against the indemnified person’s own fraud or dishonesty. Our Amended and Restated Memorandum and Articles provide to the extent permitted by law, we shall indemnify each existing or former secretary, director (including alternate director), and any of our other officers (including an investment adviser or an administrator or liquidator) and their personal representatives against: (a) 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 (b) 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No such existing or former director (including alternate director), secretary or officer, however, shall be indemnified in respect of any matter arising out of his own dishonesty, fraud, willful default or willful neglect.</w:t>
      </w:r>
    </w:p>
    <w:p>
      <w:pPr>
        <w:spacing w:after="0" w:line="17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To the extent permitted by the Companies Act,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Recent Sales of Unregistered Securities.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Set forth below is information regarding securities issued by Diginex Limited during the last three years and securities issued by DSL during the last three years. None of the below described transactions involved any underwriters, underwriting discounts and commissions or commissions, or any public offering.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Unregistered sales by Diginex Limited:</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August 6, 2024, Diginex Limited issued 294,380 Ordinary Shares to Mark Blick following the exercise of employee share options for consideration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$14.72.</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On August 6, 2024, Diginex Limited issued 294,380 Ordinary Shares to Miles Pelham following the exercise of employee share options for consideration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$14.72.</w:t>
      </w:r>
    </w:p>
    <w:p>
      <w:pPr>
        <w:spacing w:after="0" w:line="19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August 6, 2024, Diginex Limited issued 180,400 Ordinary Shares to Christian Thierfelder following the exercise of employee share options for consideration of $9.02.</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On August 6, 2024, Diginex Limited issued 180,400 Ordinary Shares to Graham Bridges following the exercise of employee share options for consideration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$9.02.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71" w:name="page172"/>
    <w:bookmarkEnd w:id="171"/>
    <w:p>
      <w:pPr>
        <w:ind w:left="600"/>
        <w:spacing w:after="0"/>
        <w:rPr>
          <w:sz w:val="20"/>
          <w:szCs w:val="20"/>
          <w:color w:val="auto"/>
        </w:rPr>
      </w:pPr>
      <w:r>
        <w:rPr>
          <w:rFonts w:ascii="Times New Roman" w:cs="Times New Roman" w:eastAsia="Times New Roman" w:hAnsi="Times New Roman"/>
          <w:sz w:val="17"/>
          <w:szCs w:val="17"/>
          <w:color w:val="auto"/>
        </w:rPr>
        <w:t>On August 6, 2024, Diginex Limited issued 29,520 Ordinary Shares to Arman Fatahi following the exercise of employee share options for consideration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$1.48.</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August 6, 2024, Diginex Limited issued 12,300 Ordinary Shares to Ronald Kohn following the exercise of employee share options for consideration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$0.62.</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August 6, 2024, Diginex Limited issued 12,300 Ordinary Shares to Josiah Choi following the exercise of employee share options for consideration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$0.62.</w:t>
      </w:r>
    </w:p>
    <w:p>
      <w:pPr>
        <w:spacing w:after="0" w:line="19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December 20, 2024, following the Company’s registration statement being declared effective by the SEC, Diginex Limited issued 2,347,134 Ordinary Shares in connection with the conversion of all of the outstanding Convertible Loan Notes.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December 20, 2024, following the Company’s registration statement being declared effective by the SEC, Diginex Limited issued 2,583,820 Ordinary Shares in connection with the conversion of 2,583,820 Preferred Shares.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 January 21, 2025, the Company issued RVL 731,707 Ordinary Shares in connection with RVL’s conversion of $3.0 million of the Modified RVL Loan into Ordinary Shares at a price of $4.10 per share.</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January 23, 2025, the Company issued Rhino Ventures Limited the warrants identified below (“IPO Warrants”) in recognition of the continuous financial support Rhino Ventures Limited has provided to the Company over previous years that has been critical to sustaining operations and achieving the IPO. There were no goods or services exchanged with Rhino Ventures Limited for the issuance of the IPO warrants. No new direct consideration was received at the time of issuance, as the warrants were granted to acknowledge the historical value provided by Rhino Ventures Limited.</w:t>
      </w:r>
    </w:p>
    <w:p>
      <w:pPr>
        <w:spacing w:after="0" w:line="175" w:lineRule="exact"/>
        <w:rPr>
          <w:sz w:val="20"/>
          <w:szCs w:val="20"/>
          <w:color w:val="auto"/>
        </w:rPr>
      </w:pPr>
    </w:p>
    <w:p>
      <w:pPr>
        <w:ind w:left="600" w:hanging="297"/>
        <w:spacing w:after="0"/>
        <w:tabs>
          <w:tab w:leader="none" w:pos="6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Warrants to purchase 2,250,000 Ordinary Shares at an exercise price of $5.13 per share, which expire 6 months from January 23, 2025</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Warrants to purchase 2,250,000 Ordinary Shares at an exercise price of $6.15 per share, which expire 9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Warrants to purchase 2,250,000 Ordinary Shares at an exercise price of $7.18 per share, which expire 12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Warrants to purchase 2,250,000 Ordinary Shares at an exercise price of $8.20 per share, which expire 15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5 - Warrants to purchase 2,250,000 Ordinary Shares at an exercise price of $10.25 per share, which expire 18 months from January 23,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6 - Warrants to purchase 2,250,000 Ordinary Shares at an exercise price of $12.30 per share, which expire 24 months from January 23,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Unregistered sales by DSL:</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May 28, 2021, DSL issued 1,111 ordinary shares to Nalimz Holding Limited for consideration of $2,222,222</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July 6, 2021, DSL issued 3,000 preferred shares to HBM IV, Inc. for consideration of $6,000,000</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December 14, 2021, DSL issued 157 ordinary shares to Hafnia SG Pte Ltd for consideration of $500,673</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March 21, 2022, DSL issued 314 ordinary shares to Working Capital Innovation Fund, L.P for consideration of $1,001,346</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5 October 2023, DSL issued 44 ordinary shares to Loretta Wong following the exercise of employee share options for consideration of $0.00</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April 25,2024, DSL issued 44 ordinary shares to Gerard Coenen Gajardo following the exercise of employee share options for consideration of $0.00</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On May 28, 2023, DSL agreed to an $8,000,000 share subscription agreement with Rhino Ventures Limited and on September 28, 2023 executed a subscription agreement (the “RVL Subscription Agreement”). Pursuant to the RVL Subscription Agreement, DSL issued Rhino Ventures Limited 5,086 ordinary shares and 10,172 warrants in exchange for $8.0 million dollars. The warrants will be exercisable for ordinary shares of DSL for a period of three years from the date they are issued and shall be exercisable at a per warrant price of US$2,512. Post the completion of the Restructuring and Share Subdivision, the number of warrant issued was adjusted to 4,170,520 with a price per warrant of US$6.13. The warrants, if fully exercised, will result in the issuance of such number of Ordinary Shares equal to 51% of the then total and outstanding shares of the Company at the time of the warrants being exercised. This will be prorated for partial exercise of warrants. Rhino Ventures Limited paid the subscription price by the payment of $6.1 million in cash and the conversion of $1.9 million of debt due to Rhino Ventures Limited. The RVL Subscription Agreement also activated an anti-dilution clause in the Articles of Association of DSL which resulted in HBM IV, Inc. being issued 151 Preferred Shares for zero consideration. This increased HBM IV, Inc.’s holding to 3,151 Preferred Shares in DSL.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Restructuring</w:t>
      </w:r>
    </w:p>
    <w:p>
      <w:pPr>
        <w:spacing w:after="0" w:line="208"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On July 15, 2024, Diginex Limited and Diginex Solutions (HK) Limited (“DSL”) completed a restructuring pursuant to a share exchange agreement (the “Share Exchange Agreement”), whereby the then existing shareholders of DSL (the “Original Shareholders”) transferred all of their shares in DSL to Diginex Limited, in consideration for Diginex Limited’s issuance of the same class of securities to such shareholders (the “Exchange”). Prior to the Exchange there were 16,756 ordinary shares of DSL issued and outstanding and 3,151 preferred shares of DSL issued and outstanding and 10,172 warrants issued and outstanding. In the Exchange, each of the securities of DSL were exchanged for securities of Diginex Limited at an exchange ratio of one (1) Ordinary Share of DSL for four hundred and ten (410) shares of Diginex Limited, one (1) Preferred Share of DSL for four hundred and ten (410) Preferred Shares of Diginex Limited and one (1) warrant of DSL for four hundred and ten (410) warrants of Diginex Limited.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2" w:name="page173"/>
    <w:bookmarkEnd w:id="172"/>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In connection with the Exchange, Diginex Limited and security holders of DSL consummated the following transactions (the “Ancillary Transactions”): (i) Diginex Limited issued $4.3 million new convertible loan notes to certain Original Shareholders in consideration for the cancellation of the then existing convertible loan notes issued by DSL and held by such Original Shareholders; (ii) Diginex Limited granted certain share options under the share option plan that was adopted by Diginex Limited to the holders of the unexercised share options granted by DSL (the “Original Share Options”), in consideration for the cancellation of the Original Share Options held by such holders. At time of Restructuring there were 629,760 vested but unexercised share options and unvested share options exercisable for such number of Ordinary Shares equal to 1.3% of the issued and outstanding shares of the Company at time of vesting and (iii) Diginex Limited granted certain warrants to purchase Ordinary Shares of Diginex Limited to the holders of the then existing warrants to purchase ordinary shares of DSL (the “Original Warrants”), in consideration for the cancellation of the Original Warrants held by such holders. The convertible loan notes will automatically convert into Ordinary Shares of Diginex Limited upon the effectiveness of this registration statement and whilst there is no automatic vesting of any unvested share options upon completion of the IPO the board of directors, at their discretion, do have the ability to accelerate vesting at any point. The board of directors approved and authorized the acceleration of the vesting of the unvested share options to January 23, 2026. The fair value of all unvested ESOP as of the date of this registration statement is $2.2 million of which $1.0 million has been recognized in the financial statements at March 31, 2025.</w:t>
      </w:r>
    </w:p>
    <w:p>
      <w:pPr>
        <w:spacing w:after="0" w:line="17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We believe that the offers, sales and issuances of the securities described in the preceding paragraphs were exempt from registration either (a) under Section 4(a)(2) of the Securities Act and the rules and regulations promulgated thereunder, in that the transactions were between an issuer and sophisticated investors or members of its senior executive management and did not involve any public offering within the meaning of Section 4(a)(2), (b) under Regulation S promulgated under the Securities Act in that offers, sales and issuances were not made to persons in the United States and no directed selling efforts were made in the United States, or (c) under Rule 701 promulgated under the Securities Act in that the transactions were underwritten compensatory benefit plans or written compensatory contracts.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Exhibits and Financial Statement Schedules.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The following exhibits are included or incorporated by reference in this registration statement on Form F-1: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40" w:type="dxa"/>
            <w:vAlign w:val="bottom"/>
            <w:gridSpan w:val="30"/>
          </w:tcPr>
          <w:p>
            <w:pPr>
              <w:ind w:left="60"/>
              <w:spacing w:after="0"/>
              <w:rPr>
                <w:sz w:val="20"/>
                <w:szCs w:val="20"/>
                <w:color w:val="auto"/>
              </w:rPr>
            </w:pPr>
            <w:r>
              <w:rPr>
                <w:rFonts w:ascii="Times New Roman" w:cs="Times New Roman" w:eastAsia="Times New Roman" w:hAnsi="Times New Roman"/>
                <w:sz w:val="17"/>
                <w:szCs w:val="17"/>
                <w:b w:val="1"/>
                <w:bCs w:val="1"/>
                <w:color w:val="auto"/>
              </w:rPr>
              <w:t>Exhibit Title</w:t>
            </w:r>
          </w:p>
        </w:tc>
      </w:tr>
      <w:tr>
        <w:trPr>
          <w:trHeight w:val="157"/>
        </w:trPr>
        <w:tc>
          <w:tcPr>
            <w:tcW w:w="90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3"/>
                <w:szCs w:val="13"/>
                <w:color w:val="auto"/>
              </w:rPr>
            </w:pPr>
          </w:p>
        </w:tc>
        <w:tc>
          <w:tcPr>
            <w:tcW w:w="10220" w:type="dxa"/>
            <w:vAlign w:val="bottom"/>
            <w:tcBorders>
              <w:top w:val="single" w:sz="8" w:color="auto"/>
            </w:tcBorders>
            <w:gridSpan w:val="42"/>
          </w:tcPr>
          <w:p>
            <w:pPr>
              <w:spacing w:after="0" w:line="157" w:lineRule="exact"/>
              <w:rPr>
                <w:rFonts w:ascii="Times New Roman" w:cs="Times New Roman" w:eastAsia="Times New Roman" w:hAnsi="Times New Roman"/>
                <w:sz w:val="17"/>
                <w:szCs w:val="17"/>
                <w:color w:val="0000EE"/>
              </w:rPr>
            </w:pPr>
            <w:hyperlink r:id="rId216">
              <w:r>
                <w:rPr>
                  <w:rFonts w:ascii="Times New Roman" w:cs="Times New Roman" w:eastAsia="Times New Roman" w:hAnsi="Times New Roman"/>
                  <w:sz w:val="17"/>
                  <w:szCs w:val="17"/>
                  <w:color w:val="0000EE"/>
                </w:rPr>
                <w:t>Underwriting Agreement by and between Diginex Limited and Dominari Securities, LLC.</w:t>
              </w:r>
            </w:hyperlink>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5"/>
                <w:szCs w:val="15"/>
                <w:color w:val="auto"/>
              </w:rPr>
            </w:pPr>
          </w:p>
        </w:tc>
        <w:tc>
          <w:tcPr>
            <w:tcW w:w="9520" w:type="dxa"/>
            <w:vAlign w:val="bottom"/>
            <w:tcBorders>
              <w:bottom w:val="single" w:sz="8" w:color="0000EE"/>
            </w:tcBorders>
            <w:gridSpan w:val="40"/>
          </w:tcPr>
          <w:p>
            <w:pPr>
              <w:spacing w:after="0" w:line="182" w:lineRule="exact"/>
              <w:rPr>
                <w:rFonts w:ascii="Times New Roman" w:cs="Times New Roman" w:eastAsia="Times New Roman" w:hAnsi="Times New Roman"/>
                <w:sz w:val="17"/>
                <w:szCs w:val="17"/>
                <w:color w:val="0000EE"/>
                <w:w w:val="98"/>
              </w:rPr>
            </w:pPr>
            <w:hyperlink r:id="rId217">
              <w:r>
                <w:rPr>
                  <w:rFonts w:ascii="Times New Roman" w:cs="Times New Roman" w:eastAsia="Times New Roman" w:hAnsi="Times New Roman"/>
                  <w:sz w:val="17"/>
                  <w:szCs w:val="17"/>
                  <w:color w:val="0000EE"/>
                  <w:w w:val="98"/>
                </w:rPr>
                <w:t>Share Exchange Agreement, dated July 15, 2024, by and between Diginex Limited and the equity holders of Diginex Solutions (HK) Limited</w:t>
              </w:r>
            </w:hyperlink>
          </w:p>
        </w:tc>
        <w:tc>
          <w:tcPr>
            <w:tcW w:w="720" w:type="dxa"/>
            <w:vAlign w:val="bottom"/>
            <w:gridSpan w:val="3"/>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rFonts w:ascii="Times New Roman" w:cs="Times New Roman" w:eastAsia="Times New Roman" w:hAnsi="Times New Roman"/>
                <w:sz w:val="17"/>
                <w:szCs w:val="17"/>
                <w:color w:val="0000EE"/>
              </w:rPr>
            </w:pPr>
            <w:hyperlink r:id="rId218">
              <w:r>
                <w:rPr>
                  <w:rFonts w:ascii="Times New Roman" w:cs="Times New Roman" w:eastAsia="Times New Roman" w:hAnsi="Times New Roman"/>
                  <w:sz w:val="17"/>
                  <w:szCs w:val="17"/>
                  <w:color w:val="0000EE"/>
                </w:rPr>
                <w:t>Diginex Limited Amended and Restated Memorandum and Articles of Association</w:t>
              </w:r>
            </w:hyperlink>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5"/>
                <w:szCs w:val="15"/>
                <w:color w:val="auto"/>
              </w:rPr>
            </w:pPr>
          </w:p>
        </w:tc>
        <w:tc>
          <w:tcPr>
            <w:tcW w:w="322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7"/>
                <w:szCs w:val="17"/>
                <w:color w:val="0000EE"/>
                <w:w w:val="98"/>
              </w:rPr>
            </w:pPr>
            <w:hyperlink r:id="rId219">
              <w:r>
                <w:rPr>
                  <w:rFonts w:ascii="Times New Roman" w:cs="Times New Roman" w:eastAsia="Times New Roman" w:hAnsi="Times New Roman"/>
                  <w:sz w:val="17"/>
                  <w:szCs w:val="17"/>
                  <w:color w:val="0000EE"/>
                  <w:w w:val="98"/>
                </w:rPr>
                <w:t>Specimen Share Certificate for Ordinary Shares</w:t>
              </w:r>
            </w:hyperlink>
          </w:p>
        </w:tc>
        <w:tc>
          <w:tcPr>
            <w:tcW w:w="2360" w:type="dxa"/>
            <w:vAlign w:val="bottom"/>
            <w:tcBorders>
              <w:top w:val="single" w:sz="8" w:color="0000EE"/>
            </w:tcBorders>
            <w:gridSpan w:val="9"/>
          </w:tcPr>
          <w:p>
            <w:pPr>
              <w:spacing w:after="0"/>
              <w:rPr>
                <w:sz w:val="15"/>
                <w:szCs w:val="15"/>
                <w:color w:val="auto"/>
              </w:rPr>
            </w:pPr>
          </w:p>
        </w:tc>
        <w:tc>
          <w:tcPr>
            <w:tcW w:w="4660" w:type="dxa"/>
            <w:vAlign w:val="bottom"/>
            <w:gridSpan w:val="27"/>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5"/>
                <w:szCs w:val="15"/>
                <w:color w:val="auto"/>
              </w:rPr>
            </w:pPr>
          </w:p>
        </w:tc>
        <w:tc>
          <w:tcPr>
            <w:tcW w:w="3240" w:type="dxa"/>
            <w:vAlign w:val="bottom"/>
            <w:tcBorders>
              <w:bottom w:val="single" w:sz="8" w:color="0000EE"/>
            </w:tcBorders>
            <w:gridSpan w:val="8"/>
          </w:tcPr>
          <w:p>
            <w:pPr>
              <w:spacing w:after="0" w:line="182" w:lineRule="exact"/>
              <w:rPr>
                <w:rFonts w:ascii="Times New Roman" w:cs="Times New Roman" w:eastAsia="Times New Roman" w:hAnsi="Times New Roman"/>
                <w:sz w:val="17"/>
                <w:szCs w:val="17"/>
                <w:color w:val="0000EE"/>
                <w:w w:val="98"/>
              </w:rPr>
            </w:pPr>
            <w:hyperlink r:id="rId220">
              <w:r>
                <w:rPr>
                  <w:rFonts w:ascii="Times New Roman" w:cs="Times New Roman" w:eastAsia="Times New Roman" w:hAnsi="Times New Roman"/>
                  <w:sz w:val="17"/>
                  <w:szCs w:val="17"/>
                  <w:color w:val="0000EE"/>
                  <w:w w:val="98"/>
                </w:rPr>
                <w:t>Specimen Share Certificate for Preferred Shares</w:t>
              </w:r>
            </w:hyperlink>
          </w:p>
        </w:tc>
        <w:tc>
          <w:tcPr>
            <w:tcW w:w="7000" w:type="dxa"/>
            <w:vAlign w:val="bottom"/>
            <w:gridSpan w:val="35"/>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15"/>
                <w:szCs w:val="15"/>
                <w:color w:val="auto"/>
              </w:rPr>
            </w:pPr>
          </w:p>
        </w:tc>
        <w:tc>
          <w:tcPr>
            <w:tcW w:w="388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8"/>
              </w:rPr>
            </w:pPr>
            <w:hyperlink r:id="rId221">
              <w:r>
                <w:rPr>
                  <w:rFonts w:ascii="Times New Roman" w:cs="Times New Roman" w:eastAsia="Times New Roman" w:hAnsi="Times New Roman"/>
                  <w:sz w:val="17"/>
                  <w:szCs w:val="17"/>
                  <w:color w:val="0000EE"/>
                  <w:w w:val="98"/>
                </w:rPr>
                <w:t>Diginex Limited IPO Warrant Agreements 25% Premium</w:t>
              </w:r>
            </w:hyperlink>
          </w:p>
        </w:tc>
        <w:tc>
          <w:tcPr>
            <w:tcW w:w="6360" w:type="dxa"/>
            <w:vAlign w:val="bottom"/>
            <w:gridSpan w:val="33"/>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5"/>
                <w:szCs w:val="15"/>
                <w:color w:val="auto"/>
              </w:rPr>
            </w:pPr>
          </w:p>
        </w:tc>
        <w:tc>
          <w:tcPr>
            <w:tcW w:w="388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8"/>
              </w:rPr>
            </w:pPr>
            <w:hyperlink r:id="rId222">
              <w:r>
                <w:rPr>
                  <w:rFonts w:ascii="Times New Roman" w:cs="Times New Roman" w:eastAsia="Times New Roman" w:hAnsi="Times New Roman"/>
                  <w:sz w:val="17"/>
                  <w:szCs w:val="17"/>
                  <w:color w:val="0000EE"/>
                  <w:w w:val="98"/>
                </w:rPr>
                <w:t>Diginex Limited IPO Warrant Agreements 50% Premium</w:t>
              </w:r>
            </w:hyperlink>
          </w:p>
        </w:tc>
        <w:tc>
          <w:tcPr>
            <w:tcW w:w="6360" w:type="dxa"/>
            <w:vAlign w:val="bottom"/>
            <w:gridSpan w:val="33"/>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15"/>
                <w:szCs w:val="15"/>
                <w:color w:val="auto"/>
              </w:rPr>
            </w:pPr>
          </w:p>
        </w:tc>
        <w:tc>
          <w:tcPr>
            <w:tcW w:w="3880" w:type="dxa"/>
            <w:vAlign w:val="bottom"/>
            <w:tcBorders>
              <w:bottom w:val="single" w:sz="8" w:color="0000EE"/>
            </w:tcBorders>
            <w:gridSpan w:val="10"/>
          </w:tcPr>
          <w:p>
            <w:pPr>
              <w:spacing w:after="0" w:line="182" w:lineRule="exact"/>
              <w:rPr>
                <w:rFonts w:ascii="Times New Roman" w:cs="Times New Roman" w:eastAsia="Times New Roman" w:hAnsi="Times New Roman"/>
                <w:sz w:val="17"/>
                <w:szCs w:val="17"/>
                <w:color w:val="0000EE"/>
                <w:w w:val="98"/>
              </w:rPr>
            </w:pPr>
            <w:hyperlink r:id="rId223">
              <w:r>
                <w:rPr>
                  <w:rFonts w:ascii="Times New Roman" w:cs="Times New Roman" w:eastAsia="Times New Roman" w:hAnsi="Times New Roman"/>
                  <w:sz w:val="17"/>
                  <w:szCs w:val="17"/>
                  <w:color w:val="0000EE"/>
                  <w:w w:val="98"/>
                </w:rPr>
                <w:t>Diginex Limited IPO Warrant Agreements 75% Premium</w:t>
              </w:r>
            </w:hyperlink>
          </w:p>
        </w:tc>
        <w:tc>
          <w:tcPr>
            <w:tcW w:w="6360" w:type="dxa"/>
            <w:vAlign w:val="bottom"/>
            <w:gridSpan w:val="33"/>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5"/>
                <w:szCs w:val="15"/>
                <w:color w:val="auto"/>
              </w:rPr>
            </w:pPr>
          </w:p>
        </w:tc>
        <w:tc>
          <w:tcPr>
            <w:tcW w:w="398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w w:val="98"/>
              </w:rPr>
            </w:pPr>
            <w:hyperlink r:id="rId224">
              <w:r>
                <w:rPr>
                  <w:rFonts w:ascii="Times New Roman" w:cs="Times New Roman" w:eastAsia="Times New Roman" w:hAnsi="Times New Roman"/>
                  <w:sz w:val="17"/>
                  <w:szCs w:val="17"/>
                  <w:color w:val="0000EE"/>
                  <w:w w:val="98"/>
                </w:rPr>
                <w:t>Diginex Limited IPO Warrant Agreements 100% Premium</w:t>
              </w:r>
            </w:hyperlink>
          </w:p>
        </w:tc>
        <w:tc>
          <w:tcPr>
            <w:tcW w:w="6260" w:type="dxa"/>
            <w:vAlign w:val="bottom"/>
            <w:gridSpan w:val="31"/>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4.7*</w:t>
            </w:r>
          </w:p>
        </w:tc>
        <w:tc>
          <w:tcPr>
            <w:tcW w:w="120" w:type="dxa"/>
            <w:vAlign w:val="bottom"/>
          </w:tcPr>
          <w:p>
            <w:pPr>
              <w:spacing w:after="0"/>
              <w:rPr>
                <w:sz w:val="15"/>
                <w:szCs w:val="15"/>
                <w:color w:val="auto"/>
              </w:rPr>
            </w:pPr>
          </w:p>
        </w:tc>
        <w:tc>
          <w:tcPr>
            <w:tcW w:w="3980" w:type="dxa"/>
            <w:vAlign w:val="bottom"/>
            <w:tcBorders>
              <w:bottom w:val="single" w:sz="8" w:color="0000EE"/>
            </w:tcBorders>
            <w:gridSpan w:val="12"/>
          </w:tcPr>
          <w:p>
            <w:pPr>
              <w:spacing w:after="0" w:line="182" w:lineRule="exact"/>
              <w:rPr>
                <w:rFonts w:ascii="Times New Roman" w:cs="Times New Roman" w:eastAsia="Times New Roman" w:hAnsi="Times New Roman"/>
                <w:sz w:val="17"/>
                <w:szCs w:val="17"/>
                <w:color w:val="0000EE"/>
                <w:w w:val="98"/>
              </w:rPr>
            </w:pPr>
            <w:hyperlink r:id="rId225">
              <w:r>
                <w:rPr>
                  <w:rFonts w:ascii="Times New Roman" w:cs="Times New Roman" w:eastAsia="Times New Roman" w:hAnsi="Times New Roman"/>
                  <w:sz w:val="17"/>
                  <w:szCs w:val="17"/>
                  <w:color w:val="0000EE"/>
                  <w:w w:val="98"/>
                </w:rPr>
                <w:t>Diginex Limited IPO Warrant Agreements 150% Premium</w:t>
              </w:r>
            </w:hyperlink>
          </w:p>
        </w:tc>
        <w:tc>
          <w:tcPr>
            <w:tcW w:w="6260" w:type="dxa"/>
            <w:vAlign w:val="bottom"/>
            <w:gridSpan w:val="31"/>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4.8*</w:t>
            </w:r>
          </w:p>
        </w:tc>
        <w:tc>
          <w:tcPr>
            <w:tcW w:w="120" w:type="dxa"/>
            <w:vAlign w:val="bottom"/>
          </w:tcPr>
          <w:p>
            <w:pPr>
              <w:spacing w:after="0"/>
              <w:rPr>
                <w:sz w:val="15"/>
                <w:szCs w:val="15"/>
                <w:color w:val="auto"/>
              </w:rPr>
            </w:pPr>
          </w:p>
        </w:tc>
        <w:tc>
          <w:tcPr>
            <w:tcW w:w="3960" w:type="dxa"/>
            <w:vAlign w:val="bottom"/>
            <w:tcBorders>
              <w:bottom w:val="single" w:sz="8" w:color="0000EE"/>
            </w:tcBorders>
            <w:gridSpan w:val="11"/>
          </w:tcPr>
          <w:p>
            <w:pPr>
              <w:spacing w:after="0" w:line="182" w:lineRule="exact"/>
              <w:rPr>
                <w:rFonts w:ascii="Times New Roman" w:cs="Times New Roman" w:eastAsia="Times New Roman" w:hAnsi="Times New Roman"/>
                <w:sz w:val="17"/>
                <w:szCs w:val="17"/>
                <w:color w:val="0000EE"/>
                <w:w w:val="98"/>
              </w:rPr>
            </w:pPr>
            <w:hyperlink r:id="rId226">
              <w:r>
                <w:rPr>
                  <w:rFonts w:ascii="Times New Roman" w:cs="Times New Roman" w:eastAsia="Times New Roman" w:hAnsi="Times New Roman"/>
                  <w:sz w:val="17"/>
                  <w:szCs w:val="17"/>
                  <w:color w:val="0000EE"/>
                  <w:w w:val="98"/>
                </w:rPr>
                <w:t>Diginex Limited IPO Warrant Agreements 200% Premium</w:t>
              </w:r>
            </w:hyperlink>
          </w:p>
        </w:tc>
        <w:tc>
          <w:tcPr>
            <w:tcW w:w="6280" w:type="dxa"/>
            <w:vAlign w:val="bottom"/>
            <w:gridSpan w:val="32"/>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rFonts w:ascii="Times New Roman" w:cs="Times New Roman" w:eastAsia="Times New Roman" w:hAnsi="Times New Roman"/>
                <w:sz w:val="17"/>
                <w:szCs w:val="17"/>
                <w:color w:val="0000EE"/>
              </w:rPr>
            </w:pPr>
            <w:hyperlink r:id="rId227">
              <w:r>
                <w:rPr>
                  <w:rFonts w:ascii="Times New Roman" w:cs="Times New Roman" w:eastAsia="Times New Roman" w:hAnsi="Times New Roman"/>
                  <w:sz w:val="17"/>
                  <w:szCs w:val="17"/>
                  <w:color w:val="0000EE"/>
                </w:rPr>
                <w:t>Exercise notice for Tranche 1 of IPO Warrants</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5"/>
                <w:szCs w:val="15"/>
                <w:color w:val="auto"/>
              </w:rPr>
            </w:pPr>
          </w:p>
        </w:tc>
        <w:tc>
          <w:tcPr>
            <w:tcW w:w="5520" w:type="dxa"/>
            <w:vAlign w:val="bottom"/>
            <w:tcBorders>
              <w:bottom w:val="single" w:sz="8" w:color="0000EE"/>
            </w:tcBorders>
            <w:gridSpan w:val="15"/>
          </w:tcPr>
          <w:p>
            <w:pPr>
              <w:spacing w:after="0" w:line="182" w:lineRule="exact"/>
              <w:rPr>
                <w:rFonts w:ascii="Times New Roman" w:cs="Times New Roman" w:eastAsia="Times New Roman" w:hAnsi="Times New Roman"/>
                <w:sz w:val="17"/>
                <w:szCs w:val="17"/>
                <w:color w:val="0000EE"/>
                <w:w w:val="98"/>
              </w:rPr>
            </w:pPr>
            <w:hyperlink r:id="rId228">
              <w:r>
                <w:rPr>
                  <w:rFonts w:ascii="Times New Roman" w:cs="Times New Roman" w:eastAsia="Times New Roman" w:hAnsi="Times New Roman"/>
                  <w:sz w:val="17"/>
                  <w:szCs w:val="17"/>
                  <w:color w:val="0000EE"/>
                  <w:w w:val="98"/>
                </w:rPr>
                <w:t>Legal Opinion of Ogier regarding the validity of Ordinary Shares being registered</w:t>
              </w:r>
            </w:hyperlink>
          </w:p>
        </w:tc>
        <w:tc>
          <w:tcPr>
            <w:tcW w:w="4720" w:type="dxa"/>
            <w:vAlign w:val="bottom"/>
            <w:gridSpan w:val="28"/>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10.1*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42"/>
          </w:tcPr>
          <w:p>
            <w:pPr>
              <w:spacing w:after="0" w:line="182" w:lineRule="exact"/>
              <w:rPr>
                <w:rFonts w:ascii="Times New Roman" w:cs="Times New Roman" w:eastAsia="Times New Roman" w:hAnsi="Times New Roman"/>
                <w:sz w:val="17"/>
                <w:szCs w:val="17"/>
                <w:color w:val="0000EE"/>
              </w:rPr>
            </w:pPr>
            <w:hyperlink r:id="rId229">
              <w:r>
                <w:rPr>
                  <w:rFonts w:ascii="Times New Roman" w:cs="Times New Roman" w:eastAsia="Times New Roman" w:hAnsi="Times New Roman"/>
                  <w:sz w:val="17"/>
                  <w:szCs w:val="17"/>
                  <w:color w:val="0000EE"/>
                </w:rPr>
                <w:t>Agreement for the Sale and Purchase of Diginex Solutions (HK) Limited and Diginex USA, LLC by and among Diginex Solutions Limited, Diginex</w:t>
              </w:r>
            </w:hyperlink>
          </w:p>
        </w:tc>
        <w:tc>
          <w:tcPr>
            <w:tcW w:w="20" w:type="dxa"/>
            <w:vAlign w:val="bottom"/>
          </w:tcPr>
          <w:p>
            <w:pPr>
              <w:spacing w:after="0"/>
              <w:rPr>
                <w:sz w:val="15"/>
                <w:szCs w:val="15"/>
                <w:color w:val="auto"/>
              </w:rPr>
            </w:pP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rFonts w:ascii="Times New Roman" w:cs="Times New Roman" w:eastAsia="Times New Roman" w:hAnsi="Times New Roman"/>
                <w:sz w:val="17"/>
                <w:szCs w:val="17"/>
                <w:color w:val="0000EE"/>
              </w:rPr>
            </w:pPr>
            <w:hyperlink r:id="rId229">
              <w:r>
                <w:rPr>
                  <w:rFonts w:ascii="Times New Roman" w:cs="Times New Roman" w:eastAsia="Times New Roman" w:hAnsi="Times New Roman"/>
                  <w:sz w:val="17"/>
                  <w:szCs w:val="17"/>
                  <w:color w:val="0000EE"/>
                </w:rPr>
                <w:t>Limited, Pelham Limited, Rhino Ventures Limited Diginex Solutions (HK) Limited and Diginex USA, LLC, dated May 15, 2020</w:t>
              </w:r>
            </w:hyperlink>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10.2*</w:t>
            </w:r>
          </w:p>
        </w:tc>
        <w:tc>
          <w:tcPr>
            <w:tcW w:w="120" w:type="dxa"/>
            <w:vAlign w:val="bottom"/>
          </w:tcPr>
          <w:p>
            <w:pPr>
              <w:spacing w:after="0"/>
              <w:rPr>
                <w:sz w:val="15"/>
                <w:szCs w:val="15"/>
                <w:color w:val="auto"/>
              </w:rPr>
            </w:pPr>
          </w:p>
        </w:tc>
        <w:tc>
          <w:tcPr>
            <w:tcW w:w="5620" w:type="dxa"/>
            <w:vAlign w:val="bottom"/>
            <w:tcBorders>
              <w:top w:val="single" w:sz="8" w:color="0000EE"/>
              <w:bottom w:val="single" w:sz="8" w:color="0000EE"/>
            </w:tcBorders>
            <w:gridSpan w:val="17"/>
          </w:tcPr>
          <w:p>
            <w:pPr>
              <w:spacing w:after="0" w:line="182" w:lineRule="exact"/>
              <w:rPr>
                <w:rFonts w:ascii="Times New Roman" w:cs="Times New Roman" w:eastAsia="Times New Roman" w:hAnsi="Times New Roman"/>
                <w:sz w:val="17"/>
                <w:szCs w:val="17"/>
                <w:color w:val="0000EE"/>
                <w:w w:val="98"/>
              </w:rPr>
            </w:pPr>
            <w:hyperlink r:id="rId230">
              <w:r>
                <w:rPr>
                  <w:rFonts w:ascii="Times New Roman" w:cs="Times New Roman" w:eastAsia="Times New Roman" w:hAnsi="Times New Roman"/>
                  <w:sz w:val="17"/>
                  <w:szCs w:val="17"/>
                  <w:color w:val="0000EE"/>
                  <w:w w:val="98"/>
                </w:rPr>
                <w:t>Convertible Note, dated July 15, 2024, between Diginex Limited and HBM IV, Inc.</w:t>
              </w:r>
            </w:hyperlink>
          </w:p>
        </w:tc>
        <w:tc>
          <w:tcPr>
            <w:tcW w:w="3080" w:type="dxa"/>
            <w:vAlign w:val="bottom"/>
            <w:tcBorders>
              <w:top w:val="single" w:sz="8" w:color="0000EE"/>
            </w:tcBorders>
            <w:gridSpan w:val="22"/>
          </w:tcPr>
          <w:p>
            <w:pPr>
              <w:spacing w:after="0"/>
              <w:rPr>
                <w:sz w:val="15"/>
                <w:szCs w:val="15"/>
                <w:color w:val="auto"/>
              </w:rPr>
            </w:pPr>
          </w:p>
        </w:tc>
        <w:tc>
          <w:tcPr>
            <w:tcW w:w="1540" w:type="dxa"/>
            <w:vAlign w:val="bottom"/>
            <w:gridSpan w:val="4"/>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10.3*</w:t>
            </w:r>
          </w:p>
        </w:tc>
        <w:tc>
          <w:tcPr>
            <w:tcW w:w="120" w:type="dxa"/>
            <w:vAlign w:val="bottom"/>
          </w:tcPr>
          <w:p>
            <w:pPr>
              <w:spacing w:after="0"/>
              <w:rPr>
                <w:sz w:val="15"/>
                <w:szCs w:val="15"/>
                <w:color w:val="auto"/>
              </w:rPr>
            </w:pPr>
          </w:p>
        </w:tc>
        <w:tc>
          <w:tcPr>
            <w:tcW w:w="6420" w:type="dxa"/>
            <w:vAlign w:val="bottom"/>
            <w:tcBorders>
              <w:bottom w:val="single" w:sz="8" w:color="0000EE"/>
            </w:tcBorders>
            <w:gridSpan w:val="25"/>
          </w:tcPr>
          <w:p>
            <w:pPr>
              <w:spacing w:after="0" w:line="182" w:lineRule="exact"/>
              <w:rPr>
                <w:rFonts w:ascii="Times New Roman" w:cs="Times New Roman" w:eastAsia="Times New Roman" w:hAnsi="Times New Roman"/>
                <w:sz w:val="17"/>
                <w:szCs w:val="17"/>
                <w:color w:val="0000EE"/>
                <w:w w:val="98"/>
              </w:rPr>
            </w:pPr>
            <w:hyperlink r:id="rId231">
              <w:r>
                <w:rPr>
                  <w:rFonts w:ascii="Times New Roman" w:cs="Times New Roman" w:eastAsia="Times New Roman" w:hAnsi="Times New Roman"/>
                  <w:sz w:val="17"/>
                  <w:szCs w:val="17"/>
                  <w:color w:val="0000EE"/>
                  <w:w w:val="98"/>
                </w:rPr>
                <w:t>Convertible Note, dated July 15, 2024, between Diginex Limited and Nalimz Holdings Limited</w:t>
              </w:r>
            </w:hyperlink>
          </w:p>
        </w:tc>
        <w:tc>
          <w:tcPr>
            <w:tcW w:w="3820" w:type="dxa"/>
            <w:vAlign w:val="bottom"/>
            <w:gridSpan w:val="18"/>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10.4*</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rFonts w:ascii="Times New Roman" w:cs="Times New Roman" w:eastAsia="Times New Roman" w:hAnsi="Times New Roman"/>
                <w:sz w:val="17"/>
                <w:szCs w:val="17"/>
                <w:color w:val="0000EE"/>
              </w:rPr>
            </w:pPr>
            <w:hyperlink r:id="rId232">
              <w:r>
                <w:rPr>
                  <w:rFonts w:ascii="Times New Roman" w:cs="Times New Roman" w:eastAsia="Times New Roman" w:hAnsi="Times New Roman"/>
                  <w:sz w:val="17"/>
                  <w:szCs w:val="17"/>
                  <w:color w:val="0000EE"/>
                </w:rPr>
                <w:t>Convertible Note, dated July 15, 2024, between Diginex Limited and Working Capital Innovation Fund II, L.P.</w:t>
              </w:r>
            </w:hyperlink>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10.5*</w:t>
            </w:r>
          </w:p>
        </w:tc>
        <w:tc>
          <w:tcPr>
            <w:tcW w:w="120" w:type="dxa"/>
            <w:vAlign w:val="bottom"/>
          </w:tcPr>
          <w:p>
            <w:pPr>
              <w:spacing w:after="0"/>
              <w:rPr>
                <w:sz w:val="15"/>
                <w:szCs w:val="15"/>
                <w:color w:val="auto"/>
              </w:rPr>
            </w:pPr>
          </w:p>
        </w:tc>
        <w:tc>
          <w:tcPr>
            <w:tcW w:w="6320" w:type="dxa"/>
            <w:vAlign w:val="bottom"/>
            <w:tcBorders>
              <w:top w:val="single" w:sz="8" w:color="0000EE"/>
              <w:bottom w:val="single" w:sz="8" w:color="0000EE"/>
            </w:tcBorders>
            <w:gridSpan w:val="23"/>
          </w:tcPr>
          <w:p>
            <w:pPr>
              <w:spacing w:after="0" w:line="182" w:lineRule="exact"/>
              <w:rPr>
                <w:rFonts w:ascii="Times New Roman" w:cs="Times New Roman" w:eastAsia="Times New Roman" w:hAnsi="Times New Roman"/>
                <w:sz w:val="17"/>
                <w:szCs w:val="17"/>
                <w:color w:val="0000EE"/>
                <w:w w:val="98"/>
              </w:rPr>
            </w:pPr>
            <w:hyperlink r:id="rId233">
              <w:r>
                <w:rPr>
                  <w:rFonts w:ascii="Times New Roman" w:cs="Times New Roman" w:eastAsia="Times New Roman" w:hAnsi="Times New Roman"/>
                  <w:sz w:val="17"/>
                  <w:szCs w:val="17"/>
                  <w:color w:val="0000EE"/>
                  <w:w w:val="98"/>
                </w:rPr>
                <w:t>Convertible Note, dated July 15, 2024, between Diginex Limited and Rhino Ventures Limited</w:t>
              </w:r>
            </w:hyperlink>
          </w:p>
        </w:tc>
        <w:tc>
          <w:tcPr>
            <w:tcW w:w="1140" w:type="dxa"/>
            <w:vAlign w:val="bottom"/>
            <w:tcBorders>
              <w:top w:val="single" w:sz="8" w:color="0000EE"/>
            </w:tcBorders>
            <w:gridSpan w:val="7"/>
          </w:tcPr>
          <w:p>
            <w:pPr>
              <w:spacing w:after="0"/>
              <w:rPr>
                <w:sz w:val="15"/>
                <w:szCs w:val="15"/>
                <w:color w:val="auto"/>
              </w:rPr>
            </w:pPr>
          </w:p>
        </w:tc>
        <w:tc>
          <w:tcPr>
            <w:tcW w:w="2780" w:type="dxa"/>
            <w:vAlign w:val="bottom"/>
            <w:gridSpan w:val="13"/>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10.6*</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rFonts w:ascii="Times New Roman" w:cs="Times New Roman" w:eastAsia="Times New Roman" w:hAnsi="Times New Roman"/>
                <w:sz w:val="17"/>
                <w:szCs w:val="17"/>
                <w:color w:val="0000EE"/>
              </w:rPr>
            </w:pPr>
            <w:hyperlink r:id="rId234">
              <w:r>
                <w:rPr>
                  <w:rFonts w:ascii="Times New Roman" w:cs="Times New Roman" w:eastAsia="Times New Roman" w:hAnsi="Times New Roman"/>
                  <w:sz w:val="17"/>
                  <w:szCs w:val="17"/>
                  <w:color w:val="0000EE"/>
                </w:rPr>
                <w:t>Convertible Note, dated July 15, 2024, between Diginex Limited and Hafnia SG Pte Ltd.</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10.7*</w:t>
            </w:r>
          </w:p>
        </w:tc>
        <w:tc>
          <w:tcPr>
            <w:tcW w:w="120" w:type="dxa"/>
            <w:vAlign w:val="bottom"/>
          </w:tcPr>
          <w:p>
            <w:pPr>
              <w:spacing w:after="0"/>
              <w:rPr>
                <w:sz w:val="15"/>
                <w:szCs w:val="15"/>
                <w:color w:val="auto"/>
              </w:rPr>
            </w:pPr>
          </w:p>
        </w:tc>
        <w:tc>
          <w:tcPr>
            <w:tcW w:w="7540" w:type="dxa"/>
            <w:vAlign w:val="bottom"/>
            <w:tcBorders>
              <w:bottom w:val="single" w:sz="8" w:color="0000EE"/>
            </w:tcBorders>
            <w:gridSpan w:val="31"/>
          </w:tcPr>
          <w:p>
            <w:pPr>
              <w:spacing w:after="0" w:line="182" w:lineRule="exact"/>
              <w:rPr>
                <w:rFonts w:ascii="Times New Roman" w:cs="Times New Roman" w:eastAsia="Times New Roman" w:hAnsi="Times New Roman"/>
                <w:sz w:val="17"/>
                <w:szCs w:val="17"/>
                <w:color w:val="0000EE"/>
                <w:w w:val="98"/>
              </w:rPr>
            </w:pPr>
            <w:hyperlink r:id="rId235">
              <w:r>
                <w:rPr>
                  <w:rFonts w:ascii="Times New Roman" w:cs="Times New Roman" w:eastAsia="Times New Roman" w:hAnsi="Times New Roman"/>
                  <w:sz w:val="17"/>
                  <w:szCs w:val="17"/>
                  <w:color w:val="0000EE"/>
                  <w:w w:val="98"/>
                </w:rPr>
                <w:t>Form of Diginex Solutions (HK) Limited Option Cancellation and Diginex Limited Option Issuance Agreement</w:t>
              </w:r>
            </w:hyperlink>
          </w:p>
        </w:tc>
        <w:tc>
          <w:tcPr>
            <w:tcW w:w="2700" w:type="dxa"/>
            <w:vAlign w:val="bottom"/>
            <w:gridSpan w:val="12"/>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10.8*</w:t>
            </w:r>
          </w:p>
        </w:tc>
        <w:tc>
          <w:tcPr>
            <w:tcW w:w="120" w:type="dxa"/>
            <w:vAlign w:val="bottom"/>
          </w:tcPr>
          <w:p>
            <w:pPr>
              <w:spacing w:after="0"/>
              <w:rPr>
                <w:sz w:val="15"/>
                <w:szCs w:val="15"/>
                <w:color w:val="auto"/>
              </w:rPr>
            </w:pPr>
          </w:p>
        </w:tc>
        <w:tc>
          <w:tcPr>
            <w:tcW w:w="5760" w:type="dxa"/>
            <w:vAlign w:val="bottom"/>
            <w:tcBorders>
              <w:bottom w:val="single" w:sz="8" w:color="0000EE"/>
            </w:tcBorders>
            <w:gridSpan w:val="19"/>
          </w:tcPr>
          <w:p>
            <w:pPr>
              <w:spacing w:after="0" w:line="182" w:lineRule="exact"/>
              <w:rPr>
                <w:rFonts w:ascii="Times New Roman" w:cs="Times New Roman" w:eastAsia="Times New Roman" w:hAnsi="Times New Roman"/>
                <w:sz w:val="17"/>
                <w:szCs w:val="17"/>
                <w:color w:val="0000EE"/>
                <w:w w:val="98"/>
              </w:rPr>
            </w:pPr>
            <w:hyperlink r:id="rId236">
              <w:r>
                <w:rPr>
                  <w:rFonts w:ascii="Times New Roman" w:cs="Times New Roman" w:eastAsia="Times New Roman" w:hAnsi="Times New Roman"/>
                  <w:sz w:val="17"/>
                  <w:szCs w:val="17"/>
                  <w:color w:val="0000EE"/>
                  <w:w w:val="98"/>
                </w:rPr>
                <w:t>Diginex Limited Warrant Agreement, dated July 15, 2024, to Rhino Ventures Limited</w:t>
              </w:r>
            </w:hyperlink>
          </w:p>
        </w:tc>
        <w:tc>
          <w:tcPr>
            <w:tcW w:w="4480" w:type="dxa"/>
            <w:vAlign w:val="bottom"/>
            <w:gridSpan w:val="24"/>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10.9*</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rFonts w:ascii="Times New Roman" w:cs="Times New Roman" w:eastAsia="Times New Roman" w:hAnsi="Times New Roman"/>
                <w:sz w:val="17"/>
                <w:szCs w:val="17"/>
                <w:color w:val="0000EE"/>
              </w:rPr>
            </w:pPr>
            <w:hyperlink r:id="rId237">
              <w:r>
                <w:rPr>
                  <w:rFonts w:ascii="Times New Roman" w:cs="Times New Roman" w:eastAsia="Times New Roman" w:hAnsi="Times New Roman"/>
                  <w:sz w:val="17"/>
                  <w:szCs w:val="17"/>
                  <w:color w:val="0000EE"/>
                </w:rPr>
                <w:t>Convertible Loan Agreement dated September 30, 2024, between Diginex Limited, Diginex Solutions (HK) Limited and Rhino Ventures Limited</w:t>
              </w:r>
            </w:hyperlink>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10.10*</w:t>
            </w:r>
          </w:p>
        </w:tc>
        <w:tc>
          <w:tcPr>
            <w:tcW w:w="120" w:type="dxa"/>
            <w:vAlign w:val="bottom"/>
          </w:tcPr>
          <w:p>
            <w:pPr>
              <w:spacing w:after="0"/>
              <w:rPr>
                <w:sz w:val="15"/>
                <w:szCs w:val="15"/>
                <w:color w:val="auto"/>
              </w:rPr>
            </w:pPr>
          </w:p>
        </w:tc>
        <w:tc>
          <w:tcPr>
            <w:tcW w:w="9780" w:type="dxa"/>
            <w:vAlign w:val="bottom"/>
            <w:tcBorders>
              <w:top w:val="single" w:sz="8" w:color="0000EE"/>
            </w:tcBorders>
            <w:gridSpan w:val="41"/>
          </w:tcPr>
          <w:p>
            <w:pPr>
              <w:spacing w:after="0" w:line="182" w:lineRule="exact"/>
              <w:rPr>
                <w:rFonts w:ascii="Times New Roman" w:cs="Times New Roman" w:eastAsia="Times New Roman" w:hAnsi="Times New Roman"/>
                <w:sz w:val="17"/>
                <w:szCs w:val="17"/>
                <w:color w:val="0000EE"/>
              </w:rPr>
            </w:pPr>
            <w:hyperlink r:id="rId238">
              <w:r>
                <w:rPr>
                  <w:rFonts w:ascii="Times New Roman" w:cs="Times New Roman" w:eastAsia="Times New Roman" w:hAnsi="Times New Roman"/>
                  <w:sz w:val="17"/>
                  <w:szCs w:val="17"/>
                  <w:color w:val="0000EE"/>
                </w:rPr>
                <w:t>Diginex Limited Amended and Restated 2024 Omnibus Incentive Plan</w:t>
              </w:r>
            </w:hyperlink>
          </w:p>
        </w:tc>
        <w:tc>
          <w:tcPr>
            <w:tcW w:w="460" w:type="dxa"/>
            <w:vAlign w:val="bottom"/>
            <w:gridSpan w:val="2"/>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10.11*</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rFonts w:ascii="Times New Roman" w:cs="Times New Roman" w:eastAsia="Times New Roman" w:hAnsi="Times New Roman"/>
                <w:sz w:val="17"/>
                <w:szCs w:val="17"/>
                <w:color w:val="0000EE"/>
              </w:rPr>
            </w:pPr>
            <w:hyperlink r:id="rId239">
              <w:r>
                <w:rPr>
                  <w:rFonts w:ascii="Times New Roman" w:cs="Times New Roman" w:eastAsia="Times New Roman" w:hAnsi="Times New Roman"/>
                  <w:sz w:val="17"/>
                  <w:szCs w:val="17"/>
                  <w:color w:val="0000EE"/>
                </w:rPr>
                <w:t>Loan Conversion Agreement, dated January 6, 2025, between Diginex Limited, Diginex Solutions (HK) Limited and Rhino Ventures Limited</w:t>
              </w:r>
            </w:hyperlink>
          </w:p>
        </w:tc>
      </w:tr>
      <w:tr>
        <w:trPr>
          <w:trHeight w:val="207"/>
        </w:trPr>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10.12*</w:t>
            </w:r>
          </w:p>
        </w:tc>
        <w:tc>
          <w:tcPr>
            <w:tcW w:w="120" w:type="dxa"/>
            <w:vAlign w:val="bottom"/>
          </w:tcPr>
          <w:p>
            <w:pPr>
              <w:spacing w:after="0"/>
              <w:rPr>
                <w:sz w:val="17"/>
                <w:szCs w:val="17"/>
                <w:color w:val="auto"/>
              </w:rPr>
            </w:pPr>
          </w:p>
        </w:tc>
        <w:tc>
          <w:tcPr>
            <w:tcW w:w="5980" w:type="dxa"/>
            <w:vAlign w:val="bottom"/>
            <w:tcBorders>
              <w:top w:val="single" w:sz="8" w:color="0000EE"/>
              <w:bottom w:val="single" w:sz="8" w:color="0000EE"/>
            </w:tcBorders>
            <w:gridSpan w:val="20"/>
          </w:tcPr>
          <w:p>
            <w:pPr>
              <w:spacing w:after="0" w:line="207" w:lineRule="exact"/>
              <w:rPr>
                <w:rFonts w:ascii="Times New Roman" w:cs="Times New Roman" w:eastAsia="Times New Roman" w:hAnsi="Times New Roman"/>
                <w:sz w:val="17"/>
                <w:szCs w:val="17"/>
                <w:color w:val="0000EE"/>
                <w:w w:val="99"/>
              </w:rPr>
            </w:pPr>
            <w:hyperlink r:id="rId240">
              <w:r>
                <w:rPr>
                  <w:rFonts w:ascii="Times New Roman" w:cs="Times New Roman" w:eastAsia="Times New Roman" w:hAnsi="Times New Roman"/>
                  <w:sz w:val="17"/>
                  <w:szCs w:val="17"/>
                  <w:color w:val="0000EE"/>
                  <w:w w:val="99"/>
                </w:rPr>
                <w:t>Lease, dated February 26, 2025 between London, Spaces Victoria and Diginex Limited</w:t>
              </w:r>
              <w:r>
                <w:rPr>
                  <w:rFonts w:ascii="Times New Roman" w:cs="Times New Roman" w:eastAsia="Times New Roman" w:hAnsi="Times New Roman"/>
                  <w:sz w:val="20"/>
                  <w:szCs w:val="20"/>
                  <w:color w:val="0000EE"/>
                  <w:w w:val="99"/>
                </w:rPr>
                <w:t>.</w:t>
              </w:r>
            </w:hyperlink>
          </w:p>
        </w:tc>
        <w:tc>
          <w:tcPr>
            <w:tcW w:w="3540" w:type="dxa"/>
            <w:vAlign w:val="bottom"/>
            <w:tcBorders>
              <w:top w:val="single" w:sz="8" w:color="0000EE"/>
            </w:tcBorders>
            <w:gridSpan w:val="20"/>
          </w:tcPr>
          <w:p>
            <w:pPr>
              <w:spacing w:after="0"/>
              <w:rPr>
                <w:sz w:val="17"/>
                <w:szCs w:val="17"/>
                <w:color w:val="auto"/>
              </w:rPr>
            </w:pPr>
          </w:p>
        </w:tc>
        <w:tc>
          <w:tcPr>
            <w:tcW w:w="7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10.13*</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rFonts w:ascii="Times New Roman" w:cs="Times New Roman" w:eastAsia="Times New Roman" w:hAnsi="Times New Roman"/>
                <w:sz w:val="17"/>
                <w:szCs w:val="17"/>
                <w:color w:val="0000EE"/>
              </w:rPr>
            </w:pPr>
            <w:hyperlink r:id="rId241">
              <w:r>
                <w:rPr>
                  <w:rFonts w:ascii="Times New Roman" w:cs="Times New Roman" w:eastAsia="Times New Roman" w:hAnsi="Times New Roman"/>
                  <w:sz w:val="17"/>
                  <w:szCs w:val="17"/>
                  <w:color w:val="0000EE"/>
                </w:rPr>
                <w:t>Memorandum of Understanding, dated March 17, 2025 between Diginex Limited and Nomas Global Investments-L.L.C-S.P.C.</w:t>
              </w:r>
            </w:hyperlink>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10.14*</w:t>
            </w:r>
          </w:p>
        </w:tc>
        <w:tc>
          <w:tcPr>
            <w:tcW w:w="120" w:type="dxa"/>
            <w:vAlign w:val="bottom"/>
          </w:tcPr>
          <w:p>
            <w:pPr>
              <w:spacing w:after="0"/>
              <w:rPr>
                <w:sz w:val="15"/>
                <w:szCs w:val="15"/>
                <w:color w:val="auto"/>
              </w:rPr>
            </w:pPr>
          </w:p>
        </w:tc>
        <w:tc>
          <w:tcPr>
            <w:tcW w:w="8560" w:type="dxa"/>
            <w:vAlign w:val="bottom"/>
            <w:tcBorders>
              <w:top w:val="single" w:sz="8" w:color="0000EE"/>
            </w:tcBorders>
            <w:gridSpan w:val="38"/>
          </w:tcPr>
          <w:p>
            <w:pPr>
              <w:spacing w:after="0" w:line="182" w:lineRule="exact"/>
              <w:rPr>
                <w:rFonts w:ascii="Times New Roman" w:cs="Times New Roman" w:eastAsia="Times New Roman" w:hAnsi="Times New Roman"/>
                <w:sz w:val="17"/>
                <w:szCs w:val="17"/>
                <w:color w:val="0000EE"/>
              </w:rPr>
            </w:pPr>
            <w:hyperlink r:id="rId242">
              <w:r>
                <w:rPr>
                  <w:rFonts w:ascii="Times New Roman" w:cs="Times New Roman" w:eastAsia="Times New Roman" w:hAnsi="Times New Roman"/>
                  <w:sz w:val="17"/>
                  <w:szCs w:val="17"/>
                  <w:color w:val="0000EE"/>
                </w:rPr>
                <w:t>Memorandum of Understanding, dated March 17, 2025 between Diginex Limited and Al Noor Legal Consultants FZE</w:t>
              </w:r>
            </w:hyperlink>
          </w:p>
        </w:tc>
        <w:tc>
          <w:tcPr>
            <w:tcW w:w="1680" w:type="dxa"/>
            <w:vAlign w:val="bottom"/>
            <w:gridSpan w:val="5"/>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10.15*</w:t>
            </w:r>
          </w:p>
        </w:tc>
        <w:tc>
          <w:tcPr>
            <w:tcW w:w="120" w:type="dxa"/>
            <w:vAlign w:val="bottom"/>
          </w:tcPr>
          <w:p>
            <w:pPr>
              <w:spacing w:after="0"/>
              <w:rPr>
                <w:sz w:val="15"/>
                <w:szCs w:val="15"/>
                <w:color w:val="auto"/>
              </w:rPr>
            </w:pPr>
          </w:p>
        </w:tc>
        <w:tc>
          <w:tcPr>
            <w:tcW w:w="7660" w:type="dxa"/>
            <w:vAlign w:val="bottom"/>
            <w:tcBorders>
              <w:top w:val="single" w:sz="8" w:color="0000EE"/>
              <w:bottom w:val="single" w:sz="8" w:color="0000EE"/>
            </w:tcBorders>
            <w:gridSpan w:val="32"/>
          </w:tcPr>
          <w:p>
            <w:pPr>
              <w:spacing w:after="0" w:line="182" w:lineRule="exact"/>
              <w:rPr>
                <w:rFonts w:ascii="Times New Roman" w:cs="Times New Roman" w:eastAsia="Times New Roman" w:hAnsi="Times New Roman"/>
                <w:sz w:val="17"/>
                <w:szCs w:val="17"/>
                <w:color w:val="0000EE"/>
                <w:w w:val="98"/>
              </w:rPr>
            </w:pPr>
            <w:hyperlink r:id="rId243">
              <w:r>
                <w:rPr>
                  <w:rFonts w:ascii="Times New Roman" w:cs="Times New Roman" w:eastAsia="Times New Roman" w:hAnsi="Times New Roman"/>
                  <w:sz w:val="17"/>
                  <w:szCs w:val="17"/>
                  <w:color w:val="0000EE"/>
                  <w:w w:val="98"/>
                </w:rPr>
                <w:t>Service Agreement, dated March 1, 2025, between Diginex Solutions (HK) Ltd. and Russell Beford International.</w:t>
              </w:r>
            </w:hyperlink>
          </w:p>
        </w:tc>
        <w:tc>
          <w:tcPr>
            <w:tcW w:w="300" w:type="dxa"/>
            <w:vAlign w:val="bottom"/>
            <w:tcBorders>
              <w:top w:val="single" w:sz="8" w:color="0000EE"/>
            </w:tcBorders>
            <w:gridSpan w:val="2"/>
          </w:tcPr>
          <w:p>
            <w:pPr>
              <w:spacing w:after="0"/>
              <w:rPr>
                <w:sz w:val="15"/>
                <w:szCs w:val="15"/>
                <w:color w:val="auto"/>
              </w:rPr>
            </w:pPr>
          </w:p>
        </w:tc>
        <w:tc>
          <w:tcPr>
            <w:tcW w:w="2280" w:type="dxa"/>
            <w:vAlign w:val="bottom"/>
            <w:gridSpan w:val="9"/>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10.16*</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rFonts w:ascii="Times New Roman" w:cs="Times New Roman" w:eastAsia="Times New Roman" w:hAnsi="Times New Roman"/>
                <w:sz w:val="17"/>
                <w:szCs w:val="17"/>
                <w:color w:val="0000EE"/>
              </w:rPr>
            </w:pPr>
            <w:hyperlink r:id="rId244">
              <w:r>
                <w:rPr>
                  <w:rFonts w:ascii="Times New Roman" w:cs="Times New Roman" w:eastAsia="Times New Roman" w:hAnsi="Times New Roman"/>
                  <w:sz w:val="17"/>
                  <w:szCs w:val="17"/>
                  <w:color w:val="0000EE"/>
                </w:rPr>
                <w:t>Agreement, dated March 26, 2025, between Diginex Solutions (HK) and Forvis Mazars LLC.</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10.17*</w:t>
            </w:r>
          </w:p>
        </w:tc>
        <w:tc>
          <w:tcPr>
            <w:tcW w:w="120" w:type="dxa"/>
            <w:vAlign w:val="bottom"/>
          </w:tcPr>
          <w:p>
            <w:pPr>
              <w:spacing w:after="0"/>
              <w:rPr>
                <w:sz w:val="15"/>
                <w:szCs w:val="15"/>
                <w:color w:val="auto"/>
              </w:rPr>
            </w:pPr>
          </w:p>
        </w:tc>
        <w:tc>
          <w:tcPr>
            <w:tcW w:w="10220" w:type="dxa"/>
            <w:vAlign w:val="bottom"/>
            <w:tcBorders>
              <w:bottom w:val="single" w:sz="8" w:color="0000EE"/>
            </w:tcBorders>
            <w:gridSpan w:val="42"/>
          </w:tcPr>
          <w:p>
            <w:pPr>
              <w:spacing w:after="0" w:line="182" w:lineRule="exact"/>
              <w:rPr>
                <w:rFonts w:ascii="Times New Roman" w:cs="Times New Roman" w:eastAsia="Times New Roman" w:hAnsi="Times New Roman"/>
                <w:sz w:val="17"/>
                <w:szCs w:val="17"/>
                <w:color w:val="0000EE"/>
                <w:w w:val="99"/>
              </w:rPr>
            </w:pPr>
            <w:hyperlink r:id="rId245">
              <w:r>
                <w:rPr>
                  <w:rFonts w:ascii="Times New Roman" w:cs="Times New Roman" w:eastAsia="Times New Roman" w:hAnsi="Times New Roman"/>
                  <w:sz w:val="17"/>
                  <w:szCs w:val="17"/>
                  <w:color w:val="0000EE"/>
                  <w:w w:val="99"/>
                </w:rPr>
                <w:t>Licensed Software Agreement, March 17, 2025, between Diginex Solutions (HK) Ltd. and Aikya Business Solutions Private Limited and Maintenance</w:t>
              </w:r>
            </w:hyperlink>
          </w:p>
        </w:tc>
        <w:tc>
          <w:tcPr>
            <w:tcW w:w="20" w:type="dxa"/>
            <w:vAlign w:val="bottom"/>
          </w:tcPr>
          <w:p>
            <w:pPr>
              <w:spacing w:after="0"/>
              <w:rPr>
                <w:sz w:val="15"/>
                <w:szCs w:val="15"/>
                <w:color w:val="auto"/>
              </w:rPr>
            </w:pP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Borders>
              <w:bottom w:val="single" w:sz="8" w:color="0000EE"/>
            </w:tcBorders>
            <w:gridSpan w:val="37"/>
          </w:tcPr>
          <w:p>
            <w:pPr>
              <w:spacing w:after="0" w:line="182" w:lineRule="exact"/>
              <w:rPr>
                <w:rFonts w:ascii="Times New Roman" w:cs="Times New Roman" w:eastAsia="Times New Roman" w:hAnsi="Times New Roman"/>
                <w:sz w:val="17"/>
                <w:szCs w:val="17"/>
                <w:color w:val="0000EE"/>
                <w:w w:val="98"/>
              </w:rPr>
            </w:pPr>
            <w:hyperlink r:id="rId245">
              <w:r>
                <w:rPr>
                  <w:rFonts w:ascii="Times New Roman" w:cs="Times New Roman" w:eastAsia="Times New Roman" w:hAnsi="Times New Roman"/>
                  <w:sz w:val="17"/>
                  <w:szCs w:val="17"/>
                  <w:color w:val="0000EE"/>
                  <w:w w:val="98"/>
                </w:rPr>
                <w:t>and Service Agreement, March 17, 2025, between Diginex Solutions (HK) Ltd. and Aikya Business Solutions Private Limited.</w:t>
              </w:r>
            </w:hyperlink>
          </w:p>
        </w:tc>
        <w:tc>
          <w:tcPr>
            <w:tcW w:w="1700" w:type="dxa"/>
            <w:vAlign w:val="bottom"/>
            <w:gridSpan w:val="6"/>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10.18*</w:t>
            </w:r>
          </w:p>
        </w:tc>
        <w:tc>
          <w:tcPr>
            <w:tcW w:w="120" w:type="dxa"/>
            <w:vAlign w:val="bottom"/>
          </w:tcPr>
          <w:p>
            <w:pPr>
              <w:spacing w:after="0"/>
              <w:rPr>
                <w:sz w:val="15"/>
                <w:szCs w:val="15"/>
                <w:color w:val="auto"/>
              </w:rPr>
            </w:pPr>
          </w:p>
        </w:tc>
        <w:tc>
          <w:tcPr>
            <w:tcW w:w="6340" w:type="dxa"/>
            <w:vAlign w:val="bottom"/>
            <w:tcBorders>
              <w:bottom w:val="single" w:sz="8" w:color="0000EE"/>
            </w:tcBorders>
            <w:gridSpan w:val="24"/>
          </w:tcPr>
          <w:p>
            <w:pPr>
              <w:spacing w:after="0" w:line="182" w:lineRule="exact"/>
              <w:rPr>
                <w:rFonts w:ascii="Times New Roman" w:cs="Times New Roman" w:eastAsia="Times New Roman" w:hAnsi="Times New Roman"/>
                <w:sz w:val="17"/>
                <w:szCs w:val="17"/>
                <w:color w:val="0000EE"/>
                <w:w w:val="98"/>
              </w:rPr>
            </w:pPr>
            <w:hyperlink r:id="rId246">
              <w:r>
                <w:rPr>
                  <w:rFonts w:ascii="Times New Roman" w:cs="Times New Roman" w:eastAsia="Times New Roman" w:hAnsi="Times New Roman"/>
                  <w:sz w:val="17"/>
                  <w:szCs w:val="17"/>
                  <w:color w:val="0000EE"/>
                  <w:w w:val="98"/>
                </w:rPr>
                <w:t>Agreement, dated April 15, 2025, between Diginex Solutions (HK) and Baker Tilly Singapore</w:t>
              </w:r>
            </w:hyperlink>
          </w:p>
        </w:tc>
        <w:tc>
          <w:tcPr>
            <w:tcW w:w="3900" w:type="dxa"/>
            <w:vAlign w:val="bottom"/>
            <w:gridSpan w:val="19"/>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10.19*</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rFonts w:ascii="Times New Roman" w:cs="Times New Roman" w:eastAsia="Times New Roman" w:hAnsi="Times New Roman"/>
                <w:sz w:val="17"/>
                <w:szCs w:val="17"/>
                <w:color w:val="0000EE"/>
              </w:rPr>
            </w:pPr>
            <w:hyperlink r:id="rId247">
              <w:r>
                <w:rPr>
                  <w:rFonts w:ascii="Times New Roman" w:cs="Times New Roman" w:eastAsia="Times New Roman" w:hAnsi="Times New Roman"/>
                  <w:sz w:val="17"/>
                  <w:szCs w:val="17"/>
                  <w:color w:val="0000EE"/>
                </w:rPr>
                <w:t>Warrant Purchase Agreement, dated April 4, 2025, between Diginex Limited and Nomas Global Investments-L.L.C-S.P.C.</w:t>
              </w:r>
            </w:hyperlink>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10.20*</w:t>
            </w:r>
          </w:p>
        </w:tc>
        <w:tc>
          <w:tcPr>
            <w:tcW w:w="120" w:type="dxa"/>
            <w:vAlign w:val="bottom"/>
          </w:tcPr>
          <w:p>
            <w:pPr>
              <w:spacing w:after="0"/>
              <w:rPr>
                <w:sz w:val="15"/>
                <w:szCs w:val="15"/>
                <w:color w:val="auto"/>
              </w:rPr>
            </w:pPr>
          </w:p>
        </w:tc>
        <w:tc>
          <w:tcPr>
            <w:tcW w:w="6760" w:type="dxa"/>
            <w:vAlign w:val="bottom"/>
            <w:tcBorders>
              <w:top w:val="single" w:sz="8" w:color="0000EE"/>
              <w:bottom w:val="single" w:sz="8" w:color="0000EE"/>
            </w:tcBorders>
            <w:gridSpan w:val="26"/>
          </w:tcPr>
          <w:p>
            <w:pPr>
              <w:spacing w:after="0" w:line="182" w:lineRule="exact"/>
              <w:rPr>
                <w:rFonts w:ascii="Times New Roman" w:cs="Times New Roman" w:eastAsia="Times New Roman" w:hAnsi="Times New Roman"/>
                <w:sz w:val="17"/>
                <w:szCs w:val="17"/>
                <w:color w:val="0000EE"/>
                <w:w w:val="98"/>
              </w:rPr>
            </w:pPr>
            <w:hyperlink r:id="rId248">
              <w:r>
                <w:rPr>
                  <w:rFonts w:ascii="Times New Roman" w:cs="Times New Roman" w:eastAsia="Times New Roman" w:hAnsi="Times New Roman"/>
                  <w:sz w:val="17"/>
                  <w:szCs w:val="17"/>
                  <w:color w:val="0000EE"/>
                  <w:w w:val="98"/>
                </w:rPr>
                <w:t>Memorandum of Understanding, dated May 23, 2025 between Diginex Limited and Matter DK ApS</w:t>
              </w:r>
            </w:hyperlink>
          </w:p>
        </w:tc>
        <w:tc>
          <w:tcPr>
            <w:tcW w:w="1480" w:type="dxa"/>
            <w:vAlign w:val="bottom"/>
            <w:tcBorders>
              <w:top w:val="single" w:sz="8" w:color="0000EE"/>
            </w:tcBorders>
            <w:gridSpan w:val="9"/>
          </w:tcPr>
          <w:p>
            <w:pPr>
              <w:spacing w:after="0"/>
              <w:rPr>
                <w:sz w:val="15"/>
                <w:szCs w:val="15"/>
                <w:color w:val="auto"/>
              </w:rPr>
            </w:pPr>
          </w:p>
        </w:tc>
        <w:tc>
          <w:tcPr>
            <w:tcW w:w="2000" w:type="dxa"/>
            <w:vAlign w:val="bottom"/>
            <w:gridSpan w:val="8"/>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10.21*</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rFonts w:ascii="Times New Roman" w:cs="Times New Roman" w:eastAsia="Times New Roman" w:hAnsi="Times New Roman"/>
                <w:sz w:val="17"/>
                <w:szCs w:val="17"/>
                <w:color w:val="0000EE"/>
              </w:rPr>
            </w:pPr>
            <w:hyperlink r:id="rId249">
              <w:r>
                <w:rPr>
                  <w:rFonts w:ascii="Times New Roman" w:cs="Times New Roman" w:eastAsia="Times New Roman" w:hAnsi="Times New Roman"/>
                  <w:sz w:val="17"/>
                  <w:szCs w:val="17"/>
                  <w:color w:val="0000EE"/>
                </w:rPr>
                <w:t>Loan Agreement, dated May 23, 2025 between Diginex Limited and Matter DK ApS</w:t>
              </w:r>
            </w:hyperlink>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10.22*</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rFonts w:ascii="Times New Roman" w:cs="Times New Roman" w:eastAsia="Times New Roman" w:hAnsi="Times New Roman"/>
                <w:sz w:val="17"/>
                <w:szCs w:val="17"/>
                <w:color w:val="0000EE"/>
              </w:rPr>
            </w:pPr>
            <w:hyperlink r:id="rId250">
              <w:r>
                <w:rPr>
                  <w:rFonts w:ascii="Times New Roman" w:cs="Times New Roman" w:eastAsia="Times New Roman" w:hAnsi="Times New Roman"/>
                  <w:sz w:val="17"/>
                  <w:szCs w:val="17"/>
                  <w:color w:val="0000EE"/>
                </w:rPr>
                <w:t>Memorandum of Understanding, dated June 5, 2025 between Diginex Limited and Resulticks Global Companies Pte. Limited.</w:t>
              </w:r>
            </w:hyperlink>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10.23*</w:t>
            </w:r>
          </w:p>
        </w:tc>
        <w:tc>
          <w:tcPr>
            <w:tcW w:w="120" w:type="dxa"/>
            <w:vAlign w:val="bottom"/>
          </w:tcPr>
          <w:p>
            <w:pPr>
              <w:spacing w:after="0"/>
              <w:rPr>
                <w:sz w:val="15"/>
                <w:szCs w:val="15"/>
                <w:color w:val="auto"/>
              </w:rPr>
            </w:pPr>
          </w:p>
        </w:tc>
        <w:tc>
          <w:tcPr>
            <w:tcW w:w="8500" w:type="dxa"/>
            <w:vAlign w:val="bottom"/>
            <w:tcBorders>
              <w:top w:val="single" w:sz="8" w:color="0000EE"/>
            </w:tcBorders>
            <w:gridSpan w:val="36"/>
          </w:tcPr>
          <w:p>
            <w:pPr>
              <w:spacing w:after="0" w:line="182" w:lineRule="exact"/>
              <w:rPr>
                <w:rFonts w:ascii="Times New Roman" w:cs="Times New Roman" w:eastAsia="Times New Roman" w:hAnsi="Times New Roman"/>
                <w:sz w:val="17"/>
                <w:szCs w:val="17"/>
                <w:color w:val="0000EE"/>
              </w:rPr>
            </w:pPr>
            <w:hyperlink r:id="rId251">
              <w:r>
                <w:rPr>
                  <w:rFonts w:ascii="Times New Roman" w:cs="Times New Roman" w:eastAsia="Times New Roman" w:hAnsi="Times New Roman"/>
                  <w:sz w:val="17"/>
                  <w:szCs w:val="17"/>
                  <w:color w:val="0000EE"/>
                </w:rPr>
                <w:t>Lease, dated April 17, 2025 between International Workplace Group and Diginex Solutions (HK) Limited.</w:t>
              </w:r>
            </w:hyperlink>
          </w:p>
        </w:tc>
        <w:tc>
          <w:tcPr>
            <w:tcW w:w="1740" w:type="dxa"/>
            <w:vAlign w:val="bottom"/>
            <w:gridSpan w:val="7"/>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10.24*</w:t>
            </w:r>
          </w:p>
        </w:tc>
        <w:tc>
          <w:tcPr>
            <w:tcW w:w="120" w:type="dxa"/>
            <w:vAlign w:val="bottom"/>
          </w:tcPr>
          <w:p>
            <w:pPr>
              <w:spacing w:after="0"/>
              <w:rPr>
                <w:sz w:val="15"/>
                <w:szCs w:val="15"/>
                <w:color w:val="auto"/>
              </w:rPr>
            </w:pPr>
          </w:p>
        </w:tc>
        <w:tc>
          <w:tcPr>
            <w:tcW w:w="7140" w:type="dxa"/>
            <w:vAlign w:val="bottom"/>
            <w:tcBorders>
              <w:top w:val="single" w:sz="8" w:color="0000EE"/>
              <w:bottom w:val="single" w:sz="8" w:color="0000EE"/>
            </w:tcBorders>
            <w:gridSpan w:val="28"/>
          </w:tcPr>
          <w:p>
            <w:pPr>
              <w:spacing w:after="0" w:line="182" w:lineRule="exact"/>
              <w:rPr>
                <w:rFonts w:ascii="Times New Roman" w:cs="Times New Roman" w:eastAsia="Times New Roman" w:hAnsi="Times New Roman"/>
                <w:sz w:val="17"/>
                <w:szCs w:val="17"/>
                <w:color w:val="0000EE"/>
                <w:w w:val="98"/>
              </w:rPr>
            </w:pPr>
            <w:hyperlink r:id="rId252">
              <w:r>
                <w:rPr>
                  <w:rFonts w:ascii="Times New Roman" w:cs="Times New Roman" w:eastAsia="Times New Roman" w:hAnsi="Times New Roman"/>
                  <w:sz w:val="17"/>
                  <w:szCs w:val="17"/>
                  <w:color w:val="0000EE"/>
                  <w:w w:val="98"/>
                </w:rPr>
                <w:t>Agreement between Diginex Limited and Resulticks Global Companies Pte. Limited dated June 23, 2025.</w:t>
              </w:r>
            </w:hyperlink>
          </w:p>
        </w:tc>
        <w:tc>
          <w:tcPr>
            <w:tcW w:w="20" w:type="dxa"/>
            <w:vAlign w:val="bottom"/>
            <w:tcBorders>
              <w:top w:val="single" w:sz="8" w:color="0000EE"/>
            </w:tcBorders>
          </w:tcPr>
          <w:p>
            <w:pPr>
              <w:spacing w:after="0"/>
              <w:rPr>
                <w:sz w:val="15"/>
                <w:szCs w:val="15"/>
                <w:color w:val="auto"/>
              </w:rPr>
            </w:pPr>
          </w:p>
        </w:tc>
        <w:tc>
          <w:tcPr>
            <w:tcW w:w="3080" w:type="dxa"/>
            <w:vAlign w:val="bottom"/>
            <w:gridSpan w:val="14"/>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7"/>
              </w:rPr>
              <w:t>10.25**</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sz w:val="20"/>
                <w:szCs w:val="20"/>
                <w:color w:val="auto"/>
              </w:rPr>
            </w:pPr>
            <w:r>
              <w:rPr>
                <w:rFonts w:ascii="Times New Roman" w:cs="Times New Roman" w:eastAsia="Times New Roman" w:hAnsi="Times New Roman"/>
                <w:sz w:val="17"/>
                <w:szCs w:val="17"/>
                <w:color w:val="0000EE"/>
              </w:rPr>
              <w:t>Employment Agreement, dated May 16, 2025 with Andrew Harling.</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260" w:type="dxa"/>
            <w:vAlign w:val="bottom"/>
            <w:gridSpan w:val="14"/>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7"/>
              </w:rPr>
              <w:t>10.26**</w:t>
            </w:r>
          </w:p>
        </w:tc>
        <w:tc>
          <w:tcPr>
            <w:tcW w:w="120" w:type="dxa"/>
            <w:vAlign w:val="bottom"/>
          </w:tcPr>
          <w:p>
            <w:pPr>
              <w:spacing w:after="0"/>
              <w:rPr>
                <w:sz w:val="15"/>
                <w:szCs w:val="15"/>
                <w:color w:val="auto"/>
              </w:rPr>
            </w:pPr>
          </w:p>
        </w:tc>
        <w:tc>
          <w:tcPr>
            <w:tcW w:w="7720" w:type="dxa"/>
            <w:vAlign w:val="bottom"/>
            <w:tcBorders>
              <w:bottom w:val="single" w:sz="8" w:color="0000EE"/>
            </w:tcBorders>
            <w:gridSpan w:val="33"/>
          </w:tcPr>
          <w:p>
            <w:pPr>
              <w:spacing w:after="0" w:line="182" w:lineRule="exact"/>
              <w:rPr>
                <w:sz w:val="20"/>
                <w:szCs w:val="20"/>
                <w:color w:val="auto"/>
              </w:rPr>
            </w:pPr>
            <w:r>
              <w:rPr>
                <w:rFonts w:ascii="Times New Roman" w:cs="Times New Roman" w:eastAsia="Times New Roman" w:hAnsi="Times New Roman"/>
                <w:sz w:val="17"/>
                <w:szCs w:val="17"/>
                <w:color w:val="0000EE"/>
                <w:w w:val="98"/>
              </w:rPr>
              <w:t>Memorandum of Understanding dated August 12, 2025 between Diginex Limited and IDRRA Cyber Security Ltd.</w:t>
            </w:r>
          </w:p>
        </w:tc>
        <w:tc>
          <w:tcPr>
            <w:tcW w:w="2520" w:type="dxa"/>
            <w:vAlign w:val="bottom"/>
            <w:gridSpan w:val="10"/>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7"/>
              </w:rPr>
              <w:t>10.27**</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sz w:val="20"/>
                <w:szCs w:val="20"/>
                <w:color w:val="auto"/>
              </w:rPr>
            </w:pPr>
            <w:r>
              <w:rPr>
                <w:rFonts w:ascii="Times New Roman" w:cs="Times New Roman" w:eastAsia="Times New Roman" w:hAnsi="Times New Roman"/>
                <w:sz w:val="17"/>
                <w:szCs w:val="17"/>
                <w:color w:val="0000EE"/>
              </w:rPr>
              <w:t>Securities Purchase Agreement, dated August 14, 2025 between Diginex Limited and Matter DK ApS</w:t>
            </w: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5"/>
                <w:szCs w:val="15"/>
                <w:color w:val="auto"/>
              </w:rPr>
            </w:pPr>
          </w:p>
        </w:tc>
        <w:tc>
          <w:tcPr>
            <w:tcW w:w="6860" w:type="dxa"/>
            <w:vAlign w:val="bottom"/>
            <w:tcBorders>
              <w:top w:val="single" w:sz="8" w:color="0000EE"/>
            </w:tcBorders>
            <w:gridSpan w:val="27"/>
          </w:tcPr>
          <w:p>
            <w:pPr>
              <w:spacing w:after="0" w:line="182" w:lineRule="exact"/>
              <w:rPr>
                <w:rFonts w:ascii="Times New Roman" w:cs="Times New Roman" w:eastAsia="Times New Roman" w:hAnsi="Times New Roman"/>
                <w:sz w:val="17"/>
                <w:szCs w:val="17"/>
                <w:color w:val="0000EE"/>
              </w:rPr>
            </w:pPr>
            <w:hyperlink r:id="rId253">
              <w:r>
                <w:rPr>
                  <w:rFonts w:ascii="Times New Roman" w:cs="Times New Roman" w:eastAsia="Times New Roman" w:hAnsi="Times New Roman"/>
                  <w:sz w:val="17"/>
                  <w:szCs w:val="17"/>
                  <w:color w:val="0000EE"/>
                </w:rPr>
                <w:t>List of Subsidiaries</w:t>
              </w:r>
            </w:hyperlink>
          </w:p>
        </w:tc>
        <w:tc>
          <w:tcPr>
            <w:tcW w:w="3380" w:type="dxa"/>
            <w:vAlign w:val="bottom"/>
            <w:gridSpan w:val="16"/>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800" w:type="dxa"/>
            <w:vAlign w:val="bottom"/>
            <w:gridSpan w:val="34"/>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23.1**</w:t>
            </w:r>
          </w:p>
        </w:tc>
        <w:tc>
          <w:tcPr>
            <w:tcW w:w="120" w:type="dxa"/>
            <w:vAlign w:val="bottom"/>
          </w:tcPr>
          <w:p>
            <w:pPr>
              <w:spacing w:after="0"/>
              <w:rPr>
                <w:sz w:val="15"/>
                <w:szCs w:val="15"/>
                <w:color w:val="auto"/>
              </w:rPr>
            </w:pPr>
          </w:p>
        </w:tc>
        <w:tc>
          <w:tcPr>
            <w:tcW w:w="10240" w:type="dxa"/>
            <w:vAlign w:val="bottom"/>
            <w:gridSpan w:val="43"/>
          </w:tcPr>
          <w:p>
            <w:pPr>
              <w:spacing w:after="0" w:line="182" w:lineRule="exact"/>
              <w:rPr>
                <w:sz w:val="20"/>
                <w:szCs w:val="20"/>
                <w:color w:val="auto"/>
              </w:rPr>
            </w:pPr>
            <w:r>
              <w:rPr>
                <w:rFonts w:ascii="Times New Roman" w:cs="Times New Roman" w:eastAsia="Times New Roman" w:hAnsi="Times New Roman"/>
                <w:sz w:val="17"/>
                <w:szCs w:val="17"/>
                <w:color w:val="0000EE"/>
              </w:rPr>
              <w:t>Consent of UHY LLP</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800" w:type="dxa"/>
            <w:vAlign w:val="bottom"/>
            <w:gridSpan w:val="34"/>
          </w:tcPr>
          <w:p>
            <w:pPr>
              <w:spacing w:after="0" w:line="20" w:lineRule="exact"/>
              <w:rPr>
                <w:sz w:val="1"/>
                <w:szCs w:val="1"/>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15"/>
                <w:szCs w:val="15"/>
                <w:color w:val="auto"/>
              </w:rPr>
            </w:pPr>
          </w:p>
        </w:tc>
        <w:tc>
          <w:tcPr>
            <w:tcW w:w="2860" w:type="dxa"/>
            <w:vAlign w:val="bottom"/>
            <w:tcBorders>
              <w:bottom w:val="single" w:sz="8" w:color="0000EE"/>
            </w:tcBorders>
            <w:gridSpan w:val="5"/>
          </w:tcPr>
          <w:p>
            <w:pPr>
              <w:spacing w:after="0" w:line="182" w:lineRule="exact"/>
              <w:rPr>
                <w:rFonts w:ascii="Times New Roman" w:cs="Times New Roman" w:eastAsia="Times New Roman" w:hAnsi="Times New Roman"/>
                <w:sz w:val="17"/>
                <w:szCs w:val="17"/>
                <w:color w:val="0000EE"/>
                <w:w w:val="98"/>
              </w:rPr>
            </w:pPr>
            <w:hyperlink r:id="rId228">
              <w:r>
                <w:rPr>
                  <w:rFonts w:ascii="Times New Roman" w:cs="Times New Roman" w:eastAsia="Times New Roman" w:hAnsi="Times New Roman"/>
                  <w:sz w:val="17"/>
                  <w:szCs w:val="17"/>
                  <w:color w:val="0000EE"/>
                  <w:w w:val="98"/>
                </w:rPr>
                <w:t>Consent of Ogier (included in Exhibit 5.1)</w:t>
              </w:r>
            </w:hyperlink>
          </w:p>
        </w:tc>
        <w:tc>
          <w:tcPr>
            <w:tcW w:w="7380" w:type="dxa"/>
            <w:vAlign w:val="bottom"/>
            <w:gridSpan w:val="38"/>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99.1*</w:t>
            </w:r>
          </w:p>
        </w:tc>
        <w:tc>
          <w:tcPr>
            <w:tcW w:w="120" w:type="dxa"/>
            <w:vAlign w:val="bottom"/>
          </w:tcPr>
          <w:p>
            <w:pPr>
              <w:spacing w:after="0"/>
              <w:rPr>
                <w:sz w:val="15"/>
                <w:szCs w:val="15"/>
                <w:color w:val="auto"/>
              </w:rPr>
            </w:pPr>
          </w:p>
        </w:tc>
        <w:tc>
          <w:tcPr>
            <w:tcW w:w="2380" w:type="dxa"/>
            <w:vAlign w:val="bottom"/>
            <w:tcBorders>
              <w:bottom w:val="single" w:sz="8" w:color="0000EE"/>
            </w:tcBorders>
            <w:gridSpan w:val="4"/>
          </w:tcPr>
          <w:p>
            <w:pPr>
              <w:spacing w:after="0" w:line="182" w:lineRule="exact"/>
              <w:rPr>
                <w:rFonts w:ascii="Times New Roman" w:cs="Times New Roman" w:eastAsia="Times New Roman" w:hAnsi="Times New Roman"/>
                <w:sz w:val="17"/>
                <w:szCs w:val="17"/>
                <w:color w:val="0000EE"/>
                <w:w w:val="98"/>
              </w:rPr>
            </w:pPr>
            <w:hyperlink r:id="rId254">
              <w:r>
                <w:rPr>
                  <w:rFonts w:ascii="Times New Roman" w:cs="Times New Roman" w:eastAsia="Times New Roman" w:hAnsi="Times New Roman"/>
                  <w:sz w:val="17"/>
                  <w:szCs w:val="17"/>
                  <w:color w:val="0000EE"/>
                  <w:w w:val="98"/>
                </w:rPr>
                <w:t>Form of Code of Business Conduct</w:t>
              </w:r>
            </w:hyperlink>
          </w:p>
        </w:tc>
        <w:tc>
          <w:tcPr>
            <w:tcW w:w="7860" w:type="dxa"/>
            <w:vAlign w:val="bottom"/>
            <w:gridSpan w:val="39"/>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99.2*</w:t>
            </w:r>
          </w:p>
        </w:tc>
        <w:tc>
          <w:tcPr>
            <w:tcW w:w="120" w:type="dxa"/>
            <w:vAlign w:val="bottom"/>
          </w:tcPr>
          <w:p>
            <w:pPr>
              <w:spacing w:after="0"/>
              <w:rPr>
                <w:sz w:val="15"/>
                <w:szCs w:val="15"/>
                <w:color w:val="auto"/>
              </w:rPr>
            </w:pPr>
          </w:p>
        </w:tc>
        <w:tc>
          <w:tcPr>
            <w:tcW w:w="2360" w:type="dxa"/>
            <w:vAlign w:val="bottom"/>
            <w:tcBorders>
              <w:bottom w:val="single" w:sz="8" w:color="0000EE"/>
            </w:tcBorders>
            <w:gridSpan w:val="3"/>
          </w:tcPr>
          <w:p>
            <w:pPr>
              <w:spacing w:after="0" w:line="182" w:lineRule="exact"/>
              <w:rPr>
                <w:rFonts w:ascii="Times New Roman" w:cs="Times New Roman" w:eastAsia="Times New Roman" w:hAnsi="Times New Roman"/>
                <w:sz w:val="17"/>
                <w:szCs w:val="17"/>
                <w:color w:val="0000EE"/>
                <w:w w:val="98"/>
              </w:rPr>
            </w:pPr>
            <w:hyperlink r:id="rId255">
              <w:r>
                <w:rPr>
                  <w:rFonts w:ascii="Times New Roman" w:cs="Times New Roman" w:eastAsia="Times New Roman" w:hAnsi="Times New Roman"/>
                  <w:sz w:val="17"/>
                  <w:szCs w:val="17"/>
                  <w:color w:val="0000EE"/>
                  <w:w w:val="98"/>
                </w:rPr>
                <w:t>Audit and Risk Committee Charter</w:t>
              </w:r>
            </w:hyperlink>
          </w:p>
        </w:tc>
        <w:tc>
          <w:tcPr>
            <w:tcW w:w="7880" w:type="dxa"/>
            <w:vAlign w:val="bottom"/>
            <w:gridSpan w:val="40"/>
          </w:tcPr>
          <w:p>
            <w:pPr>
              <w:spacing w:after="0"/>
              <w:rPr>
                <w:sz w:val="15"/>
                <w:szCs w:val="15"/>
                <w:color w:val="auto"/>
              </w:rPr>
            </w:pPr>
          </w:p>
        </w:tc>
      </w:tr>
      <w:tr>
        <w:trPr>
          <w:trHeight w:val="182"/>
        </w:trPr>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99.3*</w:t>
            </w:r>
          </w:p>
        </w:tc>
        <w:tc>
          <w:tcPr>
            <w:tcW w:w="120" w:type="dxa"/>
            <w:vAlign w:val="bottom"/>
          </w:tcPr>
          <w:p>
            <w:pPr>
              <w:spacing w:after="0"/>
              <w:rPr>
                <w:sz w:val="15"/>
                <w:szCs w:val="15"/>
                <w:color w:val="auto"/>
              </w:rPr>
            </w:pPr>
          </w:p>
        </w:tc>
        <w:tc>
          <w:tcPr>
            <w:tcW w:w="3440" w:type="dxa"/>
            <w:vAlign w:val="bottom"/>
            <w:tcBorders>
              <w:bottom w:val="single" w:sz="8" w:color="0000EE"/>
            </w:tcBorders>
            <w:gridSpan w:val="9"/>
          </w:tcPr>
          <w:p>
            <w:pPr>
              <w:spacing w:after="0" w:line="182" w:lineRule="exact"/>
              <w:rPr>
                <w:rFonts w:ascii="Times New Roman" w:cs="Times New Roman" w:eastAsia="Times New Roman" w:hAnsi="Times New Roman"/>
                <w:sz w:val="17"/>
                <w:szCs w:val="17"/>
                <w:color w:val="0000EE"/>
                <w:w w:val="98"/>
              </w:rPr>
            </w:pPr>
            <w:hyperlink r:id="rId256">
              <w:r>
                <w:rPr>
                  <w:rFonts w:ascii="Times New Roman" w:cs="Times New Roman" w:eastAsia="Times New Roman" w:hAnsi="Times New Roman"/>
                  <w:sz w:val="17"/>
                  <w:szCs w:val="17"/>
                  <w:color w:val="0000EE"/>
                  <w:w w:val="98"/>
                </w:rPr>
                <w:t>Nomination and Compensation Committee Charter</w:t>
              </w:r>
            </w:hyperlink>
          </w:p>
        </w:tc>
        <w:tc>
          <w:tcPr>
            <w:tcW w:w="6800" w:type="dxa"/>
            <w:vAlign w:val="bottom"/>
            <w:gridSpan w:val="34"/>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16" w:lineRule="exact"/>
        <w:rPr>
          <w:sz w:val="20"/>
          <w:szCs w:val="20"/>
          <w:color w:val="auto"/>
        </w:rPr>
      </w:pPr>
    </w:p>
    <w:p>
      <w:pPr>
        <w:jc w:val="both"/>
        <w:ind w:right="9980" w:firstLine="1"/>
        <w:spacing w:after="0" w:line="307" w:lineRule="auto"/>
        <w:tabs>
          <w:tab w:leader="none" w:pos="126"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 Filed Herewith.</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color w:val="auto"/>
        </w:rPr>
        <w:t>(b) Financial Statement Schedules.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All schedules have been omitted because they are not required, are not applicable or the information is otherwise set forth in the financial statements or notes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Undertakings.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The undersigned Registrant hereby undertakes:</w:t>
      </w:r>
    </w:p>
    <w:p>
      <w:pPr>
        <w:spacing w:after="0" w:line="208" w:lineRule="exact"/>
        <w:rPr>
          <w:sz w:val="20"/>
          <w:szCs w:val="20"/>
          <w:color w:val="auto"/>
        </w:rPr>
      </w:pPr>
    </w:p>
    <w:p>
      <w:pPr>
        <w:ind w:left="840" w:hanging="234"/>
        <w:spacing w:after="0"/>
        <w:tabs>
          <w:tab w:leader="none" w:pos="84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07"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to include any prospectus required by Section 10(a)(3) of the Securities Act;</w:t>
      </w:r>
    </w:p>
    <w:p>
      <w:pPr>
        <w:spacing w:after="0" w:line="208" w:lineRule="exact"/>
        <w:rPr>
          <w:sz w:val="20"/>
          <w:szCs w:val="20"/>
          <w:color w:val="auto"/>
        </w:rPr>
      </w:pPr>
    </w:p>
    <w:p>
      <w:pPr>
        <w:jc w:val="both"/>
        <w:ind w:firstLine="606"/>
        <w:spacing w:after="0" w:line="253" w:lineRule="auto"/>
        <w:tabs>
          <w:tab w:leader="none" w:pos="863"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75" w:lineRule="exact"/>
        <w:rPr>
          <w:rFonts w:ascii="Times New Roman" w:cs="Times New Roman" w:eastAsia="Times New Roman" w:hAnsi="Times New Roman"/>
          <w:sz w:val="17"/>
          <w:szCs w:val="17"/>
          <w:color w:val="auto"/>
        </w:rPr>
      </w:pPr>
    </w:p>
    <w:p>
      <w:pPr>
        <w:ind w:firstLine="606"/>
        <w:spacing w:after="0" w:line="274" w:lineRule="auto"/>
        <w:tabs>
          <w:tab w:leader="none" w:pos="9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provided, however, that:</w:t>
      </w:r>
    </w:p>
    <w:p>
      <w:pPr>
        <w:spacing w:after="0" w:line="208"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Paragraphs (i), (ii) and (iii) do not apply if the information required to be included in a post-effective amendment by those paragraphs is contained in reports filed with or furnished to the SEC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175" w:lineRule="exact"/>
        <w:rPr>
          <w:sz w:val="20"/>
          <w:szCs w:val="20"/>
          <w:color w:val="auto"/>
        </w:rPr>
      </w:pPr>
    </w:p>
    <w:p>
      <w:pPr>
        <w:ind w:firstLine="606"/>
        <w:spacing w:after="0" w:line="274" w:lineRule="auto"/>
        <w:tabs>
          <w:tab w:leader="none" w:pos="847"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58"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offering.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4" w:name="page175"/>
    <w:bookmarkEnd w:id="174"/>
    <w:p>
      <w:pPr>
        <w:jc w:val="both"/>
        <w:ind w:firstLine="606"/>
        <w:spacing w:after="0" w:line="252" w:lineRule="auto"/>
        <w:tabs>
          <w:tab w:leader="none" w:pos="846"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Item 8.A of Form 20-F if such financial statements and information are contained in periodic reports filed with or furnished to the SEC by the Registrant pursuant to Section 13 or Section 15(d) of the Securities Exchange Act of 1934 that are incorporated by reference in the registration statement.</w:t>
      </w:r>
    </w:p>
    <w:p>
      <w:pPr>
        <w:spacing w:after="0" w:line="17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w:t>
      </w:r>
    </w:p>
    <w:p>
      <w:pPr>
        <w:spacing w:after="0" w:line="208" w:lineRule="exact"/>
        <w:rPr>
          <w:sz w:val="20"/>
          <w:szCs w:val="20"/>
          <w:color w:val="auto"/>
        </w:rPr>
      </w:pPr>
    </w:p>
    <w:p>
      <w:pPr>
        <w:ind w:firstLine="606"/>
        <w:spacing w:after="0" w:line="274" w:lineRule="auto"/>
        <w:tabs>
          <w:tab w:leader="none" w:pos="809"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58" w:lineRule="exact"/>
        <w:rPr>
          <w:rFonts w:ascii="Times New Roman" w:cs="Times New Roman" w:eastAsia="Times New Roman" w:hAnsi="Times New Roman"/>
          <w:sz w:val="17"/>
          <w:szCs w:val="17"/>
          <w:color w:val="auto"/>
        </w:rPr>
      </w:pPr>
    </w:p>
    <w:p>
      <w:pPr>
        <w:jc w:val="both"/>
        <w:ind w:firstLine="606"/>
        <w:spacing w:after="0" w:line="250" w:lineRule="auto"/>
        <w:tabs>
          <w:tab w:leader="none" w:pos="857"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3" w:lineRule="exact"/>
        <w:rPr>
          <w:sz w:val="20"/>
          <w:szCs w:val="20"/>
          <w:color w:val="auto"/>
        </w:rPr>
      </w:pPr>
    </w:p>
    <w:p>
      <w:pPr>
        <w:jc w:val="both"/>
        <w:ind w:firstLine="606"/>
        <w:spacing w:after="0" w:line="252" w:lineRule="auto"/>
        <w:tabs>
          <w:tab w:leader="none" w:pos="851"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208" w:lineRule="exact"/>
        <w:rPr>
          <w:sz w:val="20"/>
          <w:szCs w:val="20"/>
          <w:color w:val="auto"/>
        </w:rPr>
      </w:pPr>
    </w:p>
    <w:p>
      <w:pPr>
        <w:jc w:val="both"/>
        <w:ind w:firstLine="606"/>
        <w:spacing w:after="0" w:line="261" w:lineRule="auto"/>
        <w:tabs>
          <w:tab w:leader="none" w:pos="836"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9" w:lineRule="exact"/>
        <w:rPr>
          <w:rFonts w:ascii="Times New Roman" w:cs="Times New Roman" w:eastAsia="Times New Roman" w:hAnsi="Times New Roman"/>
          <w:sz w:val="17"/>
          <w:szCs w:val="17"/>
          <w:color w:val="auto"/>
        </w:rPr>
      </w:pPr>
    </w:p>
    <w:p>
      <w:pPr>
        <w:jc w:val="both"/>
        <w:ind w:firstLine="606"/>
        <w:spacing w:after="0" w:line="261" w:lineRule="auto"/>
        <w:tabs>
          <w:tab w:leader="none" w:pos="859"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this Form F-1 and has duly caused this registration statement to be signed on its behalf by the undersigned, thereunto duly authorized, in Hong Kong on September 4, 2025.</w:t>
      </w:r>
    </w:p>
    <w:p>
      <w:pPr>
        <w:spacing w:after="0" w:line="16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Diginex Limited</w:t>
      </w:r>
    </w:p>
    <w:p>
      <w:pPr>
        <w:spacing w:after="0" w:line="20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i w:val="1"/>
          <w:iCs w:val="1"/>
          <w:color w:val="auto"/>
        </w:rPr>
        <w:t>/s/ Mark Blick</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 Mark 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1">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9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below by the following persons in the capacities and on the date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2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2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20"/>
        </w:trPr>
        <w:tc>
          <w:tcPr>
            <w:tcW w:w="2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396"/>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i w:val="1"/>
                <w:iCs w:val="1"/>
                <w:color w:val="auto"/>
              </w:rPr>
              <w:t>/s/ Mark Blick</w:t>
            </w:r>
          </w:p>
        </w:tc>
        <w:tc>
          <w:tcPr>
            <w:tcW w:w="2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2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September 4, 2025</w:t>
            </w:r>
          </w:p>
        </w:tc>
      </w:tr>
      <w:tr>
        <w:trPr>
          <w:trHeight w:val="211"/>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Blick</w:t>
            </w:r>
          </w:p>
        </w:tc>
        <w:tc>
          <w:tcPr>
            <w:tcW w:w="2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240" w:type="dxa"/>
            <w:vAlign w:val="bottom"/>
          </w:tcPr>
          <w:p>
            <w:pPr>
              <w:spacing w:after="0"/>
              <w:rPr>
                <w:sz w:val="18"/>
                <w:szCs w:val="18"/>
                <w:color w:val="auto"/>
              </w:rPr>
            </w:pPr>
          </w:p>
        </w:tc>
      </w:tr>
      <w:tr>
        <w:trPr>
          <w:trHeight w:val="387"/>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i w:val="1"/>
                <w:iCs w:val="1"/>
                <w:color w:val="auto"/>
              </w:rPr>
              <w:t>/s/ Mark Blick</w:t>
            </w:r>
          </w:p>
        </w:tc>
        <w:tc>
          <w:tcPr>
            <w:tcW w:w="2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Chairman and Director</w:t>
            </w:r>
          </w:p>
        </w:tc>
        <w:tc>
          <w:tcPr>
            <w:tcW w:w="2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September 4, 2025</w:t>
            </w:r>
          </w:p>
        </w:tc>
      </w:tr>
      <w:tr>
        <w:trPr>
          <w:trHeight w:val="211"/>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Blick</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3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i w:val="1"/>
                <w:iCs w:val="1"/>
                <w:color w:val="auto"/>
              </w:rPr>
              <w:t>/s/ Paul Ewing</w:t>
            </w:r>
          </w:p>
        </w:tc>
        <w:tc>
          <w:tcPr>
            <w:tcW w:w="2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2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September 4, 2025</w:t>
            </w:r>
          </w:p>
        </w:tc>
      </w:tr>
      <w:tr>
        <w:trPr>
          <w:trHeight w:val="211"/>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Paul Ewing</w:t>
            </w:r>
          </w:p>
        </w:tc>
        <w:tc>
          <w:tcPr>
            <w:tcW w:w="2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(Principal Accounting Officer and Principal Financial Officer)</w:t>
            </w:r>
          </w:p>
        </w:tc>
        <w:tc>
          <w:tcPr>
            <w:tcW w:w="2240" w:type="dxa"/>
            <w:vAlign w:val="bottom"/>
          </w:tcPr>
          <w:p>
            <w:pPr>
              <w:spacing w:after="0"/>
              <w:rPr>
                <w:sz w:val="18"/>
                <w:szCs w:val="18"/>
                <w:color w:val="auto"/>
              </w:rPr>
            </w:pPr>
          </w:p>
        </w:tc>
      </w:tr>
      <w:tr>
        <w:trPr>
          <w:trHeight w:val="387"/>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Non-Executive Director</w:t>
            </w:r>
          </w:p>
        </w:tc>
        <w:tc>
          <w:tcPr>
            <w:tcW w:w="2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September 4, 2025</w:t>
            </w:r>
          </w:p>
        </w:tc>
      </w:tr>
      <w:tr>
        <w:trPr>
          <w:trHeight w:val="211"/>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Tomicah Tillemann-Dick</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20" w:type="dxa"/>
            <w:vAlign w:val="bottom"/>
          </w:tcPr>
          <w:p>
            <w:pPr>
              <w:spacing w:after="0"/>
              <w:rPr>
                <w:sz w:val="24"/>
                <w:szCs w:val="24"/>
                <w:color w:val="auto"/>
              </w:rPr>
            </w:pPr>
          </w:p>
        </w:tc>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Carnel Geddes</w:t>
            </w:r>
          </w:p>
        </w:tc>
        <w:tc>
          <w:tcPr>
            <w:tcW w:w="2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Non-Executive Director</w:t>
            </w:r>
          </w:p>
        </w:tc>
        <w:tc>
          <w:tcPr>
            <w:tcW w:w="2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September 4, 2025</w:t>
            </w:r>
          </w:p>
        </w:tc>
      </w:tr>
      <w:tr>
        <w:trPr>
          <w:trHeight w:val="211"/>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Carnel Geddes</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20" w:type="dxa"/>
            <w:vAlign w:val="bottom"/>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Non-Executive Director</w:t>
            </w:r>
          </w:p>
        </w:tc>
        <w:tc>
          <w:tcPr>
            <w:tcW w:w="22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September 4, 2025</w:t>
            </w:r>
          </w:p>
        </w:tc>
      </w:tr>
      <w:tr>
        <w:trPr>
          <w:trHeight w:val="211"/>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Katerina Klezlova</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gridSpan w:val="2"/>
          </w:tcPr>
          <w:p>
            <w:pPr>
              <w:ind w:left="680"/>
              <w:spacing w:after="0"/>
              <w:rPr>
                <w:sz w:val="20"/>
                <w:szCs w:val="20"/>
                <w:color w:val="auto"/>
              </w:rPr>
            </w:pPr>
            <w:r>
              <w:rPr>
                <w:rFonts w:ascii="Times New Roman" w:cs="Times New Roman" w:eastAsia="Times New Roman" w:hAnsi="Times New Roman"/>
                <w:sz w:val="17"/>
                <w:szCs w:val="17"/>
                <w:b w:val="1"/>
                <w:bCs w:val="1"/>
                <w:color w:val="auto"/>
              </w:rPr>
              <w:t>AUTHORIZED REPRESENTATIVE</w:t>
            </w:r>
          </w:p>
        </w:tc>
        <w:tc>
          <w:tcPr>
            <w:tcW w:w="2240" w:type="dxa"/>
            <w:vAlign w:val="bottom"/>
          </w:tcPr>
          <w:p>
            <w:pPr>
              <w:spacing w:after="0"/>
              <w:rPr>
                <w:sz w:val="24"/>
                <w:szCs w:val="24"/>
                <w:color w:val="auto"/>
              </w:rPr>
            </w:pPr>
          </w:p>
        </w:tc>
      </w:tr>
    </w:tbl>
    <w:p>
      <w:pPr>
        <w:spacing w:after="0" w:line="18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undersigned has signed this registration statement, solely in its capacity as the duly authorized representative of Diginex Limited, Newark, Delaware, on September 4, 2025.</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PUGLISI &amp; ASSOCIATES</w:t>
      </w:r>
    </w:p>
    <w:p>
      <w:pPr>
        <w:spacing w:after="0" w:line="204"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Donald J. Puglisi</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Name: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-123190</wp:posOffset>
            </wp:positionV>
            <wp:extent cx="3218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2">
                      <a:extLst>
                        <a:ext uri="{28A0092B-C50C-407E-A947-70E740481C1C}"/>
                      </a:extLst>
                    </a:blip>
                    <a:srcRect/>
                    <a:stretch>
                      <a:fillRect/>
                    </a:stretch>
                  </pic:blipFill>
                  <pic:spPr bwMode="auto">
                    <a:xfrm>
                      <a:off x="0" y="0"/>
                      <a:ext cx="3218180" cy="8255"/>
                    </a:xfrm>
                    <a:prstGeom prst="rect">
                      <a:avLst/>
                    </a:prstGeom>
                    <a:noFill/>
                  </pic:spPr>
                </pic:pic>
              </a:graphicData>
            </a:graphic>
          </wp:anchor>
        </w:drawing>
      </w:r>
    </w:p>
    <w:p>
      <w:pPr>
        <w:ind w:left="5620"/>
        <w:spacing w:after="0"/>
        <w:tabs>
          <w:tab w:leader="none" w:pos="6160" w:val="left"/>
        </w:tabs>
        <w:rPr>
          <w:sz w:val="20"/>
          <w:szCs w:val="20"/>
          <w:color w:val="auto"/>
        </w:rPr>
      </w:pPr>
      <w:r>
        <w:rPr>
          <w:rFonts w:ascii="Times New Roman" w:cs="Times New Roman" w:eastAsia="Times New Roman" w:hAnsi="Times New Roman"/>
          <w:sz w:val="17"/>
          <w:szCs w:val="17"/>
          <w:color w:val="auto"/>
        </w:rPr>
        <w:t>Title:</w:t>
        <w:tab/>
        <w:t>Authorized Representative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76" w:name="page177"/>
    <w:bookmarkEnd w:id="176"/>
    <w:p>
      <w:pPr>
        <w:ind w:left="9180"/>
        <w:spacing w:after="0"/>
        <w:rPr>
          <w:sz w:val="20"/>
          <w:szCs w:val="20"/>
          <w:color w:val="auto"/>
        </w:rPr>
      </w:pPr>
      <w:r>
        <w:rPr>
          <w:rFonts w:ascii="Times New Roman" w:cs="Times New Roman" w:eastAsia="Times New Roman" w:hAnsi="Times New Roman"/>
          <w:sz w:val="16"/>
          <w:szCs w:val="16"/>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7200265" cy="95910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5">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6">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7">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8">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9">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0">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1">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2">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3">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5">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409575</wp:posOffset>
            </wp:positionV>
            <wp:extent cx="7200265" cy="95910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6">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7">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8">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9">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409575</wp:posOffset>
            </wp:positionV>
            <wp:extent cx="7200265" cy="95910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0">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1">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2">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3">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5">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6">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7">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8">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9">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95910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0">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ind w:left="9180"/>
        <w:spacing w:after="0"/>
        <w:rPr>
          <w:sz w:val="20"/>
          <w:szCs w:val="20"/>
          <w:color w:val="auto"/>
        </w:rPr>
      </w:pPr>
      <w:r>
        <w:rPr>
          <w:rFonts w:ascii="Times New Roman" w:cs="Times New Roman" w:eastAsia="Times New Roman" w:hAnsi="Times New Roman"/>
          <w:sz w:val="16"/>
          <w:szCs w:val="16"/>
          <w:b w:val="1"/>
          <w:bCs w:val="1"/>
          <w:color w:val="auto"/>
        </w:rPr>
        <w:t>Exhibit 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7141210" cy="84626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1">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84626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2">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84626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3">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84626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4">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84620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5">
                      <a:extLst>
                        <a:ext uri="{28A0092B-C50C-407E-A947-70E740481C1C}"/>
                      </a:extLst>
                    </a:blip>
                    <a:srcRect/>
                    <a:stretch>
                      <a:fillRect/>
                    </a:stretch>
                  </pic:blipFill>
                  <pic:spPr bwMode="auto">
                    <a:xfrm>
                      <a:off x="0" y="0"/>
                      <a:ext cx="7141210" cy="8462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84626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6">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84626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7">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ind w:left="9180"/>
        <w:spacing w:after="0"/>
        <w:rPr>
          <w:sz w:val="20"/>
          <w:szCs w:val="20"/>
          <w:color w:val="auto"/>
        </w:rPr>
      </w:pPr>
      <w:r>
        <w:rPr>
          <w:rFonts w:ascii="Times New Roman" w:cs="Times New Roman" w:eastAsia="Times New Roman" w:hAnsi="Times New Roman"/>
          <w:sz w:val="16"/>
          <w:szCs w:val="16"/>
          <w:b w:val="1"/>
          <w:bCs w:val="1"/>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7141210" cy="9222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8">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92233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9">
                      <a:extLst>
                        <a:ext uri="{28A0092B-C50C-407E-A947-70E740481C1C}"/>
                      </a:extLst>
                    </a:blip>
                    <a:srcRect/>
                    <a:stretch>
                      <a:fillRect/>
                    </a:stretch>
                  </pic:blipFill>
                  <pic:spPr bwMode="auto">
                    <a:xfrm>
                      <a:off x="0" y="0"/>
                      <a:ext cx="7141210" cy="9223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0">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1">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2">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3">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4">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5">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6">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7">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8">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9">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92233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0">
                      <a:extLst>
                        <a:ext uri="{28A0092B-C50C-407E-A947-70E740481C1C}"/>
                      </a:extLst>
                    </a:blip>
                    <a:srcRect/>
                    <a:stretch>
                      <a:fillRect/>
                    </a:stretch>
                  </pic:blipFill>
                  <pic:spPr bwMode="auto">
                    <a:xfrm>
                      <a:off x="0" y="0"/>
                      <a:ext cx="7141210" cy="9223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1">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2">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3">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92227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4">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5">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6">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7">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92227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8">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9">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0">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33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1">
                      <a:extLst>
                        <a:ext uri="{28A0092B-C50C-407E-A947-70E740481C1C}"/>
                      </a:extLst>
                    </a:blip>
                    <a:srcRect/>
                    <a:stretch>
                      <a:fillRect/>
                    </a:stretch>
                  </pic:blipFill>
                  <pic:spPr bwMode="auto">
                    <a:xfrm>
                      <a:off x="0" y="0"/>
                      <a:ext cx="7141210" cy="9223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92227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2">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3">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4">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84626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5">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6">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7">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8">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9">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0">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84626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1">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84626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2">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84626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3">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84626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4">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84626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5">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84626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6">
                      <a:extLst>
                        <a:ext uri="{28A0092B-C50C-407E-A947-70E740481C1C}"/>
                      </a:extLst>
                    </a:blip>
                    <a:srcRect/>
                    <a:stretch>
                      <a:fillRect/>
                    </a:stretch>
                  </pic:blipFill>
                  <pic:spPr bwMode="auto">
                    <a:xfrm>
                      <a:off x="0" y="0"/>
                      <a:ext cx="7141210" cy="84626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7">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8">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9">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0">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1">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2">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51238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3">
                      <a:extLst>
                        <a:ext uri="{28A0092B-C50C-407E-A947-70E740481C1C}"/>
                      </a:extLst>
                    </a:blip>
                    <a:srcRect/>
                    <a:stretch>
                      <a:fillRect/>
                    </a:stretch>
                  </pic:blipFill>
                  <pic:spPr bwMode="auto">
                    <a:xfrm>
                      <a:off x="0" y="0"/>
                      <a:ext cx="7141210" cy="512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51238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4">
                      <a:extLst>
                        <a:ext uri="{28A0092B-C50C-407E-A947-70E740481C1C}"/>
                      </a:extLst>
                    </a:blip>
                    <a:srcRect/>
                    <a:stretch>
                      <a:fillRect/>
                    </a:stretch>
                  </pic:blipFill>
                  <pic:spPr bwMode="auto">
                    <a:xfrm>
                      <a:off x="0" y="0"/>
                      <a:ext cx="7141210" cy="512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51238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5">
                      <a:extLst>
                        <a:ext uri="{28A0092B-C50C-407E-A947-70E740481C1C}"/>
                      </a:extLst>
                    </a:blip>
                    <a:srcRect/>
                    <a:stretch>
                      <a:fillRect/>
                    </a:stretch>
                  </pic:blipFill>
                  <pic:spPr bwMode="auto">
                    <a:xfrm>
                      <a:off x="0" y="0"/>
                      <a:ext cx="7141210" cy="512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51238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6">
                      <a:extLst>
                        <a:ext uri="{28A0092B-C50C-407E-A947-70E740481C1C}"/>
                      </a:extLst>
                    </a:blip>
                    <a:srcRect/>
                    <a:stretch>
                      <a:fillRect/>
                    </a:stretch>
                  </pic:blipFill>
                  <pic:spPr bwMode="auto">
                    <a:xfrm>
                      <a:off x="0" y="0"/>
                      <a:ext cx="7141210" cy="512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51238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7">
                      <a:extLst>
                        <a:ext uri="{28A0092B-C50C-407E-A947-70E740481C1C}"/>
                      </a:extLst>
                    </a:blip>
                    <a:srcRect/>
                    <a:stretch>
                      <a:fillRect/>
                    </a:stretch>
                  </pic:blipFill>
                  <pic:spPr bwMode="auto">
                    <a:xfrm>
                      <a:off x="0" y="0"/>
                      <a:ext cx="7141210" cy="512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51238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8">
                      <a:extLst>
                        <a:ext uri="{28A0092B-C50C-407E-A947-70E740481C1C}"/>
                      </a:extLst>
                    </a:blip>
                    <a:srcRect/>
                    <a:stretch>
                      <a:fillRect/>
                    </a:stretch>
                  </pic:blipFill>
                  <pic:spPr bwMode="auto">
                    <a:xfrm>
                      <a:off x="0" y="0"/>
                      <a:ext cx="7141210" cy="512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51238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9">
                      <a:extLst>
                        <a:ext uri="{28A0092B-C50C-407E-A947-70E740481C1C}"/>
                      </a:extLst>
                    </a:blip>
                    <a:srcRect/>
                    <a:stretch>
                      <a:fillRect/>
                    </a:stretch>
                  </pic:blipFill>
                  <pic:spPr bwMode="auto">
                    <a:xfrm>
                      <a:off x="0" y="0"/>
                      <a:ext cx="7141210" cy="512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51238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0">
                      <a:extLst>
                        <a:ext uri="{28A0092B-C50C-407E-A947-70E740481C1C}"/>
                      </a:extLst>
                    </a:blip>
                    <a:srcRect/>
                    <a:stretch>
                      <a:fillRect/>
                    </a:stretch>
                  </pic:blipFill>
                  <pic:spPr bwMode="auto">
                    <a:xfrm>
                      <a:off x="0" y="0"/>
                      <a:ext cx="7141210" cy="512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51238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1">
                      <a:extLst>
                        <a:ext uri="{28A0092B-C50C-407E-A947-70E740481C1C}"/>
                      </a:extLst>
                    </a:blip>
                    <a:srcRect/>
                    <a:stretch>
                      <a:fillRect/>
                    </a:stretch>
                  </pic:blipFill>
                  <pic:spPr bwMode="auto">
                    <a:xfrm>
                      <a:off x="0" y="0"/>
                      <a:ext cx="7141210" cy="512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51238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2">
                      <a:extLst>
                        <a:ext uri="{28A0092B-C50C-407E-A947-70E740481C1C}"/>
                      </a:extLst>
                    </a:blip>
                    <a:srcRect/>
                    <a:stretch>
                      <a:fillRect/>
                    </a:stretch>
                  </pic:blipFill>
                  <pic:spPr bwMode="auto">
                    <a:xfrm>
                      <a:off x="0" y="0"/>
                      <a:ext cx="7141210" cy="5123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3">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92233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4">
                      <a:extLst>
                        <a:ext uri="{28A0092B-C50C-407E-A947-70E740481C1C}"/>
                      </a:extLst>
                    </a:blip>
                    <a:srcRect/>
                    <a:stretch>
                      <a:fillRect/>
                    </a:stretch>
                  </pic:blipFill>
                  <pic:spPr bwMode="auto">
                    <a:xfrm>
                      <a:off x="0" y="0"/>
                      <a:ext cx="7141210" cy="9223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5">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6">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7">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92227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8">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9">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0">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33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1">
                      <a:extLst>
                        <a:ext uri="{28A0092B-C50C-407E-A947-70E740481C1C}"/>
                      </a:extLst>
                    </a:blip>
                    <a:srcRect/>
                    <a:stretch>
                      <a:fillRect/>
                    </a:stretch>
                  </pic:blipFill>
                  <pic:spPr bwMode="auto">
                    <a:xfrm>
                      <a:off x="0" y="0"/>
                      <a:ext cx="7141210" cy="9223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92227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2">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3">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4">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33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5">
                      <a:extLst>
                        <a:ext uri="{28A0092B-C50C-407E-A947-70E740481C1C}"/>
                      </a:extLst>
                    </a:blip>
                    <a:srcRect/>
                    <a:stretch>
                      <a:fillRect/>
                    </a:stretch>
                  </pic:blipFill>
                  <pic:spPr bwMode="auto">
                    <a:xfrm>
                      <a:off x="0" y="0"/>
                      <a:ext cx="7141210" cy="9223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92227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6">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7">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92227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8">
                      <a:extLst>
                        <a:ext uri="{28A0092B-C50C-407E-A947-70E740481C1C}"/>
                      </a:extLst>
                    </a:blip>
                    <a:srcRect/>
                    <a:stretch>
                      <a:fillRect/>
                    </a:stretch>
                  </pic:blipFill>
                  <pic:spPr bwMode="auto">
                    <a:xfrm>
                      <a:off x="0" y="0"/>
                      <a:ext cx="7141210" cy="9222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hereby consent to the inclusion of our report dated July 11, 2025 in the Registration Statement on Amendment No. 1 to Form F-1 of Diginex Limited (the “Company”), with respect to our audits of the consolidated financial statements of Diginex Limited as of March 31, 2025 and 2024 and for the years then ended, which appears in the Prospectus as part of this Registration Statement.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our Firm under the caption “Experts” in such Prospectus.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UHY LLP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3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1."/>
      <w:numFmt w:val="decimal"/>
      <w:start w:val="1"/>
    </w:lvl>
  </w:abstractNum>
  <w:abstractNum w:abstractNumId="2">
    <w:nsid w:val="6B94764"/>
    <w:multiLevelType w:val="hybridMultilevel"/>
    <w:lvl w:ilvl="0">
      <w:lvlJc w:val="left"/>
      <w:lvlText w:val="%1."/>
      <w:numFmt w:val="decimal"/>
      <w:start w:val="1"/>
    </w:lvl>
  </w:abstractNum>
  <w:abstractNum w:abstractNumId="3">
    <w:nsid w:val="42C296BD"/>
    <w:multiLevelType w:val="hybridMultilevel"/>
    <w:lvl w:ilvl="0">
      <w:lvlJc w:val="left"/>
      <w:lvlText w:val="●"/>
      <w:numFmt w:val="bullet"/>
      <w:start w:val="1"/>
    </w:lvl>
    <w:lvl w:ilvl="1">
      <w:lvlJc w:val="left"/>
      <w:lvlText w:val="%2"/>
      <w:numFmt w:val="lowerRoman"/>
      <w:start w:val="1"/>
    </w:lvl>
    <w:lvl w:ilvl="2">
      <w:lvlJc w:val="left"/>
      <w:lvlText w:val="%3."/>
      <w:numFmt w:val="decimal"/>
      <w:start w:val="1"/>
    </w:lvl>
  </w:abstractNum>
  <w:abstractNum w:abstractNumId="4">
    <w:nsid w:val="168E121F"/>
    <w:multiLevelType w:val="hybridMultilevel"/>
    <w:lvl w:ilvl="0">
      <w:lvlJc w:val="left"/>
      <w:lvlText w:val="●"/>
      <w:numFmt w:val="bullet"/>
      <w:start w:val="1"/>
    </w:lvl>
    <w:lvl w:ilvl="1">
      <w:lvlJc w:val="left"/>
      <w:lvlText w:val="(%2)"/>
      <w:numFmt w:val="lowerRoman"/>
      <w:start w:val="3"/>
    </w:lvl>
    <w:lvl w:ilvl="2">
      <w:lvlJc w:val="left"/>
      <w:lvlText w:val="%3"/>
      <w:numFmt w:val="decimal"/>
      <w:start w:val="1"/>
    </w:lvl>
  </w:abstractNum>
  <w:abstractNum w:abstractNumId="5">
    <w:nsid w:val="1EBA5D23"/>
    <w:multiLevelType w:val="hybridMultilevel"/>
    <w:lvl w:ilvl="0">
      <w:lvlJc w:val="left"/>
      <w:lvlText w:val="●"/>
      <w:numFmt w:val="bullet"/>
      <w:start w:val="1"/>
    </w:lvl>
  </w:abstractNum>
  <w:abstractNum w:abstractNumId="6">
    <w:nsid w:val="661E3F1E"/>
    <w:multiLevelType w:val="hybridMultilevel"/>
    <w:lvl w:ilvl="0">
      <w:lvlJc w:val="left"/>
      <w:lvlText w:val="(%1)"/>
      <w:numFmt w:val="decimal"/>
      <w:start w:val="1"/>
    </w:lvl>
  </w:abstractNum>
  <w:abstractNum w:abstractNumId="7">
    <w:nsid w:val="5DC79EA8"/>
    <w:multiLevelType w:val="hybridMultilevel"/>
    <w:lvl w:ilvl="0">
      <w:lvlJc w:val="left"/>
      <w:lvlText w:val="%1."/>
      <w:numFmt w:val="decimal"/>
      <w:start w:val="1"/>
    </w:lvl>
    <w:lvl w:ilvl="1">
      <w:lvlJc w:val="left"/>
      <w:lvlText w:val="%2."/>
      <w:numFmt w:val="decimal"/>
      <w:start w:val="1"/>
    </w:lvl>
  </w:abstractNum>
  <w:abstractNum w:abstractNumId="8">
    <w:nsid w:val="540A471C"/>
    <w:multiLevelType w:val="hybridMultilevel"/>
    <w:lvl w:ilvl="0">
      <w:lvlJc w:val="left"/>
      <w:lvlText w:val="●"/>
      <w:numFmt w:val="bullet"/>
      <w:start w:val="1"/>
    </w:lvl>
  </w:abstractNum>
  <w:abstractNum w:abstractNumId="9">
    <w:nsid w:val="7BD3EE7B"/>
    <w:multiLevelType w:val="hybridMultilevel"/>
    <w:lvl w:ilvl="0">
      <w:lvlJc w:val="left"/>
      <w:lvlText w:val="●"/>
      <w:numFmt w:val="bullet"/>
      <w:start w:val="1"/>
    </w:lvl>
  </w:abstractNum>
  <w:abstractNum w:abstractNumId="10">
    <w:nsid w:val="51D9C564"/>
    <w:multiLevelType w:val="hybridMultilevel"/>
    <w:lvl w:ilvl="0">
      <w:lvlJc w:val="left"/>
      <w:lvlText w:val="●"/>
      <w:numFmt w:val="bullet"/>
      <w:start w:val="1"/>
    </w:lvl>
  </w:abstractNum>
  <w:abstractNum w:abstractNumId="11">
    <w:nsid w:val="613EFDC5"/>
    <w:multiLevelType w:val="hybridMultilevel"/>
    <w:lvl w:ilvl="0">
      <w:lvlJc w:val="left"/>
      <w:lvlText w:val="●"/>
      <w:numFmt w:val="bullet"/>
      <w:start w:val="1"/>
    </w:lvl>
  </w:abstractNum>
  <w:abstractNum w:abstractNumId="12">
    <w:nsid w:val="BF72B14"/>
    <w:multiLevelType w:val="hybridMultilevel"/>
    <w:lvl w:ilvl="0">
      <w:lvlJc w:val="left"/>
      <w:lvlText w:val="●"/>
      <w:numFmt w:val="bullet"/>
      <w:start w:val="1"/>
    </w:lvl>
  </w:abstractNum>
  <w:abstractNum w:abstractNumId="13">
    <w:nsid w:val="11447B73"/>
    <w:multiLevelType w:val="hybridMultilevel"/>
    <w:lvl w:ilvl="0">
      <w:lvlJc w:val="left"/>
      <w:lvlText w:val="●"/>
      <w:numFmt w:val="bullet"/>
      <w:start w:val="1"/>
    </w:lvl>
  </w:abstractNum>
  <w:abstractNum w:abstractNumId="14">
    <w:nsid w:val="42963E5A"/>
    <w:multiLevelType w:val="hybridMultilevel"/>
    <w:lvl w:ilvl="0">
      <w:lvlJc w:val="left"/>
      <w:lvlText w:val="●"/>
      <w:numFmt w:val="bullet"/>
      <w:start w:val="1"/>
    </w:lvl>
  </w:abstractNum>
  <w:abstractNum w:abstractNumId="15">
    <w:nsid w:val="A0382C5"/>
    <w:multiLevelType w:val="hybridMultilevel"/>
    <w:lvl w:ilvl="0">
      <w:lvlJc w:val="left"/>
      <w:lvlText w:val="(%1)"/>
      <w:numFmt w:val="lowerRoman"/>
      <w:start w:val="1"/>
    </w:lvl>
  </w:abstractNum>
  <w:abstractNum w:abstractNumId="16">
    <w:nsid w:val="8F2B15E"/>
    <w:multiLevelType w:val="hybridMultilevel"/>
    <w:lvl w:ilvl="0">
      <w:lvlJc w:val="left"/>
      <w:lvlText w:val="●"/>
      <w:numFmt w:val="bullet"/>
      <w:start w:val="1"/>
    </w:lvl>
  </w:abstractNum>
  <w:abstractNum w:abstractNumId="17">
    <w:nsid w:val="1A32234B"/>
    <w:multiLevelType w:val="hybridMultilevel"/>
    <w:lvl w:ilvl="0">
      <w:lvlJc w:val="left"/>
      <w:lvlText w:val="●"/>
      <w:numFmt w:val="bullet"/>
      <w:start w:val="1"/>
    </w:lvl>
  </w:abstractNum>
  <w:abstractNum w:abstractNumId="18">
    <w:nsid w:val="3B0FD379"/>
    <w:multiLevelType w:val="hybridMultilevel"/>
    <w:lvl w:ilvl="0">
      <w:lvlJc w:val="left"/>
      <w:lvlText w:val="●"/>
      <w:numFmt w:val="bullet"/>
      <w:start w:val="1"/>
    </w:lvl>
  </w:abstractNum>
  <w:abstractNum w:abstractNumId="19">
    <w:nsid w:val="68EB2F63"/>
    <w:multiLevelType w:val="hybridMultilevel"/>
    <w:lvl w:ilvl="0">
      <w:lvlJc w:val="left"/>
      <w:lvlText w:val="%1."/>
      <w:numFmt w:val="decimal"/>
      <w:start w:val="1"/>
    </w:lvl>
    <w:lvl w:ilvl="1">
      <w:lvlJc w:val="left"/>
      <w:lvlText w:val="%2."/>
      <w:numFmt w:val="decimal"/>
      <w:start w:val="1"/>
    </w:lvl>
  </w:abstractNum>
  <w:abstractNum w:abstractNumId="20">
    <w:nsid w:val="4962813B"/>
    <w:multiLevelType w:val="hybridMultilevel"/>
    <w:lvl w:ilvl="0">
      <w:lvlJc w:val="left"/>
      <w:lvlText w:val="(%1)"/>
      <w:numFmt w:val="decimal"/>
      <w:start w:val="1"/>
    </w:lvl>
  </w:abstractNum>
  <w:abstractNum w:abstractNumId="21">
    <w:nsid w:val="60B6DF70"/>
    <w:multiLevelType w:val="hybridMultilevel"/>
    <w:lvl w:ilvl="0">
      <w:lvlJc w:val="left"/>
      <w:lvlText w:val="(%1)"/>
      <w:numFmt w:val="lowerRoman"/>
      <w:start w:val="1"/>
    </w:lvl>
  </w:abstractNum>
  <w:abstractNum w:abstractNumId="22">
    <w:nsid w:val="6A5EE64"/>
    <w:multiLevelType w:val="hybridMultilevel"/>
    <w:lvl w:ilvl="0">
      <w:lvlJc w:val="left"/>
      <w:lvlText w:val="(%1)"/>
      <w:numFmt w:val="decimal"/>
      <w:start w:val="1"/>
    </w:lvl>
    <w:lvl w:ilvl="1">
      <w:lvlJc w:val="left"/>
      <w:lvlText w:val="(%2)"/>
      <w:numFmt w:val="lowerRoman"/>
      <w:start w:val="2"/>
    </w:lvl>
  </w:abstractNum>
  <w:abstractNum w:abstractNumId="23">
    <w:nsid w:val="14330624"/>
    <w:multiLevelType w:val="hybridMultilevel"/>
    <w:lvl w:ilvl="0">
      <w:lvlJc w:val="left"/>
      <w:lvlText w:val="-"/>
      <w:numFmt w:val="bullet"/>
      <w:start w:val="1"/>
    </w:lvl>
  </w:abstractNum>
  <w:abstractNum w:abstractNumId="24">
    <w:nsid w:val="7FFFCA11"/>
    <w:multiLevelType w:val="hybridMultilevel"/>
    <w:lvl w:ilvl="0">
      <w:lvlJc w:val="left"/>
      <w:lvlText w:val="-"/>
      <w:numFmt w:val="bullet"/>
      <w:start w:val="1"/>
    </w:lvl>
  </w:abstractNum>
  <w:abstractNum w:abstractNumId="25">
    <w:nsid w:val="1A27709E"/>
    <w:multiLevelType w:val="hybridMultilevel"/>
    <w:lvl w:ilvl="0">
      <w:lvlJc w:val="left"/>
      <w:lvlText w:val="-"/>
      <w:numFmt w:val="bullet"/>
      <w:start w:val="1"/>
    </w:lvl>
  </w:abstractNum>
  <w:abstractNum w:abstractNumId="26">
    <w:nsid w:val="71EA1109"/>
    <w:multiLevelType w:val="hybridMultilevel"/>
    <w:lvl w:ilvl="0">
      <w:lvlJc w:val="left"/>
      <w:lvlText w:val="-"/>
      <w:numFmt w:val="bullet"/>
      <w:start w:val="1"/>
    </w:lvl>
  </w:abstractNum>
  <w:abstractNum w:abstractNumId="27">
    <w:nsid w:val="100F59DC"/>
    <w:multiLevelType w:val="hybridMultilevel"/>
    <w:lvl w:ilvl="0">
      <w:lvlJc w:val="left"/>
      <w:lvlText w:val="1"/>
      <w:numFmt w:val="bullet"/>
      <w:start w:val="1"/>
    </w:lvl>
  </w:abstractNum>
  <w:abstractNum w:abstractNumId="28">
    <w:nsid w:val="7FB7E0AA"/>
    <w:multiLevelType w:val="hybridMultilevel"/>
    <w:lvl w:ilvl="0">
      <w:lvlJc w:val="left"/>
      <w:lvlText w:val="2"/>
      <w:numFmt w:val="bullet"/>
      <w:start w:val="1"/>
    </w:lvl>
  </w:abstractNum>
  <w:abstractNum w:abstractNumId="29">
    <w:nsid w:val="6EB5BD4"/>
    <w:multiLevelType w:val="hybridMultilevel"/>
    <w:lvl w:ilvl="0">
      <w:lvlJc w:val="left"/>
      <w:lvlText w:val="●"/>
      <w:numFmt w:val="bullet"/>
      <w:start w:val="1"/>
    </w:lvl>
  </w:abstractNum>
  <w:abstractNum w:abstractNumId="30">
    <w:nsid w:val="6F6DD9AC"/>
    <w:multiLevelType w:val="hybridMultilevel"/>
    <w:lvl w:ilvl="0">
      <w:lvlJc w:val="left"/>
      <w:lvlText w:val="●"/>
      <w:numFmt w:val="bullet"/>
      <w:start w:val="1"/>
    </w:lvl>
  </w:abstractNum>
  <w:abstractNum w:abstractNumId="31">
    <w:nsid w:val="94211F2"/>
    <w:multiLevelType w:val="hybridMultilevel"/>
    <w:lvl w:ilvl="0">
      <w:lvlJc w:val="left"/>
      <w:lvlText w:val="●"/>
      <w:numFmt w:val="bullet"/>
      <w:start w:val="1"/>
    </w:lvl>
  </w:abstractNum>
  <w:abstractNum w:abstractNumId="32">
    <w:nsid w:val="885E1B"/>
    <w:multiLevelType w:val="hybridMultilevel"/>
    <w:lvl w:ilvl="0">
      <w:lvlJc w:val="left"/>
      <w:lvlText w:val="(%1)"/>
      <w:numFmt w:val="decimal"/>
      <w:start w:val="1"/>
    </w:lvl>
  </w:abstractNum>
  <w:abstractNum w:abstractNumId="33">
    <w:nsid w:val="76272110"/>
    <w:multiLevelType w:val="hybridMultilevel"/>
    <w:lvl w:ilvl="0">
      <w:lvlJc w:val="left"/>
      <w:lvlText w:val="%1."/>
      <w:numFmt w:val="decimal"/>
      <w:start w:val="1"/>
    </w:lvl>
    <w:lvl w:ilvl="1">
      <w:lvlJc w:val="left"/>
      <w:lvlText w:val="%2."/>
      <w:numFmt w:val="decimal"/>
      <w:start w:val="1"/>
    </w:lvl>
  </w:abstractNum>
  <w:abstractNum w:abstractNumId="34">
    <w:nsid w:val="4C04A8AF"/>
    <w:multiLevelType w:val="hybridMultilevel"/>
    <w:lvl w:ilvl="0">
      <w:lvlJc w:val="left"/>
      <w:lvlText w:val="●"/>
      <w:numFmt w:val="bullet"/>
      <w:start w:val="1"/>
    </w:lvl>
  </w:abstractNum>
  <w:abstractNum w:abstractNumId="35">
    <w:nsid w:val="1716703B"/>
    <w:multiLevelType w:val="hybridMultilevel"/>
    <w:lvl w:ilvl="0">
      <w:lvlJc w:val="left"/>
      <w:lvlText w:val="●"/>
      <w:numFmt w:val="bullet"/>
      <w:start w:val="1"/>
    </w:lvl>
  </w:abstractNum>
  <w:abstractNum w:abstractNumId="36">
    <w:nsid w:val="14E17E33"/>
    <w:multiLevelType w:val="hybridMultilevel"/>
    <w:lvl w:ilvl="0">
      <w:lvlJc w:val="left"/>
      <w:lvlText w:val="●"/>
      <w:numFmt w:val="bullet"/>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1"/>
      <w:numFmt w:val="bullet"/>
      <w:start w:val="1"/>
    </w:lvl>
  </w:abstractNum>
  <w:abstractNum w:abstractNumId="41">
    <w:nsid w:val="46B7D447"/>
    <w:multiLevelType w:val="hybridMultilevel"/>
    <w:lvl w:ilvl="0">
      <w:lvlJc w:val="left"/>
      <w:lvlText w:val="2"/>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4"/>
      <w:numFmt w:val="bullet"/>
      <w:start w:val="1"/>
    </w:lvl>
  </w:abstractNum>
  <w:abstractNum w:abstractNumId="45">
    <w:nsid w:val="CC1016F"/>
    <w:multiLevelType w:val="hybridMultilevel"/>
    <w:lvl w:ilvl="0">
      <w:lvlJc w:val="left"/>
      <w:lvlText w:val="5"/>
      <w:numFmt w:val="bullet"/>
      <w:start w:val="1"/>
    </w:lvl>
  </w:abstractNum>
  <w:abstractNum w:abstractNumId="46">
    <w:nsid w:val="43F18422"/>
    <w:multiLevelType w:val="hybridMultilevel"/>
    <w:lvl w:ilvl="0">
      <w:lvlJc w:val="left"/>
      <w:lvlText w:val="6"/>
      <w:numFmt w:val="bullet"/>
      <w:start w:val="1"/>
    </w:lvl>
  </w:abstractNum>
  <w:abstractNum w:abstractNumId="47">
    <w:nsid w:val="60EF0119"/>
    <w:multiLevelType w:val="hybridMultilevel"/>
    <w:lvl w:ilvl="0">
      <w:lvlJc w:val="left"/>
      <w:lvlText w:val="●"/>
      <w:numFmt w:val="bullet"/>
      <w:start w:val="1"/>
    </w:lvl>
  </w:abstractNum>
  <w:abstractNum w:abstractNumId="48">
    <w:nsid w:val="26F324BA"/>
    <w:multiLevelType w:val="hybridMultilevel"/>
    <w:lvl w:ilvl="0">
      <w:lvlJc w:val="left"/>
      <w:lvlText w:val="(%1)"/>
      <w:numFmt w:val="decimal"/>
      <w:start w:val="1"/>
    </w:lvl>
  </w:abstractNum>
  <w:abstractNum w:abstractNumId="49">
    <w:nsid w:val="7F01579B"/>
    <w:multiLevelType w:val="hybridMultilevel"/>
    <w:lvl w:ilvl="0">
      <w:lvlJc w:val="left"/>
      <w:lvlText w:val="%1."/>
      <w:numFmt w:val="decimal"/>
      <w:start w:val="1"/>
    </w:lvl>
    <w:lvl w:ilvl="1">
      <w:lvlJc w:val="left"/>
      <w:lvlText w:val="%2."/>
      <w:numFmt w:val="decimal"/>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1."/>
      <w:numFmt w:val="decimal"/>
      <w:start w:val="1"/>
    </w:lvl>
  </w:abstractNum>
  <w:abstractNum w:abstractNumId="56">
    <w:nsid w:val="6AA78F7F"/>
    <w:multiLevelType w:val="hybridMultilevel"/>
    <w:lvl w:ilvl="0">
      <w:lvlJc w:val="left"/>
      <w:lvlText w:val="%1."/>
      <w:numFmt w:val="decimal"/>
      <w:start w:val="1"/>
    </w:lvl>
  </w:abstractNum>
  <w:abstractNum w:abstractNumId="57">
    <w:nsid w:val="7672BD23"/>
    <w:multiLevelType w:val="hybridMultilevel"/>
    <w:lvl w:ilvl="0">
      <w:lvlJc w:val="left"/>
      <w:lvlText w:val="●"/>
      <w:numFmt w:val="bullet"/>
      <w:start w:val="1"/>
    </w:lvl>
  </w:abstractNum>
  <w:abstractNum w:abstractNumId="58">
    <w:nsid w:val="6FC75AF8"/>
    <w:multiLevelType w:val="hybridMultilevel"/>
    <w:lvl w:ilvl="0">
      <w:lvlJc w:val="left"/>
      <w:lvlText w:val="●"/>
      <w:numFmt w:val="bullet"/>
      <w:start w:val="1"/>
    </w:lvl>
  </w:abstractNum>
  <w:abstractNum w:abstractNumId="59">
    <w:nsid w:val="6A5F7029"/>
    <w:multiLevelType w:val="hybridMultilevel"/>
    <w:lvl w:ilvl="0">
      <w:lvlJc w:val="left"/>
      <w:lvlText w:val="●"/>
      <w:numFmt w:val="bullet"/>
      <w:start w:val="1"/>
    </w:lvl>
  </w:abstractNum>
  <w:abstractNum w:abstractNumId="60">
    <w:nsid w:val="7D5E18F8"/>
    <w:multiLevelType w:val="hybridMultilevel"/>
    <w:lvl w:ilvl="0">
      <w:lvlJc w:val="left"/>
      <w:lvlText w:val="●"/>
      <w:numFmt w:val="bullet"/>
      <w:start w:val="1"/>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
      <w:numFmt w:val="bullet"/>
      <w:start w:val="1"/>
    </w:lvl>
  </w:abstractNum>
  <w:abstractNum w:abstractNumId="65">
    <w:nsid w:val="3FA62ACA"/>
    <w:multiLevelType w:val="hybridMultilevel"/>
    <w:lvl w:ilvl="0">
      <w:lvlJc w:val="left"/>
      <w:lvlText w:val="●"/>
      <w:numFmt w:val="bullet"/>
      <w:start w:val="1"/>
    </w:lvl>
  </w:abstractNum>
  <w:abstractNum w:abstractNumId="66">
    <w:nsid w:val="14FCE74E"/>
    <w:multiLevelType w:val="hybridMultilevel"/>
    <w:lvl w:ilvl="0">
      <w:lvlJc w:val="left"/>
      <w:lvlText w:val="●"/>
      <w:numFmt w:val="bullet"/>
      <w:start w:val="1"/>
    </w:lvl>
  </w:abstractNum>
  <w:abstractNum w:abstractNumId="67">
    <w:nsid w:val="6A3DD3E8"/>
    <w:multiLevelType w:val="hybridMultilevel"/>
    <w:lvl w:ilvl="0">
      <w:lvlJc w:val="left"/>
      <w:lvlText w:val="●"/>
      <w:numFmt w:val="bullet"/>
      <w:start w:val="1"/>
    </w:lvl>
    <w:lvl w:ilvl="1">
      <w:lvlJc w:val="left"/>
      <w:lvlText w:val="●"/>
      <w:numFmt w:val="bullet"/>
      <w:start w:val="1"/>
    </w:lvl>
  </w:abstractNum>
  <w:abstractNum w:abstractNumId="68">
    <w:nsid w:val="71C91298"/>
    <w:multiLevelType w:val="hybridMultilevel"/>
    <w:lvl w:ilvl="0">
      <w:lvlJc w:val="left"/>
      <w:lvlText w:val="(%1)"/>
      <w:numFmt w:val="lowerLetter"/>
      <w:start w:val="2"/>
    </w:lvl>
  </w:abstractNum>
  <w:abstractNum w:abstractNumId="69">
    <w:nsid w:val="9DAF632"/>
    <w:multiLevelType w:val="hybridMultilevel"/>
    <w:lvl w:ilvl="0">
      <w:lvlJc w:val="left"/>
      <w:lvlText w:val="●"/>
      <w:numFmt w:val="bullet"/>
      <w:start w:val="1"/>
    </w:lvl>
  </w:abstractNum>
  <w:abstractNum w:abstractNumId="70">
    <w:nsid w:val="53299938"/>
    <w:multiLevelType w:val="hybridMultilevel"/>
    <w:lvl w:ilvl="0">
      <w:lvlJc w:val="left"/>
      <w:lvlText w:val="●"/>
      <w:numFmt w:val="bullet"/>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
      <w:numFmt w:val="bullet"/>
      <w:start w:val="1"/>
    </w:lvl>
  </w:abstractNum>
  <w:abstractNum w:abstractNumId="73">
    <w:nsid w:val="1D545C4D"/>
    <w:multiLevelType w:val="hybridMultilevel"/>
    <w:lvl w:ilvl="0">
      <w:lvlJc w:val="left"/>
      <w:lvlText w:val="●"/>
      <w:numFmt w:val="bullet"/>
      <w:start w:val="1"/>
    </w:lvl>
  </w:abstractNum>
  <w:abstractNum w:abstractNumId="74">
    <w:nsid w:val="59ADEA3D"/>
    <w:multiLevelType w:val="hybridMultilevel"/>
    <w:lvl w:ilvl="0">
      <w:lvlJc w:val="left"/>
      <w:lvlText w:val="●"/>
      <w:numFmt w:val="bullet"/>
      <w:start w:val="1"/>
    </w:lvl>
  </w:abstractNum>
  <w:abstractNum w:abstractNumId="75">
    <w:nsid w:val="288F1A34"/>
    <w:multiLevelType w:val="hybridMultilevel"/>
    <w:lvl w:ilvl="0">
      <w:lvlJc w:val="left"/>
      <w:lvlText w:val="*"/>
      <w:numFmt w:val="bullet"/>
      <w:start w:val="1"/>
    </w:lvl>
    <w:lvl w:ilvl="1">
      <w:lvlJc w:val="left"/>
      <w:lvlText w:val="(%2)"/>
      <w:numFmt w:val="decimal"/>
      <w:start w:val="1"/>
    </w:lvl>
  </w:abstractNum>
  <w:abstractNum w:abstractNumId="76">
    <w:nsid w:val="2A155DBC"/>
    <w:multiLevelType w:val="hybridMultilevel"/>
    <w:lvl w:ilvl="0">
      <w:lvlJc w:val="left"/>
      <w:lvlText w:val="(%1)"/>
      <w:numFmt w:val="decimal"/>
      <w:start w:val="2"/>
    </w:lvl>
  </w:abstractNum>
  <w:abstractNum w:abstractNumId="77">
    <w:nsid w:val="1D9F6E5F"/>
    <w:multiLevelType w:val="hybridMultilevel"/>
    <w:lvl w:ilvl="0">
      <w:lvlJc w:val="left"/>
      <w:lvlText w:val="(%1)"/>
      <w:numFmt w:val="decimal"/>
      <w:start w:val="1"/>
    </w:lvl>
  </w:abstractNum>
  <w:abstractNum w:abstractNumId="78">
    <w:nsid w:val="97E1B4E"/>
    <w:multiLevelType w:val="hybridMultilevel"/>
    <w:lvl w:ilvl="0">
      <w:lvlJc w:val="left"/>
      <w:lvlText w:val="%1."/>
      <w:numFmt w:val="decimal"/>
      <w:start w:val="1"/>
    </w:lvl>
    <w:lvl w:ilvl="1">
      <w:lvlJc w:val="left"/>
      <w:lvlText w:val="%2."/>
      <w:numFmt w:val="decimal"/>
      <w:start w:val="1"/>
    </w:lvl>
  </w:abstractNum>
  <w:abstractNum w:abstractNumId="79">
    <w:nsid w:val="51088277"/>
    <w:multiLevelType w:val="hybridMultilevel"/>
    <w:lvl w:ilvl="0">
      <w:lvlJc w:val="left"/>
      <w:lvlText w:val="●"/>
      <w:numFmt w:val="bullet"/>
      <w:start w:val="1"/>
    </w:lvl>
  </w:abstractNum>
  <w:abstractNum w:abstractNumId="80">
    <w:nsid w:val="1CA0C5FA"/>
    <w:multiLevelType w:val="hybridMultilevel"/>
    <w:lvl w:ilvl="0">
      <w:lvlJc w:val="left"/>
      <w:lvlText w:val="●"/>
      <w:numFmt w:val="bullet"/>
      <w:start w:val="1"/>
    </w:lvl>
  </w:abstractNum>
  <w:abstractNum w:abstractNumId="81">
    <w:nsid w:val="53584BCB"/>
    <w:multiLevelType w:val="hybridMultilevel"/>
    <w:lvl w:ilvl="0">
      <w:lvlJc w:val="left"/>
      <w:lvlText w:val="(%1)"/>
      <w:numFmt w:val="lowerRoman"/>
      <w:start w:val="1"/>
    </w:lvl>
    <w:lvl w:ilvl="1">
      <w:lvlJc w:val="left"/>
      <w:lvlText w:val="●"/>
      <w:numFmt w:val="bullet"/>
      <w:start w:val="1"/>
    </w:lvl>
  </w:abstractNum>
  <w:abstractNum w:abstractNumId="82">
    <w:nsid w:val="415E286C"/>
    <w:multiLevelType w:val="hybridMultilevel"/>
    <w:lvl w:ilvl="0">
      <w:lvlJc w:val="left"/>
      <w:lvlText w:val="●"/>
      <w:numFmt w:val="bullet"/>
      <w:start w:val="1"/>
    </w:lvl>
  </w:abstractNum>
  <w:abstractNum w:abstractNumId="83">
    <w:nsid w:val="7C58FD05"/>
    <w:multiLevelType w:val="hybridMultilevel"/>
    <w:lvl w:ilvl="0">
      <w:lvlJc w:val="left"/>
      <w:lvlText w:val="(%1)"/>
      <w:numFmt w:val="decimal"/>
      <w:start w:val="1"/>
    </w:lvl>
  </w:abstractNum>
  <w:abstractNum w:abstractNumId="84">
    <w:nsid w:val="23D86AAC"/>
    <w:multiLevelType w:val="hybridMultilevel"/>
    <w:lvl w:ilvl="0">
      <w:lvlJc w:val="left"/>
      <w:lvlText w:val="●"/>
      <w:numFmt w:val="bullet"/>
      <w:start w:val="1"/>
    </w:lvl>
  </w:abstractNum>
  <w:abstractNum w:abstractNumId="85">
    <w:nsid w:val="45E6D486"/>
    <w:multiLevelType w:val="hybridMultilevel"/>
    <w:lvl w:ilvl="0">
      <w:lvlJc w:val="left"/>
      <w:lvlText w:val="●"/>
      <w:numFmt w:val="bullet"/>
      <w:start w:val="1"/>
    </w:lvl>
  </w:abstractNum>
  <w:abstractNum w:abstractNumId="86">
    <w:nsid w:val="5C10FE21"/>
    <w:multiLevelType w:val="hybridMultilevel"/>
    <w:lvl w:ilvl="0">
      <w:lvlJc w:val="left"/>
      <w:lvlText w:val="●"/>
      <w:numFmt w:val="bullet"/>
      <w:start w:val="1"/>
    </w:lvl>
  </w:abstractNum>
  <w:abstractNum w:abstractNumId="87">
    <w:nsid w:val="E7FFA2B"/>
    <w:multiLevelType w:val="hybridMultilevel"/>
    <w:lvl w:ilvl="0">
      <w:lvlJc w:val="left"/>
      <w:lvlText w:val="●"/>
      <w:numFmt w:val="bullet"/>
      <w:start w:val="1"/>
    </w:lvl>
  </w:abstractNum>
  <w:abstractNum w:abstractNumId="88">
    <w:nsid w:val="3C5991AA"/>
    <w:multiLevelType w:val="hybridMultilevel"/>
    <w:lvl w:ilvl="0">
      <w:lvlJc w:val="left"/>
      <w:lvlText w:val="(%1)"/>
      <w:numFmt w:val="lowerLetter"/>
      <w:start w:val="1"/>
    </w:lvl>
  </w:abstractNum>
  <w:abstractNum w:abstractNumId="89">
    <w:nsid w:val="4BD8591A"/>
    <w:multiLevelType w:val="hybridMultilevel"/>
    <w:lvl w:ilvl="0">
      <w:lvlJc w:val="left"/>
      <w:lvlText w:val="●"/>
      <w:numFmt w:val="bullet"/>
      <w:start w:val="1"/>
    </w:lvl>
  </w:abstractNum>
  <w:abstractNum w:abstractNumId="90">
    <w:nsid w:val="78DF6A55"/>
    <w:multiLevelType w:val="hybridMultilevel"/>
    <w:lvl w:ilvl="0">
      <w:lvlJc w:val="left"/>
      <w:lvlText w:val="●"/>
      <w:numFmt w:val="bullet"/>
      <w:start w:val="1"/>
    </w:lvl>
  </w:abstractNum>
  <w:abstractNum w:abstractNumId="91">
    <w:nsid w:val="39B7AAA2"/>
    <w:multiLevelType w:val="hybridMultilevel"/>
    <w:lvl w:ilvl="0">
      <w:lvlJc w:val="left"/>
      <w:lvlText w:val="(%1)"/>
      <w:numFmt w:val="lowerRoman"/>
      <w:start w:val="1"/>
    </w:lvl>
  </w:abstractNum>
  <w:abstractNum w:abstractNumId="92">
    <w:nsid w:val="2B0D8DBE"/>
    <w:multiLevelType w:val="hybridMultilevel"/>
    <w:lvl w:ilvl="0">
      <w:lvlJc w:val="left"/>
      <w:lvlText w:val="●"/>
      <w:numFmt w:val="bullet"/>
      <w:start w:val="1"/>
    </w:lvl>
  </w:abstractNum>
  <w:abstractNum w:abstractNumId="93">
    <w:nsid w:val="6C80EC70"/>
    <w:multiLevelType w:val="hybridMultilevel"/>
    <w:lvl w:ilvl="0">
      <w:lvlJc w:val="left"/>
      <w:lvlText w:val="●"/>
      <w:numFmt w:val="bullet"/>
      <w:start w:val="1"/>
    </w:lvl>
  </w:abstractNum>
  <w:abstractNum w:abstractNumId="94">
    <w:nsid w:val="379E21B5"/>
    <w:multiLevelType w:val="hybridMultilevel"/>
    <w:lvl w:ilvl="0">
      <w:lvlJc w:val="left"/>
      <w:lvlText w:val="●"/>
      <w:numFmt w:val="bullet"/>
      <w:start w:val="1"/>
    </w:lvl>
  </w:abstractNum>
  <w:abstractNum w:abstractNumId="95">
    <w:nsid w:val="69E373"/>
    <w:multiLevelType w:val="hybridMultilevel"/>
    <w:lvl w:ilvl="0">
      <w:lvlJc w:val="left"/>
      <w:lvlText w:val="●"/>
      <w:numFmt w:val="bullet"/>
      <w:start w:val="1"/>
    </w:lvl>
  </w:abstractNum>
  <w:abstractNum w:abstractNumId="96">
    <w:nsid w:val="2C27173B"/>
    <w:multiLevelType w:val="hybridMultilevel"/>
    <w:lvl w:ilvl="0">
      <w:lvlJc w:val="left"/>
      <w:lvlText w:val="●"/>
      <w:numFmt w:val="bullet"/>
      <w:start w:val="1"/>
    </w:lvl>
  </w:abstractNum>
  <w:abstractNum w:abstractNumId="97">
    <w:nsid w:val="4C9B0904"/>
    <w:multiLevelType w:val="hybridMultilevel"/>
    <w:lvl w:ilvl="0">
      <w:lvlJc w:val="left"/>
      <w:lvlText w:val="●"/>
      <w:numFmt w:val="bullet"/>
      <w:start w:val="1"/>
    </w:lvl>
  </w:abstractNum>
  <w:abstractNum w:abstractNumId="98">
    <w:nsid w:val="6AA7B75C"/>
    <w:multiLevelType w:val="hybridMultilevel"/>
    <w:lvl w:ilvl="0">
      <w:lvlJc w:val="left"/>
      <w:lvlText w:val="●"/>
      <w:numFmt w:val="bullet"/>
      <w:start w:val="1"/>
    </w:lvl>
  </w:abstractNum>
  <w:abstractNum w:abstractNumId="99">
    <w:nsid w:val="1DF029D3"/>
    <w:multiLevelType w:val="hybridMultilevel"/>
    <w:lvl w:ilvl="0">
      <w:lvlJc w:val="left"/>
      <w:lvlText w:val="●"/>
      <w:numFmt w:val="bullet"/>
      <w:start w:val="1"/>
    </w:lvl>
  </w:abstractNum>
  <w:abstractNum w:abstractNumId="100">
    <w:nsid w:val="5675FF36"/>
    <w:multiLevelType w:val="hybridMultilevel"/>
    <w:lvl w:ilvl="0">
      <w:lvlJc w:val="left"/>
      <w:lvlText w:val="●"/>
      <w:numFmt w:val="bullet"/>
      <w:start w:val="1"/>
    </w:lvl>
  </w:abstractNum>
  <w:abstractNum w:abstractNumId="101">
    <w:nsid w:val="3DD15094"/>
    <w:multiLevelType w:val="hybridMultilevel"/>
    <w:lvl w:ilvl="0">
      <w:lvlJc w:val="left"/>
      <w:lvlText w:val="●"/>
      <w:numFmt w:val="bullet"/>
      <w:start w:val="1"/>
    </w:lvl>
  </w:abstractNum>
  <w:abstractNum w:abstractNumId="102">
    <w:nsid w:val="3DB012B3"/>
    <w:multiLevelType w:val="hybridMultilevel"/>
    <w:lvl w:ilvl="0">
      <w:lvlJc w:val="left"/>
      <w:lvlText w:val="●"/>
      <w:numFmt w:val="bullet"/>
      <w:start w:val="1"/>
    </w:lvl>
  </w:abstractNum>
  <w:abstractNum w:abstractNumId="103">
    <w:nsid w:val="2708C9AF"/>
    <w:multiLevelType w:val="hybridMultilevel"/>
    <w:lvl w:ilvl="0">
      <w:lvlJc w:val="left"/>
      <w:lvlText w:val="●"/>
      <w:numFmt w:val="bullet"/>
      <w:start w:val="1"/>
    </w:lvl>
  </w:abstractNum>
  <w:abstractNum w:abstractNumId="104">
    <w:nsid w:val="5B25ACE2"/>
    <w:multiLevelType w:val="hybridMultilevel"/>
    <w:lvl w:ilvl="0">
      <w:lvlJc w:val="left"/>
      <w:lvlText w:val="●"/>
      <w:numFmt w:val="bullet"/>
      <w:start w:val="1"/>
    </w:lvl>
  </w:abstractNum>
  <w:abstractNum w:abstractNumId="105">
    <w:nsid w:val="175DFCF0"/>
    <w:multiLevelType w:val="hybridMultilevel"/>
    <w:lvl w:ilvl="0">
      <w:lvlJc w:val="left"/>
      <w:lvlText w:val="●"/>
      <w:numFmt w:val="bullet"/>
      <w:start w:val="1"/>
    </w:lvl>
  </w:abstractNum>
  <w:abstractNum w:abstractNumId="106">
    <w:nsid w:val="4F97E3E4"/>
    <w:multiLevelType w:val="hybridMultilevel"/>
    <w:lvl w:ilvl="0">
      <w:lvlJc w:val="left"/>
      <w:lvlText w:val="(%1)"/>
      <w:numFmt w:val="lowerLetter"/>
      <w:start w:val="1"/>
    </w:lvl>
    <w:lvl w:ilvl="1">
      <w:lvlJc w:val="left"/>
      <w:lvlText w:val="%2."/>
      <w:numFmt w:val="lowerRoman"/>
      <w:start w:val="1"/>
    </w:lvl>
  </w:abstractNum>
  <w:abstractNum w:abstractNumId="107">
    <w:nsid w:val="53B0A9E"/>
    <w:multiLevelType w:val="hybridMultilevel"/>
    <w:lvl w:ilvl="0">
      <w:lvlJc w:val="left"/>
      <w:lvlText w:val="●"/>
      <w:numFmt w:val="bullet"/>
      <w:start w:val="1"/>
    </w:lvl>
  </w:abstractNum>
  <w:abstractNum w:abstractNumId="108">
    <w:nsid w:val="34FD6B4F"/>
    <w:multiLevelType w:val="hybridMultilevel"/>
    <w:lvl w:ilvl="0">
      <w:lvlJc w:val="left"/>
      <w:lvlText w:val="●"/>
      <w:numFmt w:val="bullet"/>
      <w:start w:val="1"/>
    </w:lvl>
  </w:abstractNum>
  <w:abstractNum w:abstractNumId="109">
    <w:nsid w:val="5915FF32"/>
    <w:multiLevelType w:val="hybridMultilevel"/>
    <w:lvl w:ilvl="0">
      <w:lvlJc w:val="left"/>
      <w:lvlText w:val="(%1)"/>
      <w:numFmt w:val="lowerLetter"/>
      <w:start w:val="2"/>
    </w:lvl>
  </w:abstractNum>
  <w:abstractNum w:abstractNumId="110">
    <w:nsid w:val="56438D15"/>
    <w:multiLevelType w:val="hybridMultilevel"/>
    <w:lvl w:ilvl="0">
      <w:lvlJc w:val="left"/>
      <w:lvlText w:val="(%1)"/>
      <w:numFmt w:val="lowerLetter"/>
      <w:start w:val="4"/>
    </w:lvl>
  </w:abstractNum>
  <w:abstractNum w:abstractNumId="111">
    <w:nsid w:val="519E3149"/>
    <w:multiLevelType w:val="hybridMultilevel"/>
    <w:lvl w:ilvl="0">
      <w:lvlJc w:val="left"/>
      <w:lvlText w:val="(%1)"/>
      <w:numFmt w:val="lowerLetter"/>
      <w:start w:val="1"/>
    </w:lvl>
  </w:abstractNum>
  <w:abstractNum w:abstractNumId="112">
    <w:nsid w:val="2C6E4AFD"/>
    <w:multiLevelType w:val="hybridMultilevel"/>
    <w:lvl w:ilvl="0">
      <w:lvlJc w:val="left"/>
      <w:lvlText w:val="●"/>
      <w:numFmt w:val="bullet"/>
      <w:start w:val="1"/>
    </w:lvl>
  </w:abstractNum>
  <w:abstractNum w:abstractNumId="113">
    <w:nsid w:val="17A1B582"/>
    <w:multiLevelType w:val="hybridMultilevel"/>
    <w:lvl w:ilvl="0">
      <w:lvlJc w:val="left"/>
      <w:lvlText w:val="(%1)"/>
      <w:numFmt w:val="lowerLetter"/>
      <w:start w:val="1"/>
    </w:lvl>
  </w:abstractNum>
  <w:abstractNum w:abstractNumId="114">
    <w:nsid w:val="4DF72E4E"/>
    <w:multiLevelType w:val="hybridMultilevel"/>
    <w:lvl w:ilvl="0">
      <w:lvlJc w:val="left"/>
      <w:lvlText w:val="(%1)"/>
      <w:numFmt w:val="lowerLetter"/>
      <w:start w:val="1"/>
    </w:lvl>
  </w:abstractNum>
  <w:abstractNum w:abstractNumId="115">
    <w:nsid w:val="5046B5A9"/>
    <w:multiLevelType w:val="hybridMultilevel"/>
    <w:lvl w:ilvl="0">
      <w:lvlJc w:val="left"/>
      <w:lvlText w:val="(%1)"/>
      <w:numFmt w:val="lowerLetter"/>
      <w:start w:val="1"/>
    </w:lvl>
  </w:abstractNum>
  <w:abstractNum w:abstractNumId="116">
    <w:nsid w:val="5D888A08"/>
    <w:multiLevelType w:val="hybridMultilevel"/>
    <w:lvl w:ilvl="0">
      <w:lvlJc w:val="left"/>
      <w:lvlText w:val="(%1)"/>
      <w:numFmt w:val="lowerLetter"/>
      <w:start w:val="1"/>
    </w:lvl>
  </w:abstractNum>
  <w:abstractNum w:abstractNumId="117">
    <w:nsid w:val="2A082C70"/>
    <w:multiLevelType w:val="hybridMultilevel"/>
    <w:lvl w:ilvl="0">
      <w:lvlJc w:val="left"/>
      <w:lvlText w:val="(%1)"/>
      <w:numFmt w:val="lowerLetter"/>
      <w:start w:val="1"/>
    </w:lvl>
  </w:abstractNum>
  <w:abstractNum w:abstractNumId="118">
    <w:nsid w:val="5EC6AFD4"/>
    <w:multiLevelType w:val="hybridMultilevel"/>
    <w:lvl w:ilvl="0">
      <w:lvlJc w:val="left"/>
      <w:lvlText w:val="%1."/>
      <w:numFmt w:val="decimal"/>
      <w:start w:val="1"/>
    </w:lvl>
  </w:abstractNum>
  <w:abstractNum w:abstractNumId="119">
    <w:nsid w:val="19E21BB2"/>
    <w:multiLevelType w:val="hybridMultilevel"/>
    <w:lvl w:ilvl="0">
      <w:lvlJc w:val="left"/>
      <w:lvlText w:val="(%1)"/>
      <w:numFmt w:val="lowerLetter"/>
      <w:start w:val="1"/>
    </w:lvl>
  </w:abstractNum>
  <w:abstractNum w:abstractNumId="120">
    <w:nsid w:val="75E0858A"/>
    <w:multiLevelType w:val="hybridMultilevel"/>
    <w:lvl w:ilvl="0">
      <w:lvlJc w:val="left"/>
      <w:lvlText w:val="*"/>
      <w:numFmt w:val="bullet"/>
      <w:start w:val="1"/>
    </w:lvl>
  </w:abstractNum>
  <w:abstractNum w:abstractNumId="121">
    <w:nsid w:val="57A61A29"/>
    <w:multiLevelType w:val="hybridMultilevel"/>
    <w:lvl w:ilvl="0">
      <w:lvlJc w:val="left"/>
      <w:lvlText w:val="**"/>
      <w:numFmt w:val="bullet"/>
      <w:start w:val="1"/>
    </w:lvl>
  </w:abstractNum>
  <w:abstractNum w:abstractNumId="122">
    <w:nsid w:val="5399C654"/>
    <w:multiLevelType w:val="hybridMultilevel"/>
    <w:lvl w:ilvl="0">
      <w:lvlJc w:val="left"/>
      <w:lvlText w:val="***"/>
      <w:numFmt w:val="bullet"/>
      <w:start w:val="1"/>
    </w:lvl>
  </w:abstractNum>
  <w:abstractNum w:abstractNumId="123">
    <w:nsid w:val="20EE1348"/>
    <w:multiLevelType w:val="hybridMultilevel"/>
    <w:lvl w:ilvl="0">
      <w:lvlJc w:val="left"/>
      <w:lvlText w:val="****"/>
      <w:numFmt w:val="bullet"/>
      <w:start w:val="1"/>
    </w:lvl>
  </w:abstractNum>
  <w:abstractNum w:abstractNumId="124">
    <w:nsid w:val="4427069A"/>
    <w:multiLevelType w:val="hybridMultilevel"/>
    <w:lvl w:ilvl="0">
      <w:lvlJc w:val="left"/>
      <w:lvlText w:val="-"/>
      <w:numFmt w:val="bullet"/>
      <w:start w:val="1"/>
    </w:lvl>
  </w:abstractNum>
  <w:abstractNum w:abstractNumId="125">
    <w:nsid w:val="B37E80A"/>
    <w:multiLevelType w:val="hybridMultilevel"/>
    <w:lvl w:ilvl="0">
      <w:lvlJc w:val="left"/>
      <w:lvlText w:val="-"/>
      <w:numFmt w:val="bullet"/>
      <w:start w:val="1"/>
    </w:lvl>
  </w:abstractNum>
  <w:abstractNum w:abstractNumId="126">
    <w:nsid w:val="2157F6BC"/>
    <w:multiLevelType w:val="hybridMultilevel"/>
    <w:lvl w:ilvl="0">
      <w:lvlJc w:val="left"/>
      <w:lvlText w:val="(%1)"/>
      <w:numFmt w:val="lowerLetter"/>
      <w:start w:val="1"/>
    </w:lvl>
  </w:abstractNum>
  <w:abstractNum w:abstractNumId="127">
    <w:nsid w:val="704E1DD5"/>
    <w:multiLevelType w:val="hybridMultilevel"/>
    <w:lvl w:ilvl="0">
      <w:lvlJc w:val="left"/>
      <w:lvlText w:val="%1."/>
      <w:numFmt w:val="decimal"/>
      <w:start w:val="1"/>
    </w:lvl>
  </w:abstractNum>
  <w:abstractNum w:abstractNumId="128">
    <w:nsid w:val="57D2F10E"/>
    <w:multiLevelType w:val="hybridMultilevel"/>
    <w:lvl w:ilvl="0">
      <w:lvlJc w:val="left"/>
      <w:lvlText w:val="●"/>
      <w:numFmt w:val="bullet"/>
      <w:start w:val="1"/>
    </w:lvl>
    <w:lvl w:ilvl="1">
      <w:lvlJc w:val="left"/>
      <w:lvlText w:val="●"/>
      <w:numFmt w:val="bullet"/>
      <w:start w:val="1"/>
    </w:lvl>
  </w:abstractNum>
  <w:abstractNum w:abstractNumId="129">
    <w:nsid w:val="BFFAE18"/>
    <w:multiLevelType w:val="hybridMultilevel"/>
    <w:lvl w:ilvl="0">
      <w:lvlJc w:val="left"/>
      <w:lvlText w:val="*"/>
      <w:numFmt w:val="bullet"/>
      <w:start w:val="1"/>
    </w:lvl>
    <w:lvl w:ilvl="1">
      <w:lvlJc w:val="left"/>
      <w:lvlText w:val="●"/>
      <w:numFmt w:val="bullet"/>
      <w:start w:val="1"/>
    </w:lvl>
  </w:abstractNum>
  <w:abstractNum w:abstractNumId="130">
    <w:nsid w:val="E3E47A8"/>
    <w:multiLevelType w:val="hybridMultilevel"/>
    <w:lvl w:ilvl="0">
      <w:lvlJc w:val="left"/>
      <w:lvlText w:val="●"/>
      <w:numFmt w:val="bullet"/>
      <w:start w:val="1"/>
    </w:lvl>
  </w:abstractNum>
  <w:abstractNum w:abstractNumId="131">
    <w:nsid w:val="2E48F044"/>
    <w:multiLevelType w:val="hybridMultilevel"/>
    <w:lvl w:ilvl="0">
      <w:lvlJc w:val="left"/>
      <w:lvlText w:val="%1."/>
      <w:numFmt w:val="decimal"/>
      <w:start w:val="1"/>
    </w:lvl>
  </w:abstractNum>
  <w:abstractNum w:abstractNumId="132">
    <w:nsid w:val="49D0FEAC"/>
    <w:multiLevelType w:val="hybridMultilevel"/>
    <w:lvl w:ilvl="0">
      <w:lvlJc w:val="left"/>
      <w:lvlText w:val="*"/>
      <w:numFmt w:val="bullet"/>
      <w:start w:val="1"/>
    </w:lvl>
  </w:abstractNum>
  <w:abstractNum w:abstractNumId="133">
    <w:nsid w:val="4BEE5A5B"/>
    <w:multiLevelType w:val="hybridMultilevel"/>
    <w:lvl w:ilvl="0">
      <w:lvlJc w:val="left"/>
      <w:lvlText w:val="(%1)"/>
      <w:numFmt w:val="decimal"/>
      <w:start w:val="1"/>
    </w:lvl>
  </w:abstractNum>
  <w:abstractNum w:abstractNumId="134">
    <w:nsid w:val="5551B9F3"/>
    <w:multiLevelType w:val="hybridMultilevel"/>
    <w:lvl w:ilvl="0">
      <w:lvlJc w:val="left"/>
      <w:lvlText w:val="(%1)"/>
      <w:numFmt w:val="lowerRoman"/>
      <w:start w:val="2"/>
    </w:lvl>
  </w:abstractNum>
  <w:abstractNum w:abstractNumId="135">
    <w:nsid w:val="24F6AB8E"/>
    <w:multiLevelType w:val="hybridMultilevel"/>
    <w:lvl w:ilvl="0">
      <w:lvlJc w:val="left"/>
      <w:lvlText w:val="(%1)"/>
      <w:numFmt w:val="decimal"/>
      <w:start w:val="2"/>
    </w:lvl>
  </w:abstractNum>
  <w:abstractNum w:abstractNumId="136">
    <w:nsid w:val="634C574C"/>
    <w:multiLevelType w:val="hybridMultilevel"/>
    <w:lvl w:ilvl="0">
      <w:lvlJc w:val="left"/>
      <w:lvlText w:val="(%1)"/>
      <w:numFmt w:val="decimal"/>
      <w:start w:val="4"/>
    </w:lvl>
  </w:abstractNum>
  <w:abstractNum w:abstractNumId="137">
    <w:nsid w:val="24E99DD7"/>
    <w:multiLevelType w:val="hybridMultilevel"/>
    <w:lvl w:ilvl="0">
      <w:lvlJc w:val="left"/>
      <w:lvlText w:val="(%1)"/>
      <w:numFmt w:val="lowerRoman"/>
      <w:start w:val="1"/>
    </w:lvl>
  </w:abstractNum>
  <w:abstractNum w:abstractNumId="138">
    <w:nsid w:val="2A31B62D"/>
    <w:multiLevelType w:val="hybridMultilevel"/>
    <w:lvl w:ilvl="0">
      <w:lvlJc w:val="left"/>
      <w:lvlText w:val="(%1)"/>
      <w:numFmt w:val="lowerLetter"/>
      <w:start w:val="2"/>
    </w:lvl>
  </w:abstractNum>
  <w:abstractNum w:abstractNumId="139">
    <w:nsid w:val="1849C29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57" Type="http://schemas.openxmlformats.org/officeDocument/2006/relationships/image" Target="media/image209.png"/><Relationship Id="rId258" Type="http://schemas.openxmlformats.org/officeDocument/2006/relationships/image" Target="media/image210.png"/><Relationship Id="rId259" Type="http://schemas.openxmlformats.org/officeDocument/2006/relationships/image" Target="media/image211.png"/><Relationship Id="rId260" Type="http://schemas.openxmlformats.org/officeDocument/2006/relationships/image" Target="media/image212.png"/><Relationship Id="rId261" Type="http://schemas.openxmlformats.org/officeDocument/2006/relationships/image" Target="media/image213.png"/><Relationship Id="rId262" Type="http://schemas.openxmlformats.org/officeDocument/2006/relationships/image" Target="media/image214.png"/><Relationship Id="rId263" Type="http://schemas.openxmlformats.org/officeDocument/2006/relationships/image" Target="media/image215.png"/><Relationship Id="rId264" Type="http://schemas.openxmlformats.org/officeDocument/2006/relationships/image" Target="media/image216.png"/><Relationship Id="rId265" Type="http://schemas.openxmlformats.org/officeDocument/2006/relationships/image" Target="media/image217.png"/><Relationship Id="rId266" Type="http://schemas.openxmlformats.org/officeDocument/2006/relationships/image" Target="media/image218.png"/><Relationship Id="rId267" Type="http://schemas.openxmlformats.org/officeDocument/2006/relationships/image" Target="media/image219.png"/><Relationship Id="rId268" Type="http://schemas.openxmlformats.org/officeDocument/2006/relationships/image" Target="media/image220.png"/><Relationship Id="rId269" Type="http://schemas.openxmlformats.org/officeDocument/2006/relationships/image" Target="media/image221.png"/><Relationship Id="rId270" Type="http://schemas.openxmlformats.org/officeDocument/2006/relationships/image" Target="media/image222.png"/><Relationship Id="rId271" Type="http://schemas.openxmlformats.org/officeDocument/2006/relationships/image" Target="media/image223.png"/><Relationship Id="rId272" Type="http://schemas.openxmlformats.org/officeDocument/2006/relationships/image" Target="media/image224.png"/><Relationship Id="rId273" Type="http://schemas.openxmlformats.org/officeDocument/2006/relationships/image" Target="media/image225.png"/><Relationship Id="rId274" Type="http://schemas.openxmlformats.org/officeDocument/2006/relationships/image" Target="media/image226.png"/><Relationship Id="rId275" Type="http://schemas.openxmlformats.org/officeDocument/2006/relationships/image" Target="media/image227.png"/><Relationship Id="rId276" Type="http://schemas.openxmlformats.org/officeDocument/2006/relationships/image" Target="media/image228.png"/><Relationship Id="rId277" Type="http://schemas.openxmlformats.org/officeDocument/2006/relationships/image" Target="media/image229.png"/><Relationship Id="rId278" Type="http://schemas.openxmlformats.org/officeDocument/2006/relationships/image" Target="media/image230.png"/><Relationship Id="rId279" Type="http://schemas.openxmlformats.org/officeDocument/2006/relationships/image" Target="media/image231.png"/><Relationship Id="rId280" Type="http://schemas.openxmlformats.org/officeDocument/2006/relationships/image" Target="media/image232.png"/><Relationship Id="rId281" Type="http://schemas.openxmlformats.org/officeDocument/2006/relationships/image" Target="media/image233.png"/><Relationship Id="rId282" Type="http://schemas.openxmlformats.org/officeDocument/2006/relationships/image" Target="media/image234.png"/><Relationship Id="rId283" Type="http://schemas.openxmlformats.org/officeDocument/2006/relationships/image" Target="media/image235.png"/><Relationship Id="rId284" Type="http://schemas.openxmlformats.org/officeDocument/2006/relationships/image" Target="media/image236.png"/><Relationship Id="rId285" Type="http://schemas.openxmlformats.org/officeDocument/2006/relationships/image" Target="media/image237.png"/><Relationship Id="rId286" Type="http://schemas.openxmlformats.org/officeDocument/2006/relationships/image" Target="media/image238.png"/><Relationship Id="rId287" Type="http://schemas.openxmlformats.org/officeDocument/2006/relationships/image" Target="media/image239.png"/><Relationship Id="rId288" Type="http://schemas.openxmlformats.org/officeDocument/2006/relationships/image" Target="media/image240.png"/><Relationship Id="rId289" Type="http://schemas.openxmlformats.org/officeDocument/2006/relationships/image" Target="media/image241.png"/><Relationship Id="rId290" Type="http://schemas.openxmlformats.org/officeDocument/2006/relationships/image" Target="media/image242.png"/><Relationship Id="rId291" Type="http://schemas.openxmlformats.org/officeDocument/2006/relationships/image" Target="media/image243.png"/><Relationship Id="rId292" Type="http://schemas.openxmlformats.org/officeDocument/2006/relationships/image" Target="media/image244.png"/><Relationship Id="rId293" Type="http://schemas.openxmlformats.org/officeDocument/2006/relationships/image" Target="media/image245.png"/><Relationship Id="rId294" Type="http://schemas.openxmlformats.org/officeDocument/2006/relationships/image" Target="media/image246.png"/><Relationship Id="rId295" Type="http://schemas.openxmlformats.org/officeDocument/2006/relationships/image" Target="media/image247.png"/><Relationship Id="rId296" Type="http://schemas.openxmlformats.org/officeDocument/2006/relationships/image" Target="media/image248.png"/><Relationship Id="rId297" Type="http://schemas.openxmlformats.org/officeDocument/2006/relationships/image" Target="media/image249.png"/><Relationship Id="rId298" Type="http://schemas.openxmlformats.org/officeDocument/2006/relationships/image" Target="media/image250.png"/><Relationship Id="rId299" Type="http://schemas.openxmlformats.org/officeDocument/2006/relationships/image" Target="media/image251.png"/><Relationship Id="rId300" Type="http://schemas.openxmlformats.org/officeDocument/2006/relationships/image" Target="media/image252.png"/><Relationship Id="rId301" Type="http://schemas.openxmlformats.org/officeDocument/2006/relationships/image" Target="media/image253.png"/><Relationship Id="rId302" Type="http://schemas.openxmlformats.org/officeDocument/2006/relationships/image" Target="media/image254.png"/><Relationship Id="rId303" Type="http://schemas.openxmlformats.org/officeDocument/2006/relationships/image" Target="media/image255.png"/><Relationship Id="rId304" Type="http://schemas.openxmlformats.org/officeDocument/2006/relationships/image" Target="media/image256.png"/><Relationship Id="rId305" Type="http://schemas.openxmlformats.org/officeDocument/2006/relationships/image" Target="media/image257.png"/><Relationship Id="rId306" Type="http://schemas.openxmlformats.org/officeDocument/2006/relationships/image" Target="media/image258.png"/><Relationship Id="rId307" Type="http://schemas.openxmlformats.org/officeDocument/2006/relationships/image" Target="media/image259.png"/><Relationship Id="rId308" Type="http://schemas.openxmlformats.org/officeDocument/2006/relationships/image" Target="media/image260.png"/><Relationship Id="rId309" Type="http://schemas.openxmlformats.org/officeDocument/2006/relationships/image" Target="media/image261.png"/><Relationship Id="rId310" Type="http://schemas.openxmlformats.org/officeDocument/2006/relationships/image" Target="media/image262.png"/><Relationship Id="rId311" Type="http://schemas.openxmlformats.org/officeDocument/2006/relationships/image" Target="media/image263.png"/><Relationship Id="rId312" Type="http://schemas.openxmlformats.org/officeDocument/2006/relationships/image" Target="media/image264.png"/><Relationship Id="rId313" Type="http://schemas.openxmlformats.org/officeDocument/2006/relationships/image" Target="media/image265.png"/><Relationship Id="rId314" Type="http://schemas.openxmlformats.org/officeDocument/2006/relationships/image" Target="media/image266.png"/><Relationship Id="rId315" Type="http://schemas.openxmlformats.org/officeDocument/2006/relationships/image" Target="media/image267.png"/><Relationship Id="rId316" Type="http://schemas.openxmlformats.org/officeDocument/2006/relationships/image" Target="media/image268.png"/><Relationship Id="rId317" Type="http://schemas.openxmlformats.org/officeDocument/2006/relationships/image" Target="media/image269.png"/><Relationship Id="rId318" Type="http://schemas.openxmlformats.org/officeDocument/2006/relationships/image" Target="media/image270.png"/><Relationship Id="rId319" Type="http://schemas.openxmlformats.org/officeDocument/2006/relationships/image" Target="media/image271.png"/><Relationship Id="rId320" Type="http://schemas.openxmlformats.org/officeDocument/2006/relationships/image" Target="media/image272.png"/><Relationship Id="rId321" Type="http://schemas.openxmlformats.org/officeDocument/2006/relationships/image" Target="media/image273.png"/><Relationship Id="rId322" Type="http://schemas.openxmlformats.org/officeDocument/2006/relationships/image" Target="media/image274.png"/><Relationship Id="rId323" Type="http://schemas.openxmlformats.org/officeDocument/2006/relationships/image" Target="media/image275.png"/><Relationship Id="rId324" Type="http://schemas.openxmlformats.org/officeDocument/2006/relationships/image" Target="media/image276.png"/><Relationship Id="rId325" Type="http://schemas.openxmlformats.org/officeDocument/2006/relationships/image" Target="media/image277.png"/><Relationship Id="rId326" Type="http://schemas.openxmlformats.org/officeDocument/2006/relationships/image" Target="media/image278.png"/><Relationship Id="rId327" Type="http://schemas.openxmlformats.org/officeDocument/2006/relationships/image" Target="media/image279.png"/><Relationship Id="rId328" Type="http://schemas.openxmlformats.org/officeDocument/2006/relationships/image" Target="media/image280.png"/><Relationship Id="rId329" Type="http://schemas.openxmlformats.org/officeDocument/2006/relationships/image" Target="media/image281.png"/><Relationship Id="rId330" Type="http://schemas.openxmlformats.org/officeDocument/2006/relationships/image" Target="media/image282.png"/><Relationship Id="rId331" Type="http://schemas.openxmlformats.org/officeDocument/2006/relationships/image" Target="media/image283.png"/><Relationship Id="rId332" Type="http://schemas.openxmlformats.org/officeDocument/2006/relationships/image" Target="media/image284.png"/><Relationship Id="rId333" Type="http://schemas.openxmlformats.org/officeDocument/2006/relationships/image" Target="media/image285.png"/><Relationship Id="rId334" Type="http://schemas.openxmlformats.org/officeDocument/2006/relationships/image" Target="media/image286.png"/><Relationship Id="rId335" Type="http://schemas.openxmlformats.org/officeDocument/2006/relationships/image" Target="media/image287.png"/><Relationship Id="rId336" Type="http://schemas.openxmlformats.org/officeDocument/2006/relationships/image" Target="media/image288.png"/><Relationship Id="rId337" Type="http://schemas.openxmlformats.org/officeDocument/2006/relationships/image" Target="media/image289.png"/><Relationship Id="rId338" Type="http://schemas.openxmlformats.org/officeDocument/2006/relationships/image" Target="media/image290.png"/><Relationship Id="rId339" Type="http://schemas.openxmlformats.org/officeDocument/2006/relationships/image" Target="media/image291.png"/><Relationship Id="rId340" Type="http://schemas.openxmlformats.org/officeDocument/2006/relationships/image" Target="media/image292.png"/><Relationship Id="rId341" Type="http://schemas.openxmlformats.org/officeDocument/2006/relationships/image" Target="media/image293.png"/><Relationship Id="rId342" Type="http://schemas.openxmlformats.org/officeDocument/2006/relationships/image" Target="media/image294.png"/><Relationship Id="rId343" Type="http://schemas.openxmlformats.org/officeDocument/2006/relationships/image" Target="media/image295.png"/><Relationship Id="rId344" Type="http://schemas.openxmlformats.org/officeDocument/2006/relationships/image" Target="media/image296.png"/><Relationship Id="rId345" Type="http://schemas.openxmlformats.org/officeDocument/2006/relationships/image" Target="media/image297.png"/><Relationship Id="rId346" Type="http://schemas.openxmlformats.org/officeDocument/2006/relationships/image" Target="media/image298.png"/><Relationship Id="rId347" Type="http://schemas.openxmlformats.org/officeDocument/2006/relationships/image" Target="media/image299.png"/><Relationship Id="rId348" Type="http://schemas.openxmlformats.org/officeDocument/2006/relationships/image" Target="media/image300.png"/><Relationship Id="rId349" Type="http://schemas.openxmlformats.org/officeDocument/2006/relationships/image" Target="media/image301.png"/><Relationship Id="rId350" Type="http://schemas.openxmlformats.org/officeDocument/2006/relationships/image" Target="media/image302.png"/><Relationship Id="rId351" Type="http://schemas.openxmlformats.org/officeDocument/2006/relationships/image" Target="media/image303.png"/><Relationship Id="rId352" Type="http://schemas.openxmlformats.org/officeDocument/2006/relationships/image" Target="media/image304.png"/><Relationship Id="rId353" Type="http://schemas.openxmlformats.org/officeDocument/2006/relationships/image" Target="media/image305.png"/><Relationship Id="rId354" Type="http://schemas.openxmlformats.org/officeDocument/2006/relationships/image" Target="media/image306.png"/><Relationship Id="rId355" Type="http://schemas.openxmlformats.org/officeDocument/2006/relationships/image" Target="media/image307.png"/><Relationship Id="rId356" Type="http://schemas.openxmlformats.org/officeDocument/2006/relationships/image" Target="media/image308.png"/><Relationship Id="rId357" Type="http://schemas.openxmlformats.org/officeDocument/2006/relationships/image" Target="media/image309.png"/><Relationship Id="rId358" Type="http://schemas.openxmlformats.org/officeDocument/2006/relationships/image" Target="media/image310.png"/><Relationship Id="rId359" Type="http://schemas.openxmlformats.org/officeDocument/2006/relationships/image" Target="media/image311.png"/><Relationship Id="rId360" Type="http://schemas.openxmlformats.org/officeDocument/2006/relationships/image" Target="media/image312.png"/><Relationship Id="rId361" Type="http://schemas.openxmlformats.org/officeDocument/2006/relationships/image" Target="media/image313.png"/><Relationship Id="rId362" Type="http://schemas.openxmlformats.org/officeDocument/2006/relationships/image" Target="media/image314.png"/><Relationship Id="rId363" Type="http://schemas.openxmlformats.org/officeDocument/2006/relationships/image" Target="media/image315.png"/><Relationship Id="rId364" Type="http://schemas.openxmlformats.org/officeDocument/2006/relationships/image" Target="media/image316.png"/><Relationship Id="rId365" Type="http://schemas.openxmlformats.org/officeDocument/2006/relationships/image" Target="media/image317.png"/><Relationship Id="rId366" Type="http://schemas.openxmlformats.org/officeDocument/2006/relationships/image" Target="media/image318.png"/><Relationship Id="rId367" Type="http://schemas.openxmlformats.org/officeDocument/2006/relationships/image" Target="media/image319.png"/><Relationship Id="rId368" Type="http://schemas.openxmlformats.org/officeDocument/2006/relationships/image" Target="media/image320.png"/><Relationship Id="rId369" Type="http://schemas.openxmlformats.org/officeDocument/2006/relationships/image" Target="media/image321.png"/><Relationship Id="rId216" Type="http://schemas.openxmlformats.org/officeDocument/2006/relationships/hyperlink" Target="https://www.sec.gov/Archives/edgar/data/2010499/000164117225021080/ex1-1.htm" TargetMode="External"/><Relationship Id="rId217" Type="http://schemas.openxmlformats.org/officeDocument/2006/relationships/hyperlink" Target="https://www.sec.gov/Archives/edgar/data/2010499/000164117225021080/ex2-1.htm" TargetMode="External"/><Relationship Id="rId218" Type="http://schemas.openxmlformats.org/officeDocument/2006/relationships/hyperlink" Target="https://www.sec.gov/Archives/edgar/data/2010499/000164117225021080/ex3-1.htm" TargetMode="External"/><Relationship Id="rId219" Type="http://schemas.openxmlformats.org/officeDocument/2006/relationships/hyperlink" Target="https://www.sec.gov/Archives/edgar/data/2010499/000164117225021080/ex4-1.htm" TargetMode="External"/><Relationship Id="rId220" Type="http://schemas.openxmlformats.org/officeDocument/2006/relationships/hyperlink" Target="https://www.sec.gov/Archives/edgar/data/2010499/000164117225021080/ex4-2.htm" TargetMode="External"/><Relationship Id="rId221" Type="http://schemas.openxmlformats.org/officeDocument/2006/relationships/hyperlink" Target="https://www.sec.gov/Archives/edgar/data/2010499/000164117225021080/ex4-3.htm" TargetMode="External"/><Relationship Id="rId222" Type="http://schemas.openxmlformats.org/officeDocument/2006/relationships/hyperlink" Target="https://www.sec.gov/Archives/edgar/data/2010499/000164117225021080/ex4-4.htm" TargetMode="External"/><Relationship Id="rId223" Type="http://schemas.openxmlformats.org/officeDocument/2006/relationships/hyperlink" Target="https://www.sec.gov/Archives/edgar/data/2010499/000164117225021080/ex4-5.htm" TargetMode="External"/><Relationship Id="rId224" Type="http://schemas.openxmlformats.org/officeDocument/2006/relationships/hyperlink" Target="https://www.sec.gov/Archives/edgar/data/2010499/000164117225021080/ex4-6.htm" TargetMode="External"/><Relationship Id="rId225" Type="http://schemas.openxmlformats.org/officeDocument/2006/relationships/hyperlink" Target="https://www.sec.gov/Archives/edgar/data/2010499/000164117225021080/ex4-7.htm" TargetMode="External"/><Relationship Id="rId226" Type="http://schemas.openxmlformats.org/officeDocument/2006/relationships/hyperlink" Target="https://www.sec.gov/Archives/edgar/data/2010499/000164117225021080/ex4-8.htm" TargetMode="External"/><Relationship Id="rId227" Type="http://schemas.openxmlformats.org/officeDocument/2006/relationships/hyperlink" Target="https://www.sec.gov/Archives/edgar/data/2010499/000164117225021080/ex4-9.htm" TargetMode="External"/><Relationship Id="rId228" Type="http://schemas.openxmlformats.org/officeDocument/2006/relationships/hyperlink" Target="https://www.sec.gov/Archives/edgar/data/2010499/000164117225021080/ex5-1.htm" TargetMode="External"/><Relationship Id="rId229" Type="http://schemas.openxmlformats.org/officeDocument/2006/relationships/hyperlink" Target="https://www.sec.gov/Archives/edgar/data/2010499/000164117225021080/ex10-1.htm" TargetMode="External"/><Relationship Id="rId230" Type="http://schemas.openxmlformats.org/officeDocument/2006/relationships/hyperlink" Target="https://www.sec.gov/Archives/edgar/data/2010499/000164117225021080/ex10-2.htm" TargetMode="External"/><Relationship Id="rId231" Type="http://schemas.openxmlformats.org/officeDocument/2006/relationships/hyperlink" Target="https://www.sec.gov/Archives/edgar/data/2010499/000164117225021080/ex10-3.htm" TargetMode="External"/><Relationship Id="rId232" Type="http://schemas.openxmlformats.org/officeDocument/2006/relationships/hyperlink" Target="https://www.sec.gov/Archives/edgar/data/2010499/000164117225021080/ex10-4.htm" TargetMode="External"/><Relationship Id="rId233" Type="http://schemas.openxmlformats.org/officeDocument/2006/relationships/hyperlink" Target="https://www.sec.gov/Archives/edgar/data/2010499/000164117225021080/ex10-5.htm" TargetMode="External"/><Relationship Id="rId234" Type="http://schemas.openxmlformats.org/officeDocument/2006/relationships/hyperlink" Target="https://www.sec.gov/Archives/edgar/data/2010499/000164117225021080/ex10-6.htm" TargetMode="External"/><Relationship Id="rId235" Type="http://schemas.openxmlformats.org/officeDocument/2006/relationships/hyperlink" Target="https://www.sec.gov/Archives/edgar/data/2010499/000164117225021080/ex10-7.htm" TargetMode="External"/><Relationship Id="rId236" Type="http://schemas.openxmlformats.org/officeDocument/2006/relationships/hyperlink" Target="https://www.sec.gov/Archives/edgar/data/2010499/000164117225021080/ex10-8.htm" TargetMode="External"/><Relationship Id="rId237" Type="http://schemas.openxmlformats.org/officeDocument/2006/relationships/hyperlink" Target="https://www.sec.gov/Archives/edgar/data/2010499/000164117225021080/ex10-9.htm" TargetMode="External"/><Relationship Id="rId238" Type="http://schemas.openxmlformats.org/officeDocument/2006/relationships/hyperlink" Target="https://www.sec.gov/Archives/edgar/data/2010499/000164117225021080/ex10-10.htm" TargetMode="External"/><Relationship Id="rId239" Type="http://schemas.openxmlformats.org/officeDocument/2006/relationships/hyperlink" Target="https://www.sec.gov/Archives/edgar/data/2010499/000164117225021080/ex10-11.htm" TargetMode="External"/><Relationship Id="rId240" Type="http://schemas.openxmlformats.org/officeDocument/2006/relationships/hyperlink" Target="https://www.sec.gov/Archives/edgar/data/2010499/000164117225021080/ex10-12.htm" TargetMode="External"/><Relationship Id="rId241" Type="http://schemas.openxmlformats.org/officeDocument/2006/relationships/hyperlink" Target="https://www.sec.gov/Archives/edgar/data/2010499/000164117225021080/ex10-13.htm" TargetMode="External"/><Relationship Id="rId242" Type="http://schemas.openxmlformats.org/officeDocument/2006/relationships/hyperlink" Target="https://www.sec.gov/Archives/edgar/data/2010499/000164117225021080/ex10-14.htm" TargetMode="External"/><Relationship Id="rId243" Type="http://schemas.openxmlformats.org/officeDocument/2006/relationships/hyperlink" Target="https://www.sec.gov/Archives/edgar/data/2010499/000164117225021080/ex10-15.htm" TargetMode="External"/><Relationship Id="rId244" Type="http://schemas.openxmlformats.org/officeDocument/2006/relationships/hyperlink" Target="https://www.sec.gov/Archives/edgar/data/2010499/000164117225021080/ex10-16.htm" TargetMode="External"/><Relationship Id="rId245" Type="http://schemas.openxmlformats.org/officeDocument/2006/relationships/hyperlink" Target="https://www.sec.gov/Archives/edgar/data/2010499/000164117225021080/ex10-17.htm" TargetMode="External"/><Relationship Id="rId246" Type="http://schemas.openxmlformats.org/officeDocument/2006/relationships/hyperlink" Target="https://www.sec.gov/Archives/edgar/data/2010499/000164117225021080/ex10-18.htm" TargetMode="External"/><Relationship Id="rId247" Type="http://schemas.openxmlformats.org/officeDocument/2006/relationships/hyperlink" Target="https://www.sec.gov/Archives/edgar/data/2010499/000164117225021080/ex10-21.htm" TargetMode="External"/><Relationship Id="rId248" Type="http://schemas.openxmlformats.org/officeDocument/2006/relationships/hyperlink" Target="https://www.sec.gov/Archives/edgar/data/2010499/000164117225021080/ex10-22.htm" TargetMode="External"/><Relationship Id="rId249" Type="http://schemas.openxmlformats.org/officeDocument/2006/relationships/hyperlink" Target="https://www.sec.gov/Archives/edgar/data/2010499/000164117225021080/ex10-23.htm" TargetMode="External"/><Relationship Id="rId250" Type="http://schemas.openxmlformats.org/officeDocument/2006/relationships/hyperlink" Target="https://www.sec.gov/Archives/edgar/data/2010499/000164117225021080/ex10-24.htm" TargetMode="External"/><Relationship Id="rId251" Type="http://schemas.openxmlformats.org/officeDocument/2006/relationships/hyperlink" Target="https://www.sec.gov/Archives/edgar/data/2010499/000164117225021080/ex10-25.htm" TargetMode="External"/><Relationship Id="rId252" Type="http://schemas.openxmlformats.org/officeDocument/2006/relationships/hyperlink" Target="https://www.sec.gov/Archives/edgar/data/2010499/000164117225021080/ex10-26.htm" TargetMode="External"/><Relationship Id="rId253" Type="http://schemas.openxmlformats.org/officeDocument/2006/relationships/hyperlink" Target="https://www.sec.gov/Archives/edgar/data/2010499/000164117225021080/ex21.htm" TargetMode="External"/><Relationship Id="rId254" Type="http://schemas.openxmlformats.org/officeDocument/2006/relationships/hyperlink" Target="https://www.sec.gov/Archives/edgar/data/2010499/000164117225021080/ex99-1.htm" TargetMode="External"/><Relationship Id="rId255" Type="http://schemas.openxmlformats.org/officeDocument/2006/relationships/hyperlink" Target="https://www.sec.gov/Archives/edgar/data/2010499/000164117225021080/ex99-2.htm" TargetMode="External"/><Relationship Id="rId256" Type="http://schemas.openxmlformats.org/officeDocument/2006/relationships/hyperlink" Target="https://www.sec.gov/Archives/edgar/data/2010499/000164117225021080/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2025-09-05T05:27:42Z</dcterms:created>
  <dcterms:modified xsi:type="dcterms:W3CDTF">2025-09-05T05:27:42Z</dcterms:modified>
</cp:coreProperties>
</file>