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Friedman Jacob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DIGINEX LIMITED</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WILTON ROAD, VICTORIA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SW1V 1LW</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Diginex Ltd</w:t>
              </w:r>
            </w:hyperlink>
            <w:r>
              <w:rPr/>
              <w:t xml:space="preserve"> [ </w:t>
            </w:r>
            <w:r>
              <w:rPr>
                <w:rFonts w:ascii="Times;serif" w:hAnsi="Times;serif"/>
                <w:color w:val="0000FF"/>
                <w:sz w:val="24"/>
                <w:shd w:fill="FFFFFF" w:val="clear"/>
              </w:rPr>
              <w:t>DGNX</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Officer1</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3 is being filed late. The reporting person was appointed Chief Operating Officer of Diginex Limited on April 24, 2026, and was required to file this Form 3 within 10 days of that date. The reporting person subsequently resigned as Chief Operating Officer of Diginex Limited effective August 14, 2026, and is no longer an officer or otherwise subject to Section 16 reporting obligations with respect to Diginex Limited. The beneficial ownership information reported herein is as of April 24, 2026, the date of the event requiring the filing of this statement.</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S. Friedman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7696" TargetMode="External"/><Relationship Id="rId3" Type="http://schemas.openxmlformats.org/officeDocument/2006/relationships/hyperlink" Target="http://www.sec.gov/cgi-bin/browse-edgar?action=getcompany&amp;CIK=000201049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491</Words>
  <Characters>2688</Characters>
  <CharactersWithSpaces>3132</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