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Diginex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$0.00005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HBM IV,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7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17,799,044.00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17,799,044.00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17,799,044.00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620"/>
          </w:cols>
          <w:pgMar w:left="320" w:top="111" w:right="79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calculated on the basis of there being 232,557,527 Ordinary Shares of the Issuer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disclosed in the Issuer's Form 6-K filed March 30,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Hearst Communications,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17,799,044.00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17,799,044.00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17,799,044.00</w:t>
      </w:r>
    </w:p>
    <w:p>
      <w:pPr>
        <w:sectPr>
          <w:pgSz w:w="11900" w:h="16838" w:orient="portrait"/>
          <w:cols w:equalWidth="0" w:num="1">
            <w:col w:w="10780"/>
          </w:cols>
          <w:pgMar w:left="320" w:top="111" w:right="79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7.65 %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calculated on the basis of there being 232,557,527 Ordinary Shares of the Issuer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disclosed in the Issuer's Form 6-K filed March 30,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Hearst Holdings,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780"/>
          </w:cols>
          <w:pgMar w:left="320" w:top="111" w:right="79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17,799,044.00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17,799,044.00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17,799,044.00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620"/>
          </w:cols>
          <w:pgMar w:left="320" w:top="111" w:right="79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calculated on the basis of there being 232,557,527 Ordinary Shares of the Issuer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disclosed in the Issuer's Form 6-K filed March 30, 2026</w:t>
      </w:r>
    </w:p>
    <w:p>
      <w:pPr>
        <w:sectPr>
          <w:pgSz w:w="11900" w:h="16838" w:orient="portrait"/>
          <w:cols w:equalWidth="0" w:num="1">
            <w:col w:w="10780"/>
          </w:cols>
          <w:pgMar w:left="320" w:top="111" w:right="7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780"/>
          </w:cols>
          <w:pgMar w:left="320" w:top="111" w:right="799" w:bottom="0" w:gutter="0" w:footer="0" w:header="0"/>
          <w:type w:val="continuous"/>
        </w:sectPr>
      </w:pPr>
    </w:p>
    <w:bookmarkStart w:id="3" w:name="page4"/>
    <w:bookmarkEnd w:id="3"/>
    <w:p>
      <w:pPr>
        <w:spacing w:after="0" w:line="1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 Hearst Corporation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39" w:orient="portrait"/>
          <w:cols w:equalWidth="0" w:num="1">
            <w:col w:w="10780"/>
          </w:cols>
          <w:pgMar w:left="320" w:top="189" w:right="79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17,799,044.00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17,799,044.00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17,799,044.00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39" w:orient="portrait"/>
          <w:cols w:equalWidth="0" w:num="2">
            <w:col w:w="1100" w:space="60"/>
            <w:col w:w="9620"/>
          </w:cols>
          <w:pgMar w:left="320" w:top="189" w:right="79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calculated on the basis of there being 232,557,527 Ordinary Shares of the Issuer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disclosed in the Issuer's Form 6-K filed March 30,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 Hearst Family Trust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CALIFORNIA</w:t>
      </w:r>
    </w:p>
    <w:p>
      <w:pPr>
        <w:spacing w:after="0" w:line="20"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5 Sole Voting Power</w:t>
      </w:r>
    </w:p>
    <w:p>
      <w:pPr>
        <w:sectPr>
          <w:pgSz w:w="11900" w:h="16939" w:orient="portrait"/>
          <w:cols w:equalWidth="0" w:num="1">
            <w:col w:w="10780"/>
          </w:cols>
          <w:pgMar w:left="320" w:top="189" w:right="799" w:bottom="0" w:gutter="0" w:footer="0" w:header="0"/>
          <w:type w:val="continuous"/>
        </w:sectPr>
      </w:pPr>
    </w:p>
    <w:bookmarkStart w:id="4" w:name="page5"/>
    <w:bookmarkEnd w:id="4"/>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17,799,044.00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17,799,044.00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17,799,044.00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60" w:orient="portrait"/>
          <w:cols w:equalWidth="0" w:num="2">
            <w:col w:w="1100" w:space="60"/>
            <w:col w:w="9900"/>
          </w:cols>
          <w:pgMar w:left="320" w:top="112" w:right="519" w:bottom="0" w:gutter="0" w:footer="0" w:header="0"/>
        </w:sectPr>
      </w:pPr>
    </w:p>
    <w:p>
      <w:pPr>
        <w:spacing w:after="0" w:line="70"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calculated on the basis of there being 232,557,527 Ordinary Shares of the Issuer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disclosed in the Issuer's Form 6-K filed March 30,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Diginex Limited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25 Wilton Road, Victoria, London, Greater London, SW1V 1LW, United Kingdom</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hanging="912"/>
        <w:spacing w:after="0" w:line="193" w:lineRule="auto"/>
        <w:tabs>
          <w:tab w:leader="none" w:pos="96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This Statement is filed on behalf of each of the following persons: 1. HBM IV, Inc., a Delaware corporation ("HBM IV"); 2. Hearst Communications, Inc., a Delaware corporation ("HCI"); 3. Hearst Holdings, Inc., a Delaware corporation ("HHI"); 4. The Hearst Corporation, a Delaware corporation ("THC"); and 5. The Hearst Family Trust, a testamentary trust (the "Trust").</w:t>
      </w:r>
    </w:p>
    <w:p>
      <w:pPr>
        <w:sectPr>
          <w:pgSz w:w="11900" w:h="16860" w:orient="portrait"/>
          <w:cols w:equalWidth="0" w:num="1">
            <w:col w:w="11060"/>
          </w:cols>
          <w:pgMar w:left="320" w:top="112" w:right="519" w:bottom="0" w:gutter="0" w:footer="0" w:header="0"/>
          <w:type w:val="continuous"/>
        </w:sectPr>
      </w:pP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2"/>
          <w:szCs w:val="22"/>
          <w:color w:val="auto"/>
        </w:rPr>
        <w:t>The principal business office of each of HBM IV, HCI, HHI, THC, and the Trust is 300 West 57th Street, New York, New York 10019.</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Each of HBM IV, HCI, HHI and THC is a Delaware corporation. The Trust is a testamentary trust that was probated in California.</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par value $0.00005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60" w:orient="portrait"/>
          <w:cols w:equalWidth="0" w:num="2">
            <w:col w:w="660" w:space="300"/>
            <w:col w:w="10100"/>
          </w:cols>
          <w:pgMar w:left="320" w:top="112" w:right="519" w:bottom="0" w:gutter="0" w:footer="0" w:header="0"/>
          <w:type w:val="continuous"/>
        </w:sectPr>
      </w:pPr>
    </w:p>
    <w:bookmarkStart w:id="5" w:name="page6"/>
    <w:bookmarkEnd w:id="5"/>
    <w:p>
      <w:pPr>
        <w:spacing w:after="0" w:line="39"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0"/>
        <w:spacing w:after="0" w:line="247" w:lineRule="auto"/>
        <w:rPr>
          <w:sz w:val="20"/>
          <w:szCs w:val="20"/>
          <w:color w:val="auto"/>
        </w:rPr>
      </w:pPr>
      <w:r>
        <w:rPr>
          <w:rFonts w:ascii="Times New Roman" w:cs="Times New Roman" w:eastAsia="Times New Roman" w:hAnsi="Times New Roman"/>
          <w:sz w:val="21"/>
          <w:szCs w:val="21"/>
          <w:color w:val="auto"/>
        </w:rPr>
        <w:t>HBM IV is the beneficial owner of 17,799,044 Ordinary Shares of the Issuer. Pursuant to the definition of "beneficial owner" set forth in Rule 13d-3 under the Securities Exchange Act of 1934, as amended, each of HBM IV, HCI, HHI, THC and the Trust may be deemed to beneficially own such securities. HCI has the power to direct the voting and disposition of the Ordinary Shares of the Issuer held by HBM IV as the controlling stockholder of HBM IV. HHI has</w:t>
      </w:r>
    </w:p>
    <w:p>
      <w:pPr>
        <w:spacing w:after="0" w:line="2" w:lineRule="exact"/>
        <w:rPr>
          <w:sz w:val="20"/>
          <w:szCs w:val="20"/>
          <w:color w:val="auto"/>
        </w:rPr>
      </w:pPr>
    </w:p>
    <w:p>
      <w:pPr>
        <w:ind w:left="920" w:hanging="912"/>
        <w:spacing w:after="0" w:line="244" w:lineRule="auto"/>
        <w:tabs>
          <w:tab w:leader="none" w:pos="92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power to direct the voting and disposition of the Ordinary Shares of the Issuer held by HBM IV as the controlling stockholder of HCI. THC has the power to direct the voting and disposition of the Ordinary Shares of the Issuer held by HBM IV as the controlling stockholder of HHI. The Trust has the power to direct the voting and disposition of the Ordinary Shares of the Issuer held by HBM IV as the controlling stockholder of THC. Accordingly, for purposes of this Statement, (i) HBM IV is reporting that it shares the power to direct the voting and disposition of the Ordinary Shares of the Issuer directly owned by it and (ii) HCI, HHI, THC and the Trust are reporting that they share the power to direct the voting and disposition of the Ordinary Shares of the Issuer held by HBM IV.</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HBM IV: 7.65% HCI: 7.65% HHI: 7.65% THC: 7.65% Trust: 7.65% %</w:t>
      </w:r>
    </w:p>
    <w:p>
      <w:pPr>
        <w:spacing w:after="0" w:line="20"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8" w:orient="portrait"/>
          <w:cols w:equalWidth="0" w:num="1">
            <w:col w:w="11120"/>
          </w:cols>
          <w:pgMar w:left="360" w:top="139"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both"/>
        <w:ind w:right="6480" w:firstLine="6"/>
        <w:spacing w:after="0" w:line="509" w:lineRule="auto"/>
        <w:tabs>
          <w:tab w:leader="none" w:pos="258"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HBM IV: 0 HCI: 0 HHI: 0 THC: 0 Trust: 0</w:t>
      </w:r>
    </w:p>
    <w:p>
      <w:pPr>
        <w:spacing w:after="0" w:line="1" w:lineRule="exact"/>
        <w:rPr>
          <w:rFonts w:ascii="Times New Roman" w:cs="Times New Roman" w:eastAsia="Times New Roman" w:hAnsi="Times New Roman"/>
          <w:sz w:val="21"/>
          <w:szCs w:val="21"/>
          <w:color w:val="auto"/>
        </w:rPr>
      </w:pPr>
    </w:p>
    <w:p>
      <w:pPr>
        <w:ind w:left="320" w:hanging="314"/>
        <w:spacing w:after="0"/>
        <w:tabs>
          <w:tab w:leader="none" w:pos="3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HBM IV: 17,799,044 HCI: 17,799,044 HHI: 17,799,044 THC: 17,799,044 Trust: 17,799,044</w:t>
      </w:r>
    </w:p>
    <w:p>
      <w:pPr>
        <w:spacing w:after="0" w:line="287" w:lineRule="exact"/>
        <w:rPr>
          <w:sz w:val="20"/>
          <w:szCs w:val="20"/>
          <w:color w:val="auto"/>
        </w:rPr>
      </w:pPr>
    </w:p>
    <w:p>
      <w:pPr>
        <w:ind w:right="5300" w:firstLine="6"/>
        <w:spacing w:after="0" w:line="486" w:lineRule="auto"/>
        <w:tabs>
          <w:tab w:leader="none" w:pos="37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HBM IV: 0 HCI: 0 HHI: 0 THC: 0 Trust: 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HBM IV: 17,799,044 HCI: 17,799,044 HHI: 17,799,044 THC: 17,799,044 Trust: 17,799,044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78" w:orient="portrait"/>
          <w:cols w:equalWidth="0" w:num="2">
            <w:col w:w="620" w:space="300"/>
            <w:col w:w="10200"/>
          </w:cols>
          <w:pgMar w:left="360" w:top="139" w:right="41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20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w:t>
      </w:r>
    </w:p>
    <w:p>
      <w:pPr>
        <w:sectPr>
          <w:pgSz w:w="11900" w:h="16878" w:orient="portrait"/>
          <w:cols w:equalWidth="0" w:num="1">
            <w:col w:w="11120"/>
          </w:cols>
          <w:pgMar w:left="360" w:top="139" w:right="419" w:bottom="0" w:gutter="0" w:footer="0" w:header="0"/>
          <w:type w:val="continuous"/>
        </w:sectPr>
      </w:pPr>
    </w:p>
    <w:bookmarkStart w:id="6" w:name="page7"/>
    <w:bookmarkEnd w:id="6"/>
    <w:p>
      <w:pPr>
        <w:ind w:left="720" w:right="160"/>
        <w:spacing w:after="0" w:line="259" w:lineRule="auto"/>
        <w:rPr>
          <w:sz w:val="20"/>
          <w:szCs w:val="20"/>
          <w:color w:val="auto"/>
        </w:rPr>
      </w:pPr>
      <w:r>
        <w:rPr>
          <w:rFonts w:ascii="Times New Roman" w:cs="Times New Roman" w:eastAsia="Times New Roman" w:hAnsi="Times New Roman"/>
          <w:sz w:val="22"/>
          <w:szCs w:val="22"/>
          <w:color w:val="auto"/>
        </w:rPr>
        <w:t>the securities and were not acquired and are not held in connection with or as a participant in any transaction having that purpose or effect, other than activities solely in connection with a nomination under _ 240.14a-11.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HBM IV, Inc.</w:t>
      </w:r>
    </w:p>
    <w:p>
      <w:pPr>
        <w:spacing w:after="0" w:line="152"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Tracey Perini</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Tracey Perini, Executive Vice President</w:t>
      </w:r>
    </w:p>
    <w:p>
      <w:pPr>
        <w:spacing w:after="0" w:line="44"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Hearst Communications, Inc.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Mitchell I. Scherzer</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Mitchell I. Scherzer, Executive Vice President and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Hearst Holdings, Inc.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Mitchell I. Scherzer</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Mitchell I. Scherzer, Executive Vice President and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The Hearst Corporation</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Mitchell I. Scherzer</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Mitchell I. Scherzer, Executive Vice President and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The Hearst Family Trust</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Mitchell I. Scherzer</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Mitchell I. Scherzer, Trustee</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ectPr>
          <w:pgSz w:w="11900" w:h="16838" w:orient="portrait"/>
          <w:cols w:equalWidth="0" w:num="1">
            <w:col w:w="10920"/>
          </w:cols>
          <w:pgMar w:left="580" w:top="111" w:right="399" w:bottom="1440" w:gutter="0" w:footer="0" w:header="0"/>
        </w:sectPr>
      </w:pPr>
    </w:p>
    <w:bookmarkStart w:id="7" w:name="page8"/>
    <w:bookmarkEnd w:id="7"/>
    <w:p>
      <w:pPr>
        <w:jc w:val="center"/>
        <w:ind w:right="-1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A</w:t>
      </w: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the signatories of the statement on Schedule 13G to which this Joint Filing Agreement is attached, hereby agree that such statement is, and any amendments thereto filed by any of us will be, filed on behalf of each of us pursuant to and in accordance with Rule 13d-1(k) under the Securities Exchange Act of 1934, as amended.</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Dated: May 14, 2026</w:t>
      </w:r>
    </w:p>
    <w:p>
      <w:pPr>
        <w:spacing w:after="0" w:line="3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HBM IV, INC.</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Tracey Perini</w:t>
            </w:r>
          </w:p>
        </w:tc>
      </w:tr>
      <w:tr>
        <w:trPr>
          <w:trHeight w:val="270"/>
        </w:trPr>
        <w:tc>
          <w:tcPr>
            <w:tcW w:w="624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Tracey Perini</w:t>
            </w:r>
          </w:p>
        </w:tc>
      </w:tr>
      <w:tr>
        <w:trPr>
          <w:trHeight w:val="270"/>
        </w:trPr>
        <w:tc>
          <w:tcPr>
            <w:tcW w:w="624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540"/>
        </w:trPr>
        <w:tc>
          <w:tcPr>
            <w:tcW w:w="11240" w:type="dxa"/>
            <w:vAlign w:val="bottom"/>
            <w:gridSpan w:val="2"/>
          </w:tcPr>
          <w:p>
            <w:pPr>
              <w:ind w:left="5660"/>
              <w:spacing w:after="0"/>
              <w:rPr>
                <w:sz w:val="20"/>
                <w:szCs w:val="20"/>
                <w:color w:val="auto"/>
              </w:rPr>
            </w:pPr>
            <w:r>
              <w:rPr>
                <w:rFonts w:ascii="Times New Roman" w:cs="Times New Roman" w:eastAsia="Times New Roman" w:hAnsi="Times New Roman"/>
                <w:sz w:val="18"/>
                <w:szCs w:val="18"/>
                <w:b w:val="1"/>
                <w:bCs w:val="1"/>
                <w:color w:val="auto"/>
              </w:rPr>
              <w:t>HEARST COMMUNICATIONS, INC.</w:t>
            </w:r>
          </w:p>
        </w:tc>
      </w:tr>
      <w:tr>
        <w:trPr>
          <w:trHeight w:val="540"/>
        </w:trPr>
        <w:tc>
          <w:tcPr>
            <w:tcW w:w="624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Mitchell I. Scherzer</w:t>
            </w:r>
          </w:p>
        </w:tc>
      </w:tr>
      <w:tr>
        <w:trPr>
          <w:trHeight w:val="270"/>
        </w:trPr>
        <w:tc>
          <w:tcPr>
            <w:tcW w:w="624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Mitchell I. Scherzer</w:t>
            </w:r>
          </w:p>
        </w:tc>
      </w:tr>
      <w:tr>
        <w:trPr>
          <w:trHeight w:val="270"/>
        </w:trPr>
        <w:tc>
          <w:tcPr>
            <w:tcW w:w="624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540"/>
        </w:trPr>
        <w:tc>
          <w:tcPr>
            <w:tcW w:w="11240" w:type="dxa"/>
            <w:vAlign w:val="bottom"/>
            <w:gridSpan w:val="2"/>
          </w:tcPr>
          <w:p>
            <w:pPr>
              <w:ind w:left="5660"/>
              <w:spacing w:after="0"/>
              <w:rPr>
                <w:sz w:val="20"/>
                <w:szCs w:val="20"/>
                <w:color w:val="auto"/>
              </w:rPr>
            </w:pPr>
            <w:r>
              <w:rPr>
                <w:rFonts w:ascii="Times New Roman" w:cs="Times New Roman" w:eastAsia="Times New Roman" w:hAnsi="Times New Roman"/>
                <w:sz w:val="18"/>
                <w:szCs w:val="18"/>
                <w:b w:val="1"/>
                <w:bCs w:val="1"/>
                <w:color w:val="auto"/>
              </w:rPr>
              <w:t>HEARST HOLDINGS, INC.</w:t>
            </w:r>
          </w:p>
        </w:tc>
      </w:tr>
      <w:tr>
        <w:trPr>
          <w:trHeight w:val="540"/>
        </w:trPr>
        <w:tc>
          <w:tcPr>
            <w:tcW w:w="624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Mitchell I. Scherzer</w:t>
            </w:r>
          </w:p>
        </w:tc>
      </w:tr>
      <w:tr>
        <w:trPr>
          <w:trHeight w:val="270"/>
        </w:trPr>
        <w:tc>
          <w:tcPr>
            <w:tcW w:w="624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Mitchell I. Scherzer</w:t>
            </w:r>
          </w:p>
        </w:tc>
      </w:tr>
      <w:tr>
        <w:trPr>
          <w:trHeight w:val="270"/>
        </w:trPr>
        <w:tc>
          <w:tcPr>
            <w:tcW w:w="624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540"/>
        </w:trPr>
        <w:tc>
          <w:tcPr>
            <w:tcW w:w="11240" w:type="dxa"/>
            <w:vAlign w:val="bottom"/>
            <w:gridSpan w:val="2"/>
          </w:tcPr>
          <w:p>
            <w:pPr>
              <w:ind w:left="5660"/>
              <w:spacing w:after="0"/>
              <w:rPr>
                <w:sz w:val="20"/>
                <w:szCs w:val="20"/>
                <w:color w:val="auto"/>
              </w:rPr>
            </w:pPr>
            <w:r>
              <w:rPr>
                <w:rFonts w:ascii="Times New Roman" w:cs="Times New Roman" w:eastAsia="Times New Roman" w:hAnsi="Times New Roman"/>
                <w:sz w:val="18"/>
                <w:szCs w:val="18"/>
                <w:b w:val="1"/>
                <w:bCs w:val="1"/>
                <w:color w:val="auto"/>
              </w:rPr>
              <w:t>THE HEARST CORPORATION</w:t>
            </w:r>
          </w:p>
        </w:tc>
      </w:tr>
      <w:tr>
        <w:trPr>
          <w:trHeight w:val="540"/>
        </w:trPr>
        <w:tc>
          <w:tcPr>
            <w:tcW w:w="624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Mitchell I. Scherzer</w:t>
            </w:r>
          </w:p>
        </w:tc>
      </w:tr>
      <w:tr>
        <w:trPr>
          <w:trHeight w:val="270"/>
        </w:trPr>
        <w:tc>
          <w:tcPr>
            <w:tcW w:w="624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Mitchell I. Scherzer</w:t>
            </w:r>
          </w:p>
        </w:tc>
      </w:tr>
      <w:tr>
        <w:trPr>
          <w:trHeight w:val="270"/>
        </w:trPr>
        <w:tc>
          <w:tcPr>
            <w:tcW w:w="624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540"/>
        </w:trPr>
        <w:tc>
          <w:tcPr>
            <w:tcW w:w="11240" w:type="dxa"/>
            <w:vAlign w:val="bottom"/>
            <w:gridSpan w:val="2"/>
          </w:tcPr>
          <w:p>
            <w:pPr>
              <w:ind w:left="5660"/>
              <w:spacing w:after="0"/>
              <w:rPr>
                <w:sz w:val="20"/>
                <w:szCs w:val="20"/>
                <w:color w:val="auto"/>
              </w:rPr>
            </w:pPr>
            <w:r>
              <w:rPr>
                <w:rFonts w:ascii="Times New Roman" w:cs="Times New Roman" w:eastAsia="Times New Roman" w:hAnsi="Times New Roman"/>
                <w:sz w:val="18"/>
                <w:szCs w:val="18"/>
                <w:b w:val="1"/>
                <w:bCs w:val="1"/>
                <w:color w:val="auto"/>
              </w:rPr>
              <w:t>THE HEARST FAMILY TRUST</w:t>
            </w:r>
          </w:p>
        </w:tc>
      </w:tr>
      <w:tr>
        <w:trPr>
          <w:trHeight w:val="540"/>
        </w:trPr>
        <w:tc>
          <w:tcPr>
            <w:tcW w:w="624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Mitchell I. Scherzer</w:t>
            </w:r>
          </w:p>
        </w:tc>
      </w:tr>
      <w:tr>
        <w:trPr>
          <w:trHeight w:val="270"/>
        </w:trPr>
        <w:tc>
          <w:tcPr>
            <w:tcW w:w="624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Mitchell I. Scherzer</w:t>
            </w:r>
          </w:p>
        </w:tc>
      </w:tr>
      <w:tr>
        <w:trPr>
          <w:trHeight w:val="270"/>
        </w:trPr>
        <w:tc>
          <w:tcPr>
            <w:tcW w:w="624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Trustee</w:t>
            </w:r>
          </w:p>
        </w:tc>
      </w:tr>
      <w:tr>
        <w:trPr>
          <w:trHeight w:val="574"/>
        </w:trPr>
        <w:tc>
          <w:tcPr>
            <w:tcW w:w="624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2"/>
      <w:numFmt w:val="bullet"/>
      <w:start w:val="1"/>
    </w:lvl>
  </w:abstractNum>
  <w:abstractNum w:abstractNumId="1">
    <w:nsid w:val="7545E146"/>
    <w:multiLevelType w:val="hybridMultilevel"/>
    <w:lvl w:ilvl="0">
      <w:lvlJc w:val="left"/>
      <w:lvlText w:val="3"/>
      <w:numFmt w:val="bullet"/>
      <w:start w:val="1"/>
    </w:lvl>
  </w:abstractNum>
  <w:abstractNum w:abstractNumId="2">
    <w:nsid w:val="515F007C"/>
    <w:multiLevelType w:val="hybridMultilevel"/>
    <w:lvl w:ilvl="0">
      <w:lvlJc w:val="left"/>
      <w:lvlText w:val="5"/>
      <w:numFmt w:val="bullet"/>
      <w:start w:val="1"/>
    </w:lvl>
  </w:abstractNum>
  <w:abstractNum w:abstractNumId="3">
    <w:nsid w:val="5BD062C2"/>
    <w:multiLevelType w:val="hybridMultilevel"/>
    <w:lvl w:ilvl="0">
      <w:lvlJc w:val="left"/>
      <w:lvlText w:val="2"/>
      <w:numFmt w:val="bullet"/>
      <w:start w:val="1"/>
    </w:lvl>
  </w:abstractNum>
  <w:abstractNum w:abstractNumId="4">
    <w:nsid w:val="12200854"/>
    <w:multiLevelType w:val="hybridMultilevel"/>
    <w:lvl w:ilvl="0">
      <w:lvlJc w:val="left"/>
      <w:lvlText w:val="3"/>
      <w:numFmt w:val="bullet"/>
      <w:start w:val="1"/>
    </w:lvl>
  </w:abstractNum>
  <w:abstractNum w:abstractNumId="5">
    <w:nsid w:val="4DB127F8"/>
    <w:multiLevelType w:val="hybridMultilevel"/>
    <w:lvl w:ilvl="0">
      <w:lvlJc w:val="left"/>
      <w:lvlText w:val="2"/>
      <w:numFmt w:val="bullet"/>
      <w:start w:val="1"/>
    </w:lvl>
  </w:abstractNum>
  <w:abstractNum w:abstractNumId="6">
    <w:nsid w:val="216231B"/>
    <w:multiLevelType w:val="hybridMultilevel"/>
    <w:lvl w:ilvl="0">
      <w:lvlJc w:val="left"/>
      <w:lvlText w:val="3"/>
      <w:numFmt w:val="bullet"/>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4"/>
    </w:lvl>
  </w:abstractNum>
  <w:abstractNum w:abstractNumId="9">
    <w:nsid w:val="66EF438D"/>
    <w:multiLevelType w:val="hybridMultilevel"/>
    <w:lvl w:ilvl="0">
      <w:lvlJc w:val="left"/>
      <w:lvlText w:val="(%1)"/>
      <w:numFmt w:val="lowerLetter"/>
      <w:start w:val="1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3"/>
    </w:lvl>
  </w:abstractNum>
  <w:abstractNum w:abstractNumId="12">
    <w:nsid w:val="109CF92E"/>
    <w:multiLevelType w:val="hybridMultilevel"/>
    <w:lvl w:ilvl="0">
      <w:lvlJc w:val="left"/>
      <w:lvlText w:val="(%1)"/>
      <w:numFmt w:val="lowerRoman"/>
      <w:start w:val="1"/>
    </w:lvl>
  </w:abstractNum>
  <w:abstractNum w:abstractNumId="13">
    <w:nsid w:val="DED7263"/>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2026-05-14T19:13:50Z</dcterms:created>
  <dcterms:modified xsi:type="dcterms:W3CDTF">2026-05-14T19:13:50Z</dcterms:modified>
</cp:coreProperties>
</file>