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Private Offering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Diginex Limited (the “Company”) signed securities purchase agreements (the “SPAs”), with three unrelated parties (the “Investors”), to raise $20 million in exchange for the issuance of 20 million ordinary shares (the “Shares”) and 20 million warrants (the “Warrants”) that can be exercised at $1 per warrant. Each Warrant may be exercised to purchase one ordinary share, par value $0.0004 per share at a price of $1,00 per share and the Warrants are exercisable for a period of 5 years from the date of issuance. Pursuant to the SPAs, the Investors shall pay the purchase price over time and the Investors will receive the Shares upon payment of the initial payment under the SPAs and the Investors shall receive the Warrants upon the payment of the final payment under the SPAs. The Shares and Warrants were sold in reliance upon the exemption provided in Section 4(a)(2) of the Securities Act of 1933, as amended, and Rule 506 of Regulation D and/or Regulation 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1, a resident of Dubai, UAE (“Investor 1”), signed a securities purchase agreement, dated July 20, 2026 with the Company to purchase 10,000,000 Ordinary Shares and 10,000,000 warrants for a purchase price of $10,000,000 (the “Investor 1 SPA”). Investor 1 shall pay the purchase price as follows: (i) $1,000,000 on or before, July 30, 2026, (ii) $1,000,000 on or before, October 16, 2026; (iii) $1,500,000 on or before, November 20, 2026, (iv) $1,500,000 on or before, December 18, 2026; and (v) $5,000,000 on or before, March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2, an entity with offices located in Dubai UAE (“Investor 2”), signed a securities purchase agreement, dated July 20, 2026 with the Company to purchase 5,000,000 Ordinary Shares and 5,000,000 warrants for a purchase price of $5,000,000 (the “Investor 2 SPA”). Investor 2 shall pay the purchase price as follows: (i) $750,000 on or before, July 28, 2026 and (ii) $4,250,000 on or before January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3, an entity formed in the Cayman Islands (“Investor 3”), signed a securities purchase agreement, dated July 20, 2026 with the Company to purchase 5,000,000 Ordinary Shares and 5,000,000 warrants for a purchase price of $5,000,000 (the “Investor 3 SPA”). Investor 3 shall pay the purchase price as follows: (i) $750,000 on or before, July 28, 2026 and (ii) $4,250,000 on or before February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Investor 1 SPA, Investor 2 SPA and the Investor 3 SPA do not purport to be complete and are qualified in their entirety by the terms and conditions of the actual agreement, copies of which are attached hereto as Exhibits 10.1, 10.2 and 10.3,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pay a fee of $1 million payable through the issuance of 1,000,000 shares of the Company’s Ordinary Shares to VB Capital Limited, an unrelated entity, organized in the British Virgin Islands, for introducing the Investors to the Company, pursuant a written agreement, dated June 30, 2026 (the “Introducer Agreement”).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Introducer Agreement does not purport to be complete and is qualified in its entirety by the terms and conditions of the actual agreement, a copy of which is attached hereto as Exhibit 10.4, and is incorporated herein by reference. </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28" w:type="dxa"/>
          <w:right w:w="0" w:type="dxa"/>
        </w:tblCellMar>
      </w:tblPr>
      <w:tblGrid>
        <w:gridCol w:w="980"/>
        <w:gridCol w:w="120"/>
        <w:gridCol w:w="837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Securities Purchase Agreement, dated July 20, 2026 by and between Investor 1 and Diginex Limited.</w:t>
              </w:r>
            </w:hyperlink>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5"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Securities Purchase Agreement, dated July 20, 2026 by and between Investor 2 and Diginex Limited.</w:t>
              </w:r>
            </w:hyperlink>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375"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Securities Purchase Agreement, dated July 20, 2026 by and between Investor 3 and Diginex Limited.</w:t>
              </w:r>
            </w:hyperlink>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120" w:type="dxa"/>
            <w:tcBorders/>
            <w:tcMar>
              <w:bottom w:w="0" w:type="dxa"/>
            </w:tcMar>
            <w:vAlign w:val="center"/>
          </w:tcPr>
          <w:p>
            <w:pPr>
              <w:pStyle w:val="TableContents"/>
              <w:bidi w:val="0"/>
              <w:spacing w:before="0" w:after="283"/>
              <w:jc w:val="both"/>
              <w:rPr>
                <w:caps w:val="false"/>
                <w:smallCaps w:val="false"/>
              </w:rPr>
            </w:pPr>
            <w:r>
              <w:rPr>
                <w:caps w:val="false"/>
                <w:smallCaps w:val="false"/>
              </w:rPr>
              <w:t xml:space="preserve">  </w:t>
            </w:r>
          </w:p>
        </w:tc>
        <w:tc>
          <w:tcPr>
            <w:tcW w:w="8375" w:type="dxa"/>
            <w:tcBorders/>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 xml:space="preserve">Introducer Agreement, dated June 30, 2026, by and between VB Capital Limited and Diginex Limited. </w:t>
              </w:r>
            </w:hyperlink>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1760"/>
        <w:gridCol w:w="545"/>
        <w:gridCol w:w="236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Lubomila Jordanova</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Lubomila Jordanova</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10-1.htm"/>
      <w:bookmarkStart w:id="3" w:name="ksex1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dated as of July 20, 2026, between </w:t>
      </w: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entity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are executing and delivering this Agreement in reliance upon the exemption from securities registration afforded by Section 4(a)(2) of the Securities Act and Rule 506 of Regulation D promulgated under the Securities Act and/or Regulation 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sell to the Investor, and the Investor desires to purchase from the Company, upon the terms and subject to the conditions stated in this Agreement, (A)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par value USD 0.0004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and (B) warrant,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to purchase Ordinary Shares of the Company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together with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have agreed that the aggregate purchase price payable by the Investor for the Shares shall be $10,000,000, calculated based on a purchase price per Share of USD1.00 and that the Warrant shall be issued to the Investor on a one-for-one basis with the number of Shares purchased;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sale of the Securities, the Company has agreed, pursuant to this Agreement, to provide certain customary registration rights with respect to the Securities, as set forth herein and subject to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representations, warranties and covenants herein contained, the Company and the Investor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intermediates,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Sections ‎3.25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Fundamental Representations” </w:t>
      </w:r>
      <w:r>
        <w:rPr>
          <w:rFonts w:ascii="Times New Roman;Times;Serif" w:hAnsi="Times New Roman;Times;Serif"/>
          <w:b w:val="false"/>
          <w:i w:val="false"/>
          <w:caps w:val="false"/>
          <w:smallCaps w:val="false"/>
          <w:sz w:val="20"/>
        </w:rPr>
        <w:t xml:space="preserve">means the representations and warranties made by the Company in </w:t>
      </w:r>
      <w:r>
        <w:rPr>
          <w:rFonts w:ascii="Times New Roman;Times;Serif" w:hAnsi="Times New Roman;Times;Serif"/>
          <w:b w:val="false"/>
          <w:i w:val="false"/>
          <w:caps w:val="false"/>
          <w:smallCaps w:val="false"/>
          <w:sz w:val="20"/>
          <w:u w:val="single"/>
        </w:rPr>
        <w:t>Sections 3.1 (Organization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 (Capitalization)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 (Valid Issuance)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3.6 (No Conflict)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3.7 (Consents)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 (SEC Filings; Financial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3.18 (Trading Markets)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3.20 (Price Stabilization of Ordinary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3.21 (Investment Company Act; Not a Passive Foreign Investment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3.22 (General Solicitation; No Integration or Aggregation)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3.23 (Brokers and Finders)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3.24 (Reliance by the Investor)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3.25 (No Disqualification Events)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3.26 (Other Covered Persons)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3.27 (No Additional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3.32 (Submission to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3.33 (Enforceability of Judgments).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Indemnified Person” </w:t>
      </w:r>
      <w:r>
        <w:rPr>
          <w:rFonts w:ascii="Times New Roman;Times;Serif" w:hAnsi="Times New Roman;Times;Serif"/>
          <w:b w:val="false"/>
          <w:i w:val="false"/>
          <w:caps w:val="false"/>
          <w:smallCaps w:val="false"/>
          <w:sz w:val="20"/>
        </w:rPr>
        <w:t xml:space="preserve">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event, circumstance, development, condition, occurrence or effect that, individually or in the aggregate, (a) was, is, or would reasonably be expected to be, materially adverse to the business, financial condition, properties, assets, liabilities, shareholders’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Exchange</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together with any successor thereto: the NYSE American, The New York Stock Exchange, The Nasdaq Global Market, The Nasdaq Global Select Market, The Nasdaq Capital Market, Frankfurt Stock Exchange (Open Market), and Tradegate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memorandum of association, articles of association, certificate or articles of incorporation, bylaws or other organizational or charter documents of the Company, as currently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means (a) the Company’s most recently filed Annual Report on Form 20-F and (b) all Reports on Form 6-K furnished by the Company following the end of the most recent fiscal year for which an Annual Report on Form 20-F has been filed and prior to the execution of this Agreement, together in each case with any documents incorporated by reference therein or exhibits thereto.</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has the meaning set forth in 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U.S.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share capital,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Frankfurt Stock Exchange (Open Market), and Tradegate Exchange and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and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with respect to the Ordinary Shares, Continental Stock Transfer &amp; Trust or such other financial institution that provides transfer agent services as the Company may engage from time to time.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Investor, agrees to purchase, the number of Securities, for the aggregate purchase price, set forth opposite the Investor’s name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purchase price per Share shall be USD1.00 (the “</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The aggregate purchase price payable by the Investor for the Shares shall be $10,000,000.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Warrant Shares. </w:t>
      </w:r>
      <w:r>
        <w:rPr>
          <w:rFonts w:ascii="Times New Roman;Times;Serif" w:hAnsi="Times New Roman;Times;Serif"/>
          <w:b w:val="false"/>
          <w:i w:val="false"/>
          <w:caps w:val="false"/>
          <w:smallCaps w:val="false"/>
          <w:sz w:val="20"/>
        </w:rPr>
        <w:t xml:space="preserve">On the Closing Date, the Company agrees to issue to the Investor Warrant,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to purchase the Warrant Shares. The Warrant shall have an exercise price equal to USD1.00, shall be exercisable at any time and from time to time, and shall expire on the date that is five (5) years after issuance. The Warrant Shares shall be issued to the Investor on a one-for one basis with the number of Shares purchased.</w:t>
      </w:r>
    </w:p>
    <w:p>
      <w:pPr>
        <w:pStyle w:val="TextBody"/>
        <w:bidi w:val="0"/>
        <w:spacing w:before="0" w:after="0"/>
        <w:ind w:left="0" w:right="0" w:firstLine="216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Subject to the satisfaction or waiver of the conditions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of this Agreement, the closing of the purchase and sale of the Shares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shall be 30 July 2026.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against payment to the Company of the purchase price therefore (the “</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xml:space="preserve">”) as set forth in payment schedule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by wire transfer to the Company of immediately available funds, in accordance with wire instructions provided by the Company to the Investor. On the Closing Date, the Company will cause (A) the Transfer Agent to issue the Shares in book-entry form, free and clear of all restrictive and other legends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hereof) and the Company shall provide evidence of such issuance from the Company’s Transfer Agent as soon as reasonably practical following the Closing Date to the Investor. In the event that the Closing has not occurred within three Business Days after the expected Closing Date, unless otherwise agreed by the Company and the Investor, the Company shall promptly (but no later than one Business Day thereafter) return the previously wired Aggregate Purchase Amount to the Investor by wire transfer of United States dollars in immediately available funds to the account specified by the Investor, and any book entry for the Securities shall be deemed cancelled; provided that, unless this Agreement has been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such return of funds shall not terminate this Agreement or relieve the Investor of its obligation to purchase, or the Company of its obligation to issue and sell, the Securities at the Closing.</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Except as set forth in the SEC Reports (other than as to the Fundamental Representations, which are not so qualified), the Company hereby represents and warrants to the Investor that the statements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true and correct as of the date of this Agreement and as of the Closing Date (except for the representations and warranties that speak as of a specific date, which shall be made as of such date).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The Company is an exempted company with limited liability, duly incorporated, validly existing and in good standing under the laws of Cayman Islands,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or organized, as the case may be, and validly existing and in good standing (to the extent such concept exists in such subsidiary’s home jurisdiction) under the laws of the jurisdiction of its incorporation or organization, as the case may be, and has the requisite power and authority to carry on its business as now conducted and to own or lease its properties and (ii) qualified to do business as a foreign company and in good standing (to the extent such concept exists in such jurisdiction) in each jurisdiction in which such qualification is required, except in each case as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Company’s disclosure of its authorized, issued and outstanding share capital in the SEC Reports containing such disclosure was accurate in all material respects as of the date indicated in such SEC Reports. All of the issued and outstanding Ordinary Shares have been duly authorized and validly issued and are fully paid and non-assessable, and will not be subject to any call for further capital. None of the outstanding share capital of the Company was issued in violation of any preemptive or other similar rights of any securityholder of the Company which have not been waived, and all such share capital was issued in compliance in all material respects with applicable state and federal securities law and any rights of third parties. Except as disclosed in the SEC Reports, there are no outstanding rights (including, without limitation, pre-emptive rights),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such subsidiary, any such convertible or exchangeable securities or any such rights, warrants or options; the share capital of the Company conforms in all material respects to the description thereof contained in the SEC Reports; and all the outstanding share capital or other equity interests of each subsidiary owned, directly or indirectly, by the Company have been duly and validly authorized and issued, are fully paid and non-assessable (except, in the case of any foreign subsidiary, for directors’ qualifying shares), are not subject to any call for further capital and are owned directly or indirectly by the Company, free and clear of any lien, charge, encumbrance, security interest, restriction on voting or transfer or any other claim of any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The Company hereby commits to file an F-1 resale statement to register the Shares for resale under the Securities Act within 30 business days of the Closing.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all requisite power and authority to enter into the Transaction Agreements and to carry out and perform its obligations under the terms of the Transaction Agreements, including the issuance and sale of the Shares and the issuance of Ordinary Shares issuable upon exercise of the Warrant. All action on the part of the Company, its officers, directors and shareholders necessary for the authorization of the Securities, the authorization, execution, delivery and performance of the Transaction Agreements and the consummation of the transactions contemplated herein, including the issuance and sale of the Shares and the Warrant Shares have been taken. This Agreement has been duly executed and delivered by the Company and, assuming the due authorization, execution and delivery by the Investor of this Agreement and that this Agreement constitutes the legal, valid and binding agreement of the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being purchased by the Investor hereunder have been duly and validly authorized and, upon issuance pursuant to the terms of this Agreement against full payment therefor in accordance with the terms of this Agreement and that the issuance of the Shares has been duly registered in the Company’s register of members as fully paid shares,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Ordinary Shares. The Warrant Shares have been duly and validly authorized and reserved for issuance and, upon issuance pursuant to the terms of the Warrant,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Warrant Shares shall be entitled to all rights accorded to a holder of Ordinary Shares as specified therein. Subject to the accuracy of the representations and warranties made by the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offer and sale of the Securities to the Investor is, and will be, (i) exempt from the registration and prospectus delivery requirements of the Securities Act and (ii) exempt from (or otherwise not subject to) the registration, qualification and prospectus delivery requirements of applicable securities laws of the states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Agreements by the Company, the issuance and sale of the Securities and the consummation of the other transactions contemplated by the Transaction Agreements will not (i) violate any provision of the Organizational Documents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w:t>
      </w:r>
      <w:r>
        <w:rPr>
          <w:rFonts w:ascii="Times New Roman;Times;Serif" w:hAnsi="Times New Roman;Times;Serif"/>
          <w:b w:val="false"/>
          <w:i w:val="false"/>
          <w:caps w:val="false"/>
          <w:smallCaps w:val="false"/>
          <w:sz w:val="20"/>
          <w:shd w:fill="FFFFFF" w:val="clear"/>
        </w:rPr>
        <w:t>or (iii) result in a violation of any law, rule, regulation, order, judgment, injunction, decree or other restriction of any court or governmental authority to which the Company or any of its subsidiaries is subject and the rules and regulations of any self-regulatory organization to which the Company or its securities are subject, or by which any property or asset of the Company or any of its subsidiaries is bound or affected, </w:t>
      </w:r>
      <w:r>
        <w:rPr>
          <w:rFonts w:ascii="Times New Roman;Times;Serif" w:hAnsi="Times New Roman;Times;Serif"/>
          <w:b w:val="false"/>
          <w:i w:val="false"/>
          <w:caps w:val="false"/>
          <w:smallCaps w:val="false"/>
          <w:sz w:val="20"/>
        </w:rPr>
        <w:t>except, in the case of clauses (ii) and (iii), as would not, individually or in the aggregate, be reasonably expected to have a Material Adverse Effect.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Assuming the accuracy of the representations and warranties of the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 (b) the filing of any requisite notices and/or application(s) to the Trading Markets for the issuance and sale of the Shares or the Warrant Shares and the listing of the Shares or the Warrant Shares for trading or quotation, as the case may be, thereon in the time and manner required thereby, (c) customary post-closing filings with the SEC and if required, filings pursuant to state securities laws in connection with the offer and sale of the Shares or the Warrant Shares by the Company in the manner contemplated herein, which will be filed on a timely basis, (d) the filing of the registration statement required to be filed by this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all forms, statements, certifications, reports and documents required to be filed by it with the SEC under Section 13 and 15(d) of the Exchange Act for the one year preceding the date of this Agreement.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included in the SEC Reports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International Financial Reporting Standards as issued by the International Accounting Standards Board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IFRS to be reflected in the Financial Statements, in either case, none of which, individually or in the aggregate, have had or would reasonably be expected to have a Material Adverse Effect.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Since March 31, 2026, (a) the Company has conducted its business in the ordinary course of business;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change generally affecting the economy, financial markets or political, economic or regulatory conditions in the United States, Cayman Islands or any other geographic region in which the Company conducts business,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general financial, credit or capital market conditions, including interest rates or exchange rates, or any changes therein,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that generally affects industries in which the Company and its subsidiaries conduct business,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earthquakes, hurricanes, tsunamis, tornadoes, floods, mudslides, fires or other natural disasters, weather conditions, global pandemics, and related strains, epidemic or similar health emergency, and other force majeure events in the United States, Cayman Islands or any other location,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changes in laws after the date of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arbitration, claim, investigation, charge, complaint or inquiry pending or, to the Company’s knowledge or that the Company believes is material,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Compliance with Law; Permits</w:t>
      </w:r>
      <w:r>
        <w:rPr>
          <w:rFonts w:ascii="Times New Roman;Times;Serif" w:hAnsi="Times New Roman;Times;Serif"/>
          <w:b w:val="false"/>
          <w:i w:val="false"/>
          <w:caps w:val="false"/>
          <w:smallCaps w:val="false"/>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from such federal, state, local, or foreign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The Company and its subsidiaries are in compliance with all applicable federal, state, local and foreign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April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Accounting Controls and Disclosure Controls and Procedures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IFRS, (iii) that receipts and expenditures are made only in accordance with authorizations of management and the Board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Price Stabilization of Ordinary Shares</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Ordinary Shares to facilitate the sale or resale of the Shares or the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General Solicitation; No Integration or Aggregation</w:t>
      </w:r>
      <w:r>
        <w:rPr>
          <w:rFonts w:ascii="Times New Roman;Times;Serif" w:hAnsi="Times New Roman;Times;Serif"/>
          <w:b w:val="false"/>
          <w:i w:val="false"/>
          <w:caps w:val="false"/>
          <w:smallCaps w:val="false"/>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w:t>
      </w:r>
      <w:r>
        <w:rPr>
          <w:rFonts w:ascii="Times New Roman;Times;Serif" w:hAnsi="Times New Roman;Times;Serif"/>
          <w:b w:val="false"/>
          <w:i w:val="false"/>
          <w:caps w:val="false"/>
          <w:smallCaps w:val="false"/>
          <w:sz w:val="20"/>
          <w:shd w:fill="FFFFFF" w:val="clear"/>
        </w:rPr>
        <w:t>or (ii) aggregated with prior offerings by the Company for the purposes of the rules and regulations of the Nasdaq Capital Market</w:t>
      </w:r>
      <w:r>
        <w:rPr>
          <w:rFonts w:ascii="Times New Roman;Times;Serif" w:hAnsi="Times New Roman;Times;Serif"/>
          <w:b w:val="false"/>
          <w:i w:val="false"/>
          <w:caps w:val="false"/>
          <w:smallCaps w:val="false"/>
          <w:sz w:val="20"/>
        </w:rPr>
        <w:t xml:space="preserve">. Assuming the accuracy of the representations and warranties of the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With respect to those Securities sold in reliance upon Regulation S, (x) none of the Company, its Affiliates or any person acting on its or their behalf has engaged in any directed selling efforts within the meaning of Regulation S and (y) each of the Company and its Affiliates and any person acting on its or their behalf has complied with the offering restrictions set forth in Regulation 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Reliance by the Investor</w:t>
      </w:r>
      <w:r>
        <w:rPr>
          <w:rFonts w:ascii="Times New Roman;Times;Serif" w:hAnsi="Times New Roman;Times;Serif"/>
          <w:b w:val="false"/>
          <w:i w:val="false"/>
          <w:caps w:val="false"/>
          <w:smallCaps w:val="false"/>
          <w:sz w:val="20"/>
        </w:rPr>
        <w:t xml:space="preserve">. The Company has a reasonable basis for making each of the representations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acknowledges that each of the Investor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There are no agreements or understandings between the Company and the Investor with respect to the transactions contemplated by the Transaction Agreements other than (i) as specified in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Anti-Bribery and Anti-Money Laundering Laws</w:t>
      </w:r>
      <w:r>
        <w:rPr>
          <w:rFonts w:ascii="Times New Roman;Times;Serif" w:hAnsi="Times New Roman;Times;Serif"/>
          <w:b w:val="false"/>
          <w:i w:val="false"/>
          <w:caps w:val="false"/>
          <w:smallCaps w:val="false"/>
          <w:sz w:val="20"/>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and (iii)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of Personal Data, including without limitation HIPAA, the EU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shareholders, customers or suppliers of the Company, on the other hand, that is required to be described in the SEC Reports that is not so described.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Company has the power to submit, and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of this Agreement, has legally, validly, effectively and irrevocably submitted, to the personal jurisdiction of each United States federal court and New York state court located in the Borough of Manhattan, City of New York in the State of New York, U.S.A. (each, a “</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and the Company has the power to designate, appoint and authorize, and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of this Agreement, has legally, validly, effectively and irrevocably designated, appointed and authorized an agent for service of process in any action arising out of or relating to this Agreement or the Securities in any New York Court, and service of process effected on such authorized agent will be effective to confer valid personal jurisdiction over the Company as provided in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shd w:fill="FFFFFF" w:val="clear"/>
        </w:rPr>
        <w:t>Enforceability of Judgments</w:t>
      </w:r>
      <w:r>
        <w:rPr>
          <w:rFonts w:ascii="Times New Roman;Times;Serif" w:hAnsi="Times New Roman;Times;Serif"/>
          <w:b w:val="false"/>
          <w:i w:val="false"/>
          <w:caps w:val="false"/>
          <w:smallCaps w:val="false"/>
          <w:sz w:val="20"/>
          <w:shd w:fill="FFFFFF" w:val="clear"/>
        </w:rPr>
        <w:t>. Any final judgment for a fixed or readily calculable sum of money rendered by a New York Court having jurisdiction under its own domestic laws and recognized by Cayman Islands courts as having jurisdiction (according to Cayman Islands conflicts of laws principles and rules of Cayman Islands private international law at the time when proceedings were initiated) to give such final judgment in respect of any suit, action or proceeding against the Company based upon this Agreement and any instruments or agreements entered into for the consummation of the transactions contemplated herein would be declared enforceable against the Company, without re-examination or review of the merits of the cause of action in respect of which the original judgment was given or re-litigation of the matters adjudicated upon, by the courts of Cayman Islands.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Investor</w:t>
      </w:r>
      <w:r>
        <w:rPr>
          <w:rFonts w:ascii="Times New Roman;Times;Serif" w:hAnsi="Times New Roman;Times;Serif"/>
          <w:b w:val="false"/>
          <w:i w:val="false"/>
          <w:caps w:val="false"/>
          <w:smallCaps w:val="false"/>
          <w:sz w:val="20"/>
        </w:rPr>
        <w:t xml:space="preserve">. The Investor, represents and warrants to the Company that the statements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and correct as of the date of this Agreement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the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the Investor of the Transaction Agreements to which the Investor is a party has been duly authorized and each has been duly executed. Assuming this Agreement constitutes the legal and binding agreement of the Company, this Agreement constitutes a legal, valid and binding obligation of the Investor, enforceable against the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the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the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xml:space="preserve">. The Investor’s residence (if an individual) or offices in which its investment decision with respect to the Securities was made (if an entity) are located at the address immediately below the Investor’s name on </w:t>
      </w:r>
      <w:r>
        <w:rPr>
          <w:rFonts w:ascii="Times New Roman;Times;Serif" w:hAnsi="Times New Roman;Times;Serif"/>
          <w:b w:val="false"/>
          <w:i w:val="false"/>
          <w:caps w:val="false"/>
          <w:smallCaps w:val="false"/>
          <w:sz w:val="20"/>
          <w:u w:val="single"/>
        </w:rPr>
        <w:t>the pertinent signature page of this Agreement</w:t>
      </w:r>
      <w:r>
        <w:rPr>
          <w:rFonts w:ascii="Times New Roman;Times;Serif" w:hAnsi="Times New Roman;Times;Serif"/>
          <w:b w:val="false"/>
          <w:i w:val="false"/>
          <w:caps w:val="false"/>
          <w:smallCaps w:val="false"/>
          <w:sz w:val="20"/>
        </w:rPr>
        <w:t>, except as otherwise communicated by the Investor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The Investor (I) is acquiring the Securities outside the United States in an offshore transaction meeting the 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(IV) was outside the United States at the time of the origination of contact concerning the transactions contemplated by this Agreement and on the date of execution and delivery of this Agreement by the Investor; (V) is not acquiring the Securities in a transaction or part of series of transactions that, although in technical compliance with Regulation S, is part of a plan or scheme to evade the registration provisions of the Securities Act; (VI) is neither a U.S. Person nor a Distributor (in each case, as defined in Rule 902 of Regulation S) and (VII) is the sole beneficial owner of the Securities specified on signature pages hereto and has not pre-arranged any sale with a purchaser in the United States.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available exemption from the registration requirements thereof. The Investor further acknowledges that resales may be made only in compliance with such exemptions including, where applicable, the provisions of Regulation S, or Rule 144 under the Securities Act (or any successor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Investment Experience; Ability to Protect Its Own Interests and Bear Economic Risks</w:t>
      </w:r>
      <w:r>
        <w:rPr>
          <w:rFonts w:ascii="Times New Roman;Times;Serif" w:hAnsi="Times New Roman;Times;Serif"/>
          <w:b w:val="false"/>
          <w:i w:val="false"/>
          <w:caps w:val="false"/>
          <w:smallCaps w:val="false"/>
          <w:sz w:val="20"/>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the Investor’s sole discretion, has deemed necessary or appropriate in connection with its purchase of the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Securities Not Registered; Legends</w:t>
      </w:r>
      <w:r>
        <w:rPr>
          <w:rFonts w:ascii="Times New Roman;Times;Serif" w:hAnsi="Times New Roman;Times;Serif"/>
          <w:b w:val="false"/>
          <w:i w:val="false"/>
          <w:caps w:val="false"/>
          <w:smallCaps w:val="false"/>
          <w:sz w:val="20"/>
        </w:rPr>
        <w:t>. The Investor acknowledges and agrees that the Securities are being offered in a transaction not involving any public offering within the meaning of the Securities Act, and the Investor understands that the Securities have not been, and will not be,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or Regulation S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any certificates or book entry notations evidencing the Securities may bear one or more legends in substantially the following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AND IN ACCORDANCE WITH APPLICABLE STATE SECURITIES LAWS,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PRIOR TO THE REGISTRATION OF ANY PERMITTED TRANSFER IN ACCORDANCE WITH THE ABOVE, THE COMPANY RESERVES THE RIGHT TO REQUIRE THE DELIVERY OF SUCH LEGAL OPINIONS AND OR CERTIFICATIONS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contain a legend regarding affiliate status of the Investor,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acknowledges and agrees that the Investor is purchasing the Securities directly from the Company. Investor became aware of this offering of the Securities solely by means of direct contact directly from the Company as a result of a pre-existing, substantive relationship with the Company, and/or its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and/or its representatives. The Investor did not become aware of this offering of the Securities, nor were the Securities offered to Investor, by any other means, and the Company, and/or its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 making its decision to purchase the Securities, the Investor has relied solely upon independent investigation made by the Investor, upon the SEC Reports and upon the representations, warranties and covenants set forth herein.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Trading Activities</w:t>
      </w:r>
      <w:r>
        <w:rPr>
          <w:rFonts w:ascii="Times New Roman;Times;Serif" w:hAnsi="Times New Roman;Times;Serif"/>
          <w:b w:val="false"/>
          <w:i w:val="false"/>
          <w:caps w:val="false"/>
          <w:smallCaps w:val="false"/>
          <w:sz w:val="20"/>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the Investor’s assets and the portfolio managers have no direct knowledge of the investment decisions made by the portfolio managers managing other portions of the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the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To the extent the Investor is one of the covered persons identified in Rule 506(d)(1), the Investor represents that no disqualifying event described in Rule 506(d)(1)(i-viii) of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means a person or entity that is a beneficial owner of the Investor’s securities for purposes of Rule 506(d)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are no longer accurate.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commercially reasonable efforts to maintain the listing and trading of its Ordinary Shares on the Nasdaq Capital Market and, in accordance therewith, will use reasonable best efforts to comply in all material respects with the Company’s reporting, filing and other obligations under the rules and regulations of Nasdaq.</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by 9:00 a.m., New York City time, on the first (1st) Business Day immediately following the Closing of this Agreement, issue a press release and/or file with the SEC a Report on Form 6-K (including, if applicable, all exhibits thereto,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disclosing (i) all material terms of the transactions contemplated hereby and by the other Transaction Agreements and, if the Disclosure Document is a Report on Form 6-K, attaching this Agreement and the other Transaction Documents as exhibits to such Disclosure Document, and (ii) any other material non-public information concerning the Company disclosed to the Investor. Following the issuance or filing of the Disclosure Document, the Investor shall not be in possession of any material non-public information concerning the Company disclosed to the Investor by the Company or its representatives. In addition, unless it has already done so by filing the Disclosure Document, on or before the fourth (4th) Business Day following the date of this Agreement, the Company shall file with the SEC a Report on Form 6-K disclosing all material terms of the transactions contemplated by this Agreement. Notwithstanding anything in this Agreement to the contrary, the Company shall not publicly disclose the name of the Investor or any of its Affiliates or advisors, or include the name of the Investor or any of its Affiliates or advisors in any press release or filing with the SEC (other than any registration statement contemplated by this Agreement or any regulatory agency, without the prior written consent of the Investor, except (i) as required by the federal securities law in connection with (A) any registration statement contemplated by this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Integration; Regulation S Compliance</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 or that will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With respect to those Securities sold in reliance upon Regulation S, (i) none of the Company, its Affiliates or any person acting on its or their behalf will engage in any directed selling efforts within the meaning of Regulation S and (ii) each of the Company and its Affiliates and any person acting on its or their behalf will comply with the offering restrictions set forth in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sale, assignment, transfer or other disposition of the Securities by an Investor pursuant to Rule 144 or pursuant to any other exemption under the Securities Act such that the purchaser acquires freely tradable securities and upon compliance by the Investor with the requirements of this Agreement, if requested by the Investor by notice to the Company, the Company shall request the Transfer Agent to remove any restrictive legends related to the book entry account holding such securities and make a new, unlegended entry for such book entry securities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Securities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and as soon as reasonably practicable following any request therefor from the Investor accompanied by such customary and reasonably acceptable documentation referred to above, (A) deliver to the Transfer Agent irrevocable instructions that the Transfer Agent shall make a new, unlegended entry for such book entry securities,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Tax Indemnity</w:t>
      </w:r>
      <w:r>
        <w:rPr>
          <w:rFonts w:ascii="Times New Roman;Times;Serif" w:hAnsi="Times New Roman;Times;Serif"/>
          <w:b w:val="false"/>
          <w:i w:val="false"/>
          <w:caps w:val="false"/>
          <w:smallCaps w:val="false"/>
          <w:sz w:val="20"/>
        </w:rPr>
        <w:t>. The Company will indemnify and hold harmless the Investor against any Transfer Taxes (including any interest and penalties) payable in Cayman Islands by the Investor in connection with the sale and delivery of the Shares to or for the account of the Investor in the manner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The Company will not take any action, enter into any agreement or make any commitment that would conflict or interfere in any material respect with the Company’s obligations to the Investor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the Investor and its Affiliates, and their respective directors, officers, trustees, members, managers, employees, investment advisors and agents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for all such amounts as they are incurred by such Person solely to the extent such amounts have been finally judicially determined not to </w:t>
      </w:r>
      <w:r>
        <w:rPr>
          <w:rFonts w:ascii="Times New Roman;Times;Serif" w:hAnsi="Times New Roman;Times;Serif"/>
          <w:b w:val="false"/>
          <w:i w:val="false"/>
          <w:caps w:val="false"/>
          <w:smallCaps w:val="false"/>
          <w:sz w:val="20"/>
          <w:shd w:fill="FFFFFF" w:val="clear"/>
        </w:rPr>
        <w:t>have resulted from such Person’s fraud or willful misconduct.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xml:space="preserve"> As of the date of this Agreement, the Company has reserved and the Company shall continue to reserve and keep available at all times, free of preemptive rights, a sufficient number of Ordinary Shares for the purpose of enabling the Company to issue the Warrant Shares that are issuable upon the exercise of the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The Holder shall have customary registration rights, and the Company shall file a registration statement on Form F-1 covering the resale of the Holder’s registrable securities within 30 days after filing its annual report on Form 20-F and use commercially reasonable efforts to cause such registration statement to become effective as promptly as practicable thereafter, subject to SEC review, comments and applicable requirements.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Obligation of the Investor</w:t>
      </w:r>
      <w:r>
        <w:rPr>
          <w:rFonts w:ascii="Times New Roman;Times;Serif" w:hAnsi="Times New Roman;Times;Serif"/>
          <w:b w:val="false"/>
          <w:i w:val="false"/>
          <w:caps w:val="false"/>
          <w:smallCaps w:val="false"/>
          <w:sz w:val="20"/>
        </w:rPr>
        <w:t>. The several obligations of the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in all material respects the obligations and conditions herein required to be performed or observed by the Company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The purchase of and payment for the Shares by the Investor shall not be prohibited or enjoined by any law or governmental or court order or regulation and no such prohibition shall have been threatened in writing.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have furnished all required materials to the Transfer Agent to reflect the issuance of the Securities at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of this Agreement, no event or series of events shall have occurred that has had or would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 Requirements</w:t>
      </w:r>
      <w:r>
        <w:rPr>
          <w:rFonts w:ascii="Times New Roman;Times;Serif" w:hAnsi="Times New Roman;Times;Serif"/>
          <w:b w:val="false"/>
          <w:i w:val="false"/>
          <w:caps w:val="false"/>
          <w:smallCaps w:val="false"/>
          <w:sz w:val="20"/>
        </w:rPr>
        <w:t>. The Ordinary Shares shall be listed on a National Exchange and shall not have been suspended, as of the Closing Date, by the SEC or the National Exchange from trading thereon, as of the Closing Date, in writing by the SEC or the National Exchange; and the Company shall have filed with Nasdaq a Notification Form: Listing of Additional Shares for the listing of the Shares and the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as may be agreed to among the Company and the Investor in accordance with </w:t>
      </w:r>
      <w:r>
        <w:rPr>
          <w:rFonts w:ascii="Times New Roman;Times;Serif" w:hAnsi="Times New Roman;Times;Serif"/>
          <w:b w:val="false"/>
          <w:i w:val="false"/>
          <w:caps w:val="false"/>
          <w:smallCaps w:val="false"/>
          <w:sz w:val="20"/>
          <w:u w:val="single"/>
          <w:shd w:fill="FFFFFF" w:val="clear"/>
        </w:rPr>
        <w:t>Section 2.2</w:t>
      </w:r>
      <w:r>
        <w:rPr>
          <w:rFonts w:ascii="Times New Roman;Times;Serif" w:hAnsi="Times New Roman;Times;Serif"/>
          <w:b w:val="false"/>
          <w:i w:val="false"/>
          <w:caps w:val="false"/>
          <w:smallCaps w:val="false"/>
          <w:sz w:val="20"/>
          <w:shd w:fill="FFFFFF" w:val="clear"/>
        </w:rPr>
        <w:t xml:space="preserve">,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the Investor at the Closing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the Obligation of the Company</w:t>
      </w:r>
      <w:r>
        <w:rPr>
          <w:rFonts w:ascii="Times New Roman;Times;Serif" w:hAnsi="Times New Roman;Times;Serif"/>
          <w:b w:val="false"/>
          <w:i w:val="false"/>
          <w:caps w:val="false"/>
          <w:smallCaps w:val="false"/>
          <w:sz w:val="20"/>
        </w:rPr>
        <w:t>. The obligation of the Company to consummate the transactions to be consummated at the Closing, and to issue and sell to the Investor the Securities to be purchased by it at the Closing pursuant to this Agreement, is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Investor shall have performed or complied with in all material respects all obligations and conditions herein required to be performed or observed by the Investor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Injunction</w:t>
      </w:r>
      <w:r>
        <w:rPr>
          <w:rFonts w:ascii="Times New Roman;Times;Serif" w:hAnsi="Times New Roman;Times;Serif"/>
          <w:b w:val="false"/>
          <w:i w:val="false"/>
          <w:caps w:val="false"/>
          <w:smallCaps w:val="false"/>
          <w:sz w:val="20"/>
        </w:rPr>
        <w:t>. The purchase of and payment for the Securities by the Investor shall not be prohibited or enjoined by any law or governmental or court order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as may be agreed to among the Company and the Investor in accordance with Section 2.2,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the Investor at the Closing or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the one hand, and the Investor, on the other hand, to effect the Closing shall terminate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mutual written consent of the Company and the Investor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By the Company if any of the conditions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have become incapable of fulfillment, and shall not have been waived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By the Investor if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have become incapable of fulfillment, and shall not have been waived by the Investor;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either the Company or the Investor if the Closing has not occurred on or prior to the fifth Business Day following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In the event of termination by the Company or the Investor of its obligations to effect the Closing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the terminating party.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Public Statements or Releases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neither the Company nor the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 except as otherwise required by law or the applicable rules or regulations of any securities exchange or securities market, in which case the Company shall allow the Investor, to the extent reasonably practicable in the circumstances, reasonable time to comment on such release or announcement in advance of such issuance. Notwithstanding anything to the contrary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Investor review shall not be required for Company disclosures that are substantially consistent with prior Company disclosures.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addressed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br/>
        <w:t>Room 1311, Leighton Centre</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Leighton Road</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Causeway Bay</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br/>
        <w:t>Attention: Paul Ewing</w:t>
        <w:br/>
        <w:t>Email: paul.ewing@diginex.com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360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any Investor, at its address or e-mail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address as subsequently modified by written notice given in accordance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New York without regard to choice of laws or conflicts of laws provisions thereof that would require the application of the laws of any other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Investor hereby irrevocably and unconditionally: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at such other address of which the other party shall have been notified pursuant thereto, provided that the Company has irrevocably appointed [●] which currently maintains a New York City office at [●], United States of America, as its agent to receive service of process or other legal summons for purposes of any such suit, action or proceeding that may be instituted in any state or federal court in the Borough of Manhattan, City of New York in the State of New York;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agrees that to the extent that such party has or hereafter may acquire any immunity (whether on the basis of sovereignty or otherwise) from jurisdiction of any court or from any legal process with respect to itself or its property, such party hereby irrevocably waives such immunity in respect of its obligations under this Agreement, to the extent permitted by law including, without limitation, any immunity pursuant to the United States Foreign Sovereign Immunities Act of 1976, as amended;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irrevocably and unconditionally waives trial by jury in any legal action or proceeding in relation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the Investor, and (y) the Investor, in the case of the Company, provided that the Investor may, without the prior consent of the Company, assign its rights to purchase the Securities hereunder to any of its Affiliates or to any other investment funds or accounts managed or advised by the investment manager who acts on behalf of the Investor (provided each such assignee agrees to be bound by the terms of this Agreement and makes the same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covenants that until such time as the transactions contemplated by this Agreement and any material non-public information provided to the Investor are publicly disclosed by the Company, the Investor will maintain the confidentiality of all disclosures made to it in connection with this transaction (including the existence and terms of this transaction), other than to the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request from the Investor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with the SEC as exhibit to a periodic report or a registration statement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Independent Nature of Investor’s Obligations and Right.</w:t>
      </w:r>
      <w:r>
        <w:rPr>
          <w:rFonts w:ascii="Times New Roman;Times;Serif" w:hAnsi="Times New Roman;Times;Serif"/>
          <w:b w:val="false"/>
          <w:i w:val="false"/>
          <w:caps w:val="false"/>
          <w:smallCaps w:val="false"/>
          <w:sz w:val="20"/>
        </w:rPr>
        <w:t xml:space="preserve"> The Company acknowledges and the Investor confirms that it has independently participated in the negotiation of the transaction contemplated hereby with the advice of its own counsel and advisors. The Investor also acknowledges that Gibson, Dunn &amp; Crutcher LLP has not rendered legal advice to the Investor. The Investor shall be entitled to protect and enforce its rights, including, without limitation, the rights arising out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other Transaction Agreements (including all schedules and exhibits hereto and thereto), together with any side letter agreements with the Investor,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 Notwithstanding the foregoing, this Agreement may not be amended and the observance of any term of this Agreement may not be waived without the written consent of the Investor. The Company, on the one hand, and the Investor, on the other hand, may by an instrument signed in writing by such parties waive the performance, compliance or satisfaction by the Investor or the Company, respectively, with any term or provision of this Agreement or any condition hereto to be performed, complied with or satisfied by the Investor or the Company,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covenants, representations and warranties made by each party hereto contained in this Agreement shall survive the Closing and the delivery of the Securities in accordance with their respective terms. The Investor shall be responsible only for its own representations, warranties, agreements and covenants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xml:space="preserve"> This Agreement is the joint product of the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Arm’s Length Negotiations</w:t>
      </w:r>
      <w:r>
        <w:rPr>
          <w:rFonts w:ascii="Times New Roman;Times;Serif" w:hAnsi="Times New Roman;Times;Serif"/>
          <w:b w:val="false"/>
          <w:i w:val="false"/>
          <w:caps w:val="false"/>
          <w:smallCaps w:val="false"/>
          <w:sz w:val="20"/>
        </w:rPr>
        <w:t>. For the avoidance of doubt, the parties acknowledge and confirm that the terms and conditions of the Securities were determined as a result of arm’s-length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references to currency herein shall be deemed to refer to United States Dollars.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bl>
      <w:tblPr>
        <w:tblW w:w="5860" w:type="dxa"/>
        <w:jc w:val="left"/>
        <w:tblInd w:w="0" w:type="dxa"/>
        <w:tblLayout w:type="fixed"/>
        <w:tblCellMar>
          <w:top w:w="0" w:type="dxa"/>
          <w:left w:w="0" w:type="dxa"/>
          <w:bottom w:w="0" w:type="dxa"/>
          <w:right w:w="0" w:type="dxa"/>
        </w:tblCellMar>
      </w:tblPr>
      <w:tblGrid>
        <w:gridCol w:w="3290"/>
        <w:gridCol w:w="545"/>
        <w:gridCol w:w="2025"/>
      </w:tblGrid>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2025" w:type="dxa"/>
            <w:tcBorders/>
            <w:vAlign w:val="center"/>
          </w:tcPr>
          <w:p>
            <w:pPr>
              <w:pStyle w:val="TableContents"/>
              <w:bidi w:val="0"/>
              <w:spacing w:before="0" w:after="283"/>
              <w:jc w:val="right"/>
              <w:rPr>
                <w:caps w:val="false"/>
                <w:smallCaps w:val="false"/>
              </w:rPr>
            </w:pPr>
            <w:r>
              <w:rPr>
                <w:caps w:val="false"/>
                <w:smallCaps w:val="false"/>
              </w:rPr>
              <w:t> </w:t>
            </w:r>
            <w:r>
              <w:rPr>
                <w:caps w:val="false"/>
                <w:smallCaps w:val="false"/>
              </w:rPr>
              <w:drawing>
                <wp:inline distT="0" distB="0" distL="0" distR="0">
                  <wp:extent cx="4191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 cy="409575"/>
                          </a:xfrm>
                          <a:prstGeom prst="rect">
                            <a:avLst/>
                          </a:prstGeom>
                        </pic:spPr>
                      </pic:pic>
                    </a:graphicData>
                  </a:graphic>
                </wp:inline>
              </w:drawing>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MILES PELHAM</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2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2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76350"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733425"/>
                          </a:xfrm>
                          <a:prstGeom prst="rect">
                            <a:avLst/>
                          </a:prstGeom>
                        </pic:spPr>
                      </pic:pic>
                    </a:graphicData>
                  </a:graphic>
                </wp:inline>
              </w:drawing>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July 2026</w:t>
            </w:r>
          </w:p>
        </w:tc>
      </w:tr>
    </w:tbl>
    <w:p>
      <w:pPr>
        <w:pStyle w:val="TextBody"/>
        <w:bidi w:val="0"/>
        <w:spacing w:before="0" w:after="283"/>
        <w:jc w:val="left"/>
        <w:rPr/>
      </w:pPr>
      <w:r>
        <w:rPr/>
        <w:t> </w:t>
      </w:r>
    </w:p>
    <w:tbl>
      <w:tblPr>
        <w:tblW w:w="3650" w:type="dxa"/>
        <w:jc w:val="left"/>
        <w:tblInd w:w="0" w:type="dxa"/>
        <w:tblLayout w:type="fixed"/>
        <w:tblCellMar>
          <w:top w:w="0" w:type="dxa"/>
          <w:left w:w="0" w:type="dxa"/>
          <w:bottom w:w="0" w:type="dxa"/>
          <w:right w:w="0" w:type="dxa"/>
        </w:tblCellMar>
      </w:tblPr>
      <w:tblGrid>
        <w:gridCol w:w="1250"/>
        <w:gridCol w:w="2325"/>
        <w:gridCol w:w="75"/>
      </w:tblGrid>
      <w:tr>
        <w:trPr/>
        <w:tc>
          <w:tcPr>
            <w:tcW w:w="357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2325" w:type="dxa"/>
            <w:tcBorders/>
            <w:vAlign w:val="center"/>
          </w:tcPr>
          <w:p>
            <w:pPr>
              <w:pStyle w:val="TableContents"/>
              <w:bidi w:val="0"/>
              <w:spacing w:before="0" w:after="283"/>
              <w:jc w:val="left"/>
              <w:rPr>
                <w:caps w:val="false"/>
                <w:smallCaps w:val="false"/>
              </w:rPr>
            </w:pPr>
            <w:r>
              <w:rPr>
                <w:caps w:val="false"/>
                <w:smallCaps w:val="false"/>
              </w:rPr>
              <w:t> </w:t>
            </w:r>
            <w:r>
              <w:rPr>
                <w:caps w:val="false"/>
                <w:smallCaps w:val="false"/>
              </w:rPr>
              <w:drawing>
                <wp:inline distT="0" distB="0" distL="0" distR="0">
                  <wp:extent cx="1438275"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38275" cy="647700"/>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2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Lorenzo Romano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Title:</w:t>
            </w:r>
          </w:p>
        </w:tc>
        <w:tc>
          <w:tcPr>
            <w:tcW w:w="2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Chairman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725"/>
        <w:gridCol w:w="177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rFonts w:ascii="Times New Roman;Times;Serif" w:hAnsi="Times New Roman;Times;Serif"/>
                <w:b/>
                <w:sz w:val="20"/>
              </w:rPr>
              <w:t>[Redacted]</w:t>
            </w:r>
            <w:r>
              <w:rPr/>
              <w:t xml:space="preserve">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[Redacted]</w:t>
            </w:r>
            <w:r>
              <w:rPr>
                <w:rFonts w:ascii="Times New Roman;Times;Serif" w:hAnsi="Times New Roman;Times;Serif"/>
                <w:b w:val="false"/>
                <w:i w:val="false"/>
                <w:caps w:val="false"/>
                <w:smallCaps w:val="false"/>
                <w:sz w:val="20"/>
              </w:rPr>
              <w:t xml:space="preserve">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INVESTOR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43"/>
        <w:gridCol w:w="60"/>
        <w:gridCol w:w="60"/>
        <w:gridCol w:w="950"/>
        <w:gridCol w:w="60"/>
        <w:gridCol w:w="60"/>
        <w:gridCol w:w="1789"/>
        <w:gridCol w:w="60"/>
        <w:gridCol w:w="208"/>
        <w:gridCol w:w="3302"/>
        <w:gridCol w:w="208"/>
        <w:gridCol w:w="60"/>
        <w:gridCol w:w="232"/>
        <w:gridCol w:w="1769"/>
        <w:gridCol w:w="144"/>
      </w:tblGrid>
      <w:tr>
        <w:trPr/>
        <w:tc>
          <w:tcPr>
            <w:tcW w:w="124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Investor Name</w:t>
            </w:r>
          </w:p>
        </w:tc>
        <w:tc>
          <w:tcPr>
            <w:tcW w:w="60" w:type="dxa"/>
            <w:tcBorders/>
            <w:tcMar>
              <w:bottom w:w="0" w:type="dxa"/>
            </w:tcMar>
            <w:vAlign w:val="center"/>
          </w:tcPr>
          <w:p>
            <w:pPr>
              <w:pStyle w:val="TableContents"/>
              <w:bidi w:val="0"/>
              <w:spacing w:before="0" w:after="283"/>
              <w:jc w:val="left"/>
              <w:rPr/>
            </w:pPr>
            <w:r>
              <w:rPr/>
              <w:t> </w:t>
            </w:r>
          </w:p>
        </w:tc>
        <w:tc>
          <w:tcPr>
            <w:tcW w:w="107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tcMar>
              <w:bottom w:w="0" w:type="dxa"/>
            </w:tcMar>
            <w:vAlign w:val="center"/>
          </w:tcPr>
          <w:p>
            <w:pPr>
              <w:pStyle w:val="TableContents"/>
              <w:bidi w:val="0"/>
              <w:spacing w:before="0" w:after="283"/>
              <w:jc w:val="left"/>
              <w:rPr/>
            </w:pPr>
            <w:r>
              <w:rPr/>
              <w:t> </w:t>
            </w:r>
          </w:p>
        </w:tc>
        <w:tc>
          <w:tcPr>
            <w:tcW w:w="17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Purchase Price</w:t>
            </w:r>
          </w:p>
        </w:tc>
        <w:tc>
          <w:tcPr>
            <w:tcW w:w="60" w:type="dxa"/>
            <w:tcBorders/>
            <w:tcMar>
              <w:bottom w:w="0" w:type="dxa"/>
            </w:tcMar>
            <w:vAlign w:val="center"/>
          </w:tcPr>
          <w:p>
            <w:pPr>
              <w:pStyle w:val="TableContents"/>
              <w:bidi w:val="0"/>
              <w:spacing w:before="0" w:after="283"/>
              <w:jc w:val="left"/>
              <w:rPr/>
            </w:pPr>
            <w:r>
              <w:rPr/>
              <w:t> </w:t>
            </w:r>
          </w:p>
        </w:tc>
        <w:tc>
          <w:tcPr>
            <w:tcW w:w="3718"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 Shares (Underlying Ordinary Shares)</w:t>
            </w:r>
          </w:p>
        </w:tc>
        <w:tc>
          <w:tcPr>
            <w:tcW w:w="60" w:type="dxa"/>
            <w:tcBorders/>
            <w:tcMar>
              <w:bottom w:w="0" w:type="dxa"/>
            </w:tcMar>
            <w:vAlign w:val="center"/>
          </w:tcPr>
          <w:p>
            <w:pPr>
              <w:pStyle w:val="TableContents"/>
              <w:bidi w:val="0"/>
              <w:spacing w:before="0" w:after="283"/>
              <w:jc w:val="left"/>
              <w:rPr/>
            </w:pPr>
            <w:r>
              <w:rPr/>
              <w:t> </w:t>
            </w:r>
          </w:p>
        </w:tc>
        <w:tc>
          <w:tcPr>
            <w:tcW w:w="2145"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 Purchase Price</w:t>
            </w:r>
          </w:p>
        </w:tc>
      </w:tr>
      <w:tr>
        <w:trPr/>
        <w:tc>
          <w:tcPr>
            <w:tcW w:w="12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330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144" w:type="dxa"/>
            <w:tcBorders/>
            <w:shd w:fill="CCEEFF" w:val="clear"/>
            <w:tcMar>
              <w:bottom w:w="0" w:type="dxa"/>
            </w:tcMar>
            <w:vAlign w:val="center"/>
          </w:tcPr>
          <w:p>
            <w:pPr>
              <w:pStyle w:val="TableContents"/>
              <w:bidi w:val="0"/>
              <w:spacing w:before="0" w:after="283"/>
              <w:jc w:val="left"/>
              <w:rPr/>
            </w:pPr>
            <w:r>
              <w:rPr/>
              <w:t> </w:t>
            </w:r>
          </w:p>
        </w:tc>
      </w:tr>
      <w:tr>
        <w:trPr/>
        <w:tc>
          <w:tcPr>
            <w:tcW w:w="1243"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330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2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14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PAYMENT SCHEDULE</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28" w:type="dxa"/>
          <w:right w:w="0" w:type="dxa"/>
        </w:tblCellMar>
      </w:tblPr>
      <w:tblGrid>
        <w:gridCol w:w="2690"/>
        <w:gridCol w:w="60"/>
        <w:gridCol w:w="1280"/>
      </w:tblGrid>
      <w:tr>
        <w:trPr/>
        <w:tc>
          <w:tcPr>
            <w:tcW w:w="26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30 July 2026</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1,000,000</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16 October 2026</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1,000,000</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20 November 2026</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1,500,000</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18 December 2026</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1,500,000</w:t>
            </w:r>
          </w:p>
        </w:tc>
      </w:tr>
      <w:tr>
        <w:trPr/>
        <w:tc>
          <w:tcPr>
            <w:tcW w:w="26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31 March 2027</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5,000,000</w:t>
            </w:r>
          </w:p>
        </w:tc>
      </w:tr>
    </w:tbl>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 w:name="ex10-2.htm"/>
      <w:bookmarkStart w:id="5" w:name="ksex10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dated as of July 20, 2026, between </w:t>
      </w: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entity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are executing and delivering this Agreement in reliance upon the exemption from securities registration afforded by Section 4(a)(2) of the Securities Act and Rule 506 of Regulation D promulgated under the Securities Act and/or Regulation 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sell to the Investor, and the Investor desires to purchase from the Company, upon the terms and subject to the conditions stated in this Agreement, (A)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par value USD 0.0004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and (B) warrant,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to purchase Ordinary Shares of the Company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together with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have agreed that the aggregate purchase price payable by the Investor for the Shares shall be $5,000,000, calculated based on a purchase price per Share of USD1.00 and that the Warrant shall be issued to the Investor on a one-for-one basis with the number of Shares purchased;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sale of the Securities, the Company has agreed, pursuant to this Agreement, to provide certain customary registration rights with respect to the Securities, as set forth herein and subject to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representations, warranties and covenants herein contained, the Company and the Investor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intermediates,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Sections ‎3.25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Fundamental Representations” </w:t>
      </w:r>
      <w:r>
        <w:rPr>
          <w:rFonts w:ascii="Times New Roman;Times;Serif" w:hAnsi="Times New Roman;Times;Serif"/>
          <w:b w:val="false"/>
          <w:i w:val="false"/>
          <w:caps w:val="false"/>
          <w:smallCaps w:val="false"/>
          <w:sz w:val="20"/>
        </w:rPr>
        <w:t xml:space="preserve">means the representations and warranties made by the Company in </w:t>
      </w:r>
      <w:r>
        <w:rPr>
          <w:rFonts w:ascii="Times New Roman;Times;Serif" w:hAnsi="Times New Roman;Times;Serif"/>
          <w:b w:val="false"/>
          <w:i w:val="false"/>
          <w:caps w:val="false"/>
          <w:smallCaps w:val="false"/>
          <w:sz w:val="20"/>
          <w:u w:val="single"/>
        </w:rPr>
        <w:t>Sections 3.1 (Organization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 (Capitalization)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 (Valid Issuance)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3.6 (No Conflict)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3.7 (Consents)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 (SEC Filings; Financial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3.18 (Trading Markets)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3.20 (Price Stabilization of Ordinary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3.21 (Investment Company Act; Not a Passive Foreign Investment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3.22 (General Solicitation; No Integration or Aggregation)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3.23 (Brokers and Finders)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3.24 (Reliance by the Investor)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3.25 (No Disqualification Events)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3.26 (Other Covered Persons)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3.27 (No Additional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3.32 (Submission to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3.33 (Enforceability of Judgments).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Indemnified Person” </w:t>
      </w:r>
      <w:r>
        <w:rPr>
          <w:rFonts w:ascii="Times New Roman;Times;Serif" w:hAnsi="Times New Roman;Times;Serif"/>
          <w:b w:val="false"/>
          <w:i w:val="false"/>
          <w:caps w:val="false"/>
          <w:smallCaps w:val="false"/>
          <w:sz w:val="20"/>
        </w:rPr>
        <w:t xml:space="preserve">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event, circumstance, development, condition, occurrence or effect that, individually or in the aggregate, (a) was, is, or would reasonably be expected to be, materially adverse to the business, financial condition, properties, assets, liabilities, shareholders’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Exchange</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together with any successor thereto: the NYSE American, The New York Stock Exchange, The Nasdaq Global Market, The Nasdaq Global Select Market, The Nasdaq Capital Market, Frankfurt Stock Exchange (Open Market), and Tradegate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memorandum of association, articles of association, certificate or articles of incorporation, bylaws or other organizational or charter documents of the Company, as currently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means (a) the Company’s most recently filed Annual Report on Form 20-F and (b) all Reports on Form 6-K furnished by the Company following the end of the most recent fiscal year for which an Annual Report on Form 20-F has been filed and prior to the execution of this Agreement, together in each case with any documents incorporated by reference therein or exhibits thereto.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has the meaning set forth in 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U.S.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share capital,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Frankfurt Stock Exchange (Open Market), and Tradegate Exchange and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and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with respect to the Ordinary Shares, Continental Stock Transfer &amp; Trust or such other financial institution that provides transfer agent services as the Company may engage from time to time.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Investor, agrees to purchase, the number of Securities, for the aggregate purchase price, set forth opposite the Investor’s name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purchase price per Share shall be USD1.00 (the “</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The aggregate purchase price payable by the Investor for the Shares shall be $5,000,000.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Warrant Shares. </w:t>
      </w:r>
      <w:r>
        <w:rPr>
          <w:rFonts w:ascii="Times New Roman;Times;Serif" w:hAnsi="Times New Roman;Times;Serif"/>
          <w:b w:val="false"/>
          <w:i w:val="false"/>
          <w:caps w:val="false"/>
          <w:smallCaps w:val="false"/>
          <w:sz w:val="20"/>
        </w:rPr>
        <w:t xml:space="preserve">On the Closing Date, the Company agrees to issue to the Investor Warrant,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to purchase the Warrant Shares. The Warrant shall have an exercise price equal to USD1.00, shall be exercisable at any time and from time to time, and shall expire on the date that is five (5) years after issuance. The Warrant Shares shall be issued to the Investor on a one-for one basis with the number of Shares purchased.</w:t>
      </w:r>
    </w:p>
    <w:p>
      <w:pPr>
        <w:pStyle w:val="TextBody"/>
        <w:bidi w:val="0"/>
        <w:spacing w:before="0" w:after="0"/>
        <w:ind w:left="0" w:right="0" w:firstLine="216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Subject to the satisfaction or waiver of the conditions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of this Agreement, the closing of the purchase and sale of the Shares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shall be 28 July 2026.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against payment to the Company of the purchase price therefore (the “</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xml:space="preserve">”) as set forth in payment schedule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by wire transfer to the Company of immediately available funds, in accordance with wire instructions provided by the Company to the Investor. On the Closing Date, the Company will cause (A) the Transfer Agent to issue the Shares in book-entry form, free and clear of all restrictive and other legends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hereof) and the Company shall provide evidence of such issuance from the Company’s Transfer Agent as soon as reasonably practical following the Closing Date to the Investor. In the event that the Closing has not occurred within three Business Days after the expected Closing Date, unless otherwise agreed by the Company and the Investor, the Company shall promptly (but no later than one Business Day thereafter) return the previously wired Aggregate Purchase Amount to the Investor by wire transfer of United States dollars in immediately available funds to the account specified by the Investor, and any book entry for the Securities shall be deemed cancelled; provided that, unless this Agreement has been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such return of funds shall not terminate this Agreement or relieve the Investor of its obligation to purchase, or the Company of its obligation to issue and sell, the Securities at the Closing.</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Except as set forth in the SEC Reports (other than as to the Fundamental Representations, which are not so qualified), the Company hereby represents and warrants to the Investor that the statements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true and correct as of the date of this Agreement and as of the Closing Date (except for the representations and warranties that speak as of a specific date, which shall be made as of such date).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The Company is an exempted company with limited liability, duly incorporated, validly existing and in good standing under the laws of Cayman Islands,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or organized, as the case may be, and validly existing and in good standing (to the extent such concept exists in such subsidiary’s home jurisdiction) under the laws of the jurisdiction of its incorporation or organization, as the case may be, and has the requisite power and authority to carry on its business as now conducted and to own or lease its properties and (ii) qualified to do business as a foreign company and in good standing (to the extent such concept exists in such jurisdiction) in each jurisdiction in which such qualification is required, except in each case as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Company’s disclosure of its authorized, issued and outstanding share capital in the SEC Reports containing such disclosure was accurate in all material respects as of the date indicated in such SEC Reports. All of the issued and outstanding Ordinary Shares have been duly authorized and validly issued and are fully paid and non-assessable, and will not be subject to any call for further capital. None of the outstanding share capital of the Company was issued in violation of any preemptive or other similar rights of any securityholder of the Company which have not been waived, and all such share capital was issued in compliance in all material respects with applicable state and federal securities law and any rights of third parties. Except as disclosed in the SEC Reports, there are no outstanding rights (including, without limitation, pre-emptive rights),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such subsidiary, any such convertible or exchangeable securities or any such rights, warrants or options; the share capital of the Company conforms in all material respects to the description thereof contained in the SEC Reports; and all the outstanding share capital or other equity interests of each subsidiary owned, directly or indirectly, by the Company have been duly and validly authorized and issued, are fully paid and non-assessable (except, in the case of any foreign subsidiary, for directors’ qualifying shares), are not subject to any call for further capital and are owned directly or indirectly by the Company, free and clear of any lien, charge, encumbrance, security interest, restriction on voting or transfer or any other claim of any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The Company hereby commits to file an F-1 resale statement to register the Shares for resale under the Securities Act within 30 business days of the Closing.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all requisite power and authority to enter into the Transaction Agreements and to carry out and perform its obligations under the terms of the Transaction Agreements, including the issuance and sale of the Shares and the issuance of Ordinary Shares issuable upon exercise of the Warrant. All action on the part of the Company, its officers, directors and shareholders necessary for the authorization of the Securities, the authorization, execution, delivery and performance of the Transaction Agreements and the consummation of the transactions contemplated herein, including the issuance and sale of the Shares and the Warrant Shares have been taken. This Agreement has been duly executed and delivered by the Company and, assuming the due authorization, execution and delivery by the Investor of this Agreement and that this Agreement constitutes the legal, valid and binding agreement of the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being purchased by the Investor hereunder have been duly and validly authorized and, upon issuance pursuant to the terms of this Agreement against full payment therefor in accordance with the terms of this Agreement and that the issuance of the Shares has been duly registered in the Company’s register of members as fully paid shares,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Ordinary Shares. The Warrant Shares have been duly and validly authorized and reserved for issuance and, upon issuance pursuant to the terms of the Warrant,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Warrant Shares shall be entitled to all rights accorded to a holder of Ordinary Shares as specified therein. Subject to the accuracy of the representations and warranties made by the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offer and sale of the Securities to the Investor is, and will be, (i) exempt from the registration and prospectus delivery requirements of the Securities Act and (ii) exempt from (or otherwise not subject to) the registration, qualification and prospectus delivery requirements of applicable securities laws of the states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Agreements by the Company, the issuance and sale of the Securities and the consummation of the other transactions contemplated by the Transaction Agreements will not (i) violate any provision of the Organizational Documents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w:t>
      </w:r>
      <w:r>
        <w:rPr>
          <w:rFonts w:ascii="Times New Roman;Times;Serif" w:hAnsi="Times New Roman;Times;Serif"/>
          <w:b w:val="false"/>
          <w:i w:val="false"/>
          <w:caps w:val="false"/>
          <w:smallCaps w:val="false"/>
          <w:sz w:val="20"/>
          <w:shd w:fill="FFFFFF" w:val="clear"/>
        </w:rPr>
        <w:t>or (iii) result in a violation of any law, rule, regulation, order, judgment, injunction, decree or other restriction of any court or governmental authority to which the Company or any of its subsidiaries is subject and the rules and regulations of any self-regulatory organization to which the Company or its securities are subject, or by which any property or asset of the Company or any of its subsidiaries is bound or affected, </w:t>
      </w:r>
      <w:r>
        <w:rPr>
          <w:rFonts w:ascii="Times New Roman;Times;Serif" w:hAnsi="Times New Roman;Times;Serif"/>
          <w:b w:val="false"/>
          <w:i w:val="false"/>
          <w:caps w:val="false"/>
          <w:smallCaps w:val="false"/>
          <w:sz w:val="20"/>
        </w:rPr>
        <w:t>except, in the case of clauses (ii) and (iii), as would not, individually or in the aggregate, be reasonably expected to have a Material Adverse Effect.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Assuming the accuracy of the representations and warranties of the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 (b) the filing of any requisite notices and/or application(s) to the Trading Markets for the issuance and sale of the Shares or the Warrant Shares and the listing of the Shares or the Warrant Shares for trading or quotation, as the case may be, thereon in the time and manner required thereby, (c) customary post-closing filings with the SEC and if required, filings pursuant to state securities laws in connection with the offer and sale of the Shares or the Warrant Shares by the Company in the manner contemplated herein, which will be filed on a timely basis, (d) the filing of the registration statement required to be filed by this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all forms, statements, certifications, reports and documents required to be filed by it with the SEC under Section 13 and 15(d) of the Exchange Act for the one year preceding the date of this Agreement.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included in the SEC Reports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International Financial Reporting Standards as issued by the International Accounting Standards Board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IFRS to be reflected in the Financial Statements, in either case, none of which, individually or in the aggregate, have had or would reasonably be expected to have a Material Adverse Effect.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Since March 31, 2026, (a) the Company has conducted its business in the ordinary course of business;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change generally affecting the economy, financial markets or political, economic or regulatory conditions in the United States, Cayman Islands or any other geographic region in which the Company conducts business,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general financial, credit or capital market conditions, including interest rates or exchange rates, or any changes therein,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that generally affects industries in which the Company and its subsidiaries conduct business,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earthquakes, hurricanes, tsunamis, tornadoes, floods, mudslides, fires or other natural disasters, weather conditions, global pandemics, and related strains, epidemic or similar health emergency, and other force majeure events in the United States, Cayman Islands or any other location,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changes in laws after the date of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arbitration, claim, investigation, charge, complaint or inquiry pending or, to the Company’s knowledge or that the Company believes is material,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Compliance with Law; Permits</w:t>
      </w:r>
      <w:r>
        <w:rPr>
          <w:rFonts w:ascii="Times New Roman;Times;Serif" w:hAnsi="Times New Roman;Times;Serif"/>
          <w:b w:val="false"/>
          <w:i w:val="false"/>
          <w:caps w:val="false"/>
          <w:smallCaps w:val="false"/>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from such federal, state, local, or foreign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The Company and its subsidiaries are in compliance with all applicable federal, state, local and foreign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April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Accounting Controls and Disclosure Controls and Procedures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IFRS, (iii) that receipts and expenditures are made only in accordance with authorizations of management and the Board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Price Stabilization of Ordinary Shares</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Ordinary Shares to facilitate the sale or resale of the Shares or the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General Solicitation; No Integration or Aggregation</w:t>
      </w:r>
      <w:r>
        <w:rPr>
          <w:rFonts w:ascii="Times New Roman;Times;Serif" w:hAnsi="Times New Roman;Times;Serif"/>
          <w:b w:val="false"/>
          <w:i w:val="false"/>
          <w:caps w:val="false"/>
          <w:smallCaps w:val="false"/>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w:t>
      </w:r>
      <w:r>
        <w:rPr>
          <w:rFonts w:ascii="Times New Roman;Times;Serif" w:hAnsi="Times New Roman;Times;Serif"/>
          <w:b w:val="false"/>
          <w:i w:val="false"/>
          <w:caps w:val="false"/>
          <w:smallCaps w:val="false"/>
          <w:sz w:val="20"/>
          <w:shd w:fill="FFFFFF" w:val="clear"/>
        </w:rPr>
        <w:t>or (ii) aggregated with prior offerings by the Company for the purposes of the rules and regulations of the Nasdaq Capital Market</w:t>
      </w:r>
      <w:r>
        <w:rPr>
          <w:rFonts w:ascii="Times New Roman;Times;Serif" w:hAnsi="Times New Roman;Times;Serif"/>
          <w:b w:val="false"/>
          <w:i w:val="false"/>
          <w:caps w:val="false"/>
          <w:smallCaps w:val="false"/>
          <w:sz w:val="20"/>
        </w:rPr>
        <w:t xml:space="preserve">. Assuming the accuracy of the representations and warranties of the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With respect to those Securities sold in reliance upon Regulation S, (x) none of the Company, its Affiliates or any person acting on its or their behalf has engaged in any directed selling efforts within the meaning of Regulation S and (y) each of the Company and its Affiliates and any person acting on its or their behalf has complied with the offering restrictions set forth in Regulation 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Reliance by the Investor</w:t>
      </w:r>
      <w:r>
        <w:rPr>
          <w:rFonts w:ascii="Times New Roman;Times;Serif" w:hAnsi="Times New Roman;Times;Serif"/>
          <w:b w:val="false"/>
          <w:i w:val="false"/>
          <w:caps w:val="false"/>
          <w:smallCaps w:val="false"/>
          <w:sz w:val="20"/>
        </w:rPr>
        <w:t xml:space="preserve">. The Company has a reasonable basis for making each of the representations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acknowledges that each of the Investor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There are no agreements or understandings between the Company and the Investor with respect to the transactions contemplated by the Transaction Agreements other than (i) as specified in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Anti-Bribery and Anti-Money Laundering Laws</w:t>
      </w:r>
      <w:r>
        <w:rPr>
          <w:rFonts w:ascii="Times New Roman;Times;Serif" w:hAnsi="Times New Roman;Times;Serif"/>
          <w:b w:val="false"/>
          <w:i w:val="false"/>
          <w:caps w:val="false"/>
          <w:smallCaps w:val="false"/>
          <w:sz w:val="20"/>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and (iii)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of Personal Data, including without limitation HIPAA, the EU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shareholders, customers or suppliers of the Company, on the other hand, that is required to be described in the SEC Reports that is not so described.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Company has the power to submit, and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of this Agreement, has legally, validly, effectively and irrevocably submitted, to the personal jurisdiction of each United States federal court and New York state court located in the Borough of Manhattan, City of New York in the State of New York, U.S.A. (each, a “</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and the Company has the power to designate, appoint and authorize, and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of this Agreement, has legally, validly, effectively and irrevocably designated, appointed and authorized an agent for service of process in any action arising out of or relating to this Agreement or the Securities in any New York Court, and service of process effected on such authorized agent will be effective to confer valid personal jurisdiction over the Company as provided in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shd w:fill="FFFFFF" w:val="clear"/>
        </w:rPr>
        <w:t>Enforceability of Judgments</w:t>
      </w:r>
      <w:r>
        <w:rPr>
          <w:rFonts w:ascii="Times New Roman;Times;Serif" w:hAnsi="Times New Roman;Times;Serif"/>
          <w:b w:val="false"/>
          <w:i w:val="false"/>
          <w:caps w:val="false"/>
          <w:smallCaps w:val="false"/>
          <w:sz w:val="20"/>
          <w:shd w:fill="FFFFFF" w:val="clear"/>
        </w:rPr>
        <w:t>. Any final judgment for a fixed or readily calculable sum of money rendered by a New York Court having jurisdiction under its own domestic laws and recognized by Cayman Islands courts as having jurisdiction (according to Cayman Islands conflicts of laws principles and rules of Cayman Islands private international law at the time when proceedings were initiated) to give such final judgment in respect of any suit, action or proceeding against the Company based upon this Agreement and any instruments or agreements entered into for the consummation of the transactions contemplated herein would be declared enforceable against the Company, without re-examination or review of the merits of the cause of action in respect of which the original judgment was given or re-litigation of the matters adjudicated upon, by the courts of Cayman Islands.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Investor</w:t>
      </w:r>
      <w:r>
        <w:rPr>
          <w:rFonts w:ascii="Times New Roman;Times;Serif" w:hAnsi="Times New Roman;Times;Serif"/>
          <w:b w:val="false"/>
          <w:i w:val="false"/>
          <w:caps w:val="false"/>
          <w:smallCaps w:val="false"/>
          <w:sz w:val="20"/>
        </w:rPr>
        <w:t xml:space="preserve">. The Investor, represents and warrants to the Company that the statements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and correct as of the date of this Agreement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the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the Investor of the Transaction Agreements to which the Investor is a party has been duly authorized and each has been duly executed. Assuming this Agreement constitutes the legal and binding agreement of the Company, this Agreement constitutes a legal, valid and binding obligation of the Investor, enforceable against the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the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the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xml:space="preserve">. The Investor’s residence (if an individual) or offices in which its investment decision with respect to the Securities was made (if an entity) are located at the address immediately below the Investor’s name on </w:t>
      </w:r>
      <w:r>
        <w:rPr>
          <w:rFonts w:ascii="Times New Roman;Times;Serif" w:hAnsi="Times New Roman;Times;Serif"/>
          <w:b w:val="false"/>
          <w:i w:val="false"/>
          <w:caps w:val="false"/>
          <w:smallCaps w:val="false"/>
          <w:sz w:val="20"/>
          <w:u w:val="single"/>
        </w:rPr>
        <w:t>the pertinent signature page of this Agreement</w:t>
      </w:r>
      <w:r>
        <w:rPr>
          <w:rFonts w:ascii="Times New Roman;Times;Serif" w:hAnsi="Times New Roman;Times;Serif"/>
          <w:b w:val="false"/>
          <w:i w:val="false"/>
          <w:caps w:val="false"/>
          <w:smallCaps w:val="false"/>
          <w:sz w:val="20"/>
        </w:rPr>
        <w:t>, except as otherwise communicated by the Investor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The Investor (I) is acquiring the Securities outside the United States in an offshore transaction meeting the 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(IV) was outside the United States at the time of the origination of contact concerning the transactions contemplated by this Agreement and on the date of execution and delivery of this Agreement by the Investor; (V) is not acquiring the Securities in a transaction or part of series of transactions that, although in technical compliance with Regulation S, is part of a plan or scheme to evade the registration provisions of the Securities Act; (VI) is neither a U.S. Person nor a Distributor (in each case, as defined in Rule 902 of Regulation S) and (VII) is the sole beneficial owner of the Securities specified on signature pages hereto and has not pre-arranged any sale with a purchaser in the United States.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available exemption from the registration requirements thereof. The Investor further acknowledges that resales may be made only in compliance with such exemptions including, where applicable, the provisions of Regulation S, or Rule 144 under the Securities Act (or any successor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Investment Experience; Ability to Protect Its Own Interests and Bear Economic Risks</w:t>
      </w:r>
      <w:r>
        <w:rPr>
          <w:rFonts w:ascii="Times New Roman;Times;Serif" w:hAnsi="Times New Roman;Times;Serif"/>
          <w:b w:val="false"/>
          <w:i w:val="false"/>
          <w:caps w:val="false"/>
          <w:smallCaps w:val="false"/>
          <w:sz w:val="20"/>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the Investor’s sole discretion, has deemed necessary or appropriate in connection with its purchase of the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Securities Not Registered; Legends</w:t>
      </w:r>
      <w:r>
        <w:rPr>
          <w:rFonts w:ascii="Times New Roman;Times;Serif" w:hAnsi="Times New Roman;Times;Serif"/>
          <w:b w:val="false"/>
          <w:i w:val="false"/>
          <w:caps w:val="false"/>
          <w:smallCaps w:val="false"/>
          <w:sz w:val="20"/>
        </w:rPr>
        <w:t>. The Investor acknowledges and agrees that the Securities are being offered in a transaction not involving any public offering within the meaning of the Securities Act, and the Investor understands that the Securities have not been, and will not be,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or Regulation S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any certificates or book entry notations evidencing the Securities may bear one or more legends in substantially the following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AND IN ACCORDANCE WITH APPLICABLE STATE SECURITIES LAWS,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PRIOR TO THE REGISTRATION OF ANY PERMITTED TRANSFER IN ACCORDANCE WITH THE ABOVE, THE COMPANY RESERVES THE RIGHT TO REQUIRE THE DELIVERY OF SUCH LEGAL OPINIONS AND OR CERTIFICATIONS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contain a legend regarding affiliate status of the Investor,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acknowledges and agrees that the Investor is purchasing the Securities directly from the Company. Investor became aware of this offering of the Securities solely by means of direct contact directly from the Company as a result of a pre-existing, substantive relationship with the Company, and/or its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and/or its representatives. The Investor did not become aware of this offering of the Securities, nor were the Securities offered to Investor, by any other means, and the Company, and/or its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 making its decision to purchase the Securities, the Investor has relied solely upon independent investigation made by the Investor, upon the SEC Reports and upon the representations, warranties and covenants set forth herein.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Trading Activities</w:t>
      </w:r>
      <w:r>
        <w:rPr>
          <w:rFonts w:ascii="Times New Roman;Times;Serif" w:hAnsi="Times New Roman;Times;Serif"/>
          <w:b w:val="false"/>
          <w:i w:val="false"/>
          <w:caps w:val="false"/>
          <w:smallCaps w:val="false"/>
          <w:sz w:val="20"/>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the Investor’s assets and the portfolio managers have no direct knowledge of the investment decisions made by the portfolio managers managing other portions of the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the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To the extent the Investor is one of the covered persons identified in Rule 506(d)(1), the Investor represents that no disqualifying event described in Rule 506(d)(1)(i-viii) of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means a person or entity that is a beneficial owner of the Investor’s securities for purposes of Rule 506(d)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are no longer accurate.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commercially reasonable efforts to maintain the listing and trading of its Ordinary Shares on the Nasdaq Capital Market and, in accordance therewith, will use reasonable best efforts to comply in all material respects with the Company’s reporting, filing and other obligations under the rules and regulations of Nasdaq.</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Transactions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by 9:00 a.m., New York City time, on the first (1st) Business Day immediately following the Closing of this Agreement, issue a press release and/or file with the SEC a Report on Form 6-K (including, if applicable, all exhibits thereto,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disclosing (i) all material terms of the transactions contemplated hereby and by the other Transaction Agreements and, if the Disclosure Document is a Report on Form 6-K, attaching this Agreement and the other Transaction Documents as exhibits to such Disclosure Document, and (ii) any other material non-public information concerning the Company disclosed to the Investor. Following the issuance or filing of the Disclosure Document, the Investor shall not be in possession of any material non-public information concerning the Company disclosed to the Investor by the Company or its representatives. In addition, unless it has already done so by filing the Disclosure Document, on or before the fourth (4th) Business Day following the date of this Agreement, the Company shall file with the SEC a Report on Form 6-K disclosing all material terms of the transactions contemplated by this Agreement. Notwithstanding anything in this Agreement to the contrary, the Company shall not publicly disclose the name of the Investor or any of its Affiliates or advisors, or include the name of the Investor or any of its Affiliates or advisors in any press release or filing with the SEC (other than any registration statement contemplated by this Agreement or any regulatory agency, without the prior written consent of the Investor, except (i) as required by the federal securities law in connection with (A) any registration statement contemplated by this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Integration; Regulation S Compliance</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 or that will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With respect to those Securities sold in reliance upon Regulation S, (i) none of the Company, its Affiliates or any person acting on its or their behalf will engage in any directed selling efforts within the meaning of Regulation S and (ii) each of the Company and its Affiliates and any person acting on its or their behalf will comply with the offering restrictions set forth in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sale, assignment, transfer or other disposition of the Securities by an Investor pursuant to Rule 144 or pursuant to any other exemption under the Securities Act such that the purchaser acquires freely tradable securities and upon compliance by the Investor with the requirements of this Agreement, if requested by the Investor by notice to the Company, the Company shall request the Transfer Agent to remove any restrictive legends related to the book entry account holding such securities and make a new, unlegended entry for such book entry securities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Securities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and as soon as reasonably practicable following any request therefor from the Investor accompanied by such customary and reasonably acceptable documentation referred to above, (A) deliver to the Transfer Agent irrevocable instructions that the Transfer Agent shall make a new, unlegended entry for such book entry securities,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Tax Indemnity</w:t>
      </w:r>
      <w:r>
        <w:rPr>
          <w:rFonts w:ascii="Times New Roman;Times;Serif" w:hAnsi="Times New Roman;Times;Serif"/>
          <w:b w:val="false"/>
          <w:i w:val="false"/>
          <w:caps w:val="false"/>
          <w:smallCaps w:val="false"/>
          <w:sz w:val="20"/>
        </w:rPr>
        <w:t>. The Company will indemnify and hold harmless the Investor against any Transfer Taxes (including any interest and penalties) payable in Cayman Islands by the Investor in connection with the sale and delivery of the Shares to or for the account of the Investor in the manner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The Company will not take any action, enter into any agreement or make any commitment that would conflict or interfere in any material respect with the Company’s obligations to the Investor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the Investor and its Affiliates, and their respective directors, officers, trustees, members, managers, employees, investment advisors and agents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for all such amounts as they are incurred by such Person solely to the extent such amounts have been finally judicially determined not to </w:t>
      </w:r>
      <w:r>
        <w:rPr>
          <w:rFonts w:ascii="Times New Roman;Times;Serif" w:hAnsi="Times New Roman;Times;Serif"/>
          <w:b w:val="false"/>
          <w:i w:val="false"/>
          <w:caps w:val="false"/>
          <w:smallCaps w:val="false"/>
          <w:sz w:val="20"/>
          <w:shd w:fill="FFFFFF" w:val="clear"/>
        </w:rPr>
        <w:t>have resulted from such Person’s fraud or willful misconduct.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xml:space="preserve"> As of the date of this Agreement, the Company has reserved and the Company shall continue to reserve and keep available at all times, free of preemptive rights, a sufficient number of Ordinary Shares for the purpose of enabling the Company to issue the Warrant Shares that are issuable upon the exercise of the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The Holder shall have customary registration rights, and the Company shall file a registration statement on Form F-1 covering the resale of the Holder’s registrable securities within 30 days after filing its annual report on Form 20-F and use commercially reasonable efforts to cause such registration statement to become effective as promptly as practicable thereafter, subject to SEC review, comments and applicable requirements.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Obligation of the Investor</w:t>
      </w:r>
      <w:r>
        <w:rPr>
          <w:rFonts w:ascii="Times New Roman;Times;Serif" w:hAnsi="Times New Roman;Times;Serif"/>
          <w:b w:val="false"/>
          <w:i w:val="false"/>
          <w:caps w:val="false"/>
          <w:smallCaps w:val="false"/>
          <w:sz w:val="20"/>
        </w:rPr>
        <w:t>. The several obligations of the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in all material respects the obligations and conditions herein required to be performed or observed by the Company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The purchase of and payment for the Shares by the Investor shall not be prohibited or enjoined by any law or governmental or court order or regulation and no such prohibition shall have been threatened in writing.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have furnished all required materials to the Transfer Agent to reflect the issuance of the Securities at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of this Agreement, no event or series of events shall have occurred that has had or would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 Requirements</w:t>
      </w:r>
      <w:r>
        <w:rPr>
          <w:rFonts w:ascii="Times New Roman;Times;Serif" w:hAnsi="Times New Roman;Times;Serif"/>
          <w:b w:val="false"/>
          <w:i w:val="false"/>
          <w:caps w:val="false"/>
          <w:smallCaps w:val="false"/>
          <w:sz w:val="20"/>
        </w:rPr>
        <w:t>. The Ordinary Shares shall be listed on a National Exchange and shall not have been suspended, as of the Closing Date, by the SEC or the National Exchange from trading thereon, as of the Closing Date, in writing by the SEC or the National Exchange; and the Company shall have filed with Nasdaq a Notification Form: Listing of Additional Shares for the listing of the Shares and the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as may be agreed to among the Company and the Investor in accordance with </w:t>
      </w:r>
      <w:r>
        <w:rPr>
          <w:rFonts w:ascii="Times New Roman;Times;Serif" w:hAnsi="Times New Roman;Times;Serif"/>
          <w:b w:val="false"/>
          <w:i w:val="false"/>
          <w:caps w:val="false"/>
          <w:smallCaps w:val="false"/>
          <w:sz w:val="20"/>
          <w:u w:val="single"/>
          <w:shd w:fill="FFFFFF" w:val="clear"/>
        </w:rPr>
        <w:t>Section 2.2</w:t>
      </w:r>
      <w:r>
        <w:rPr>
          <w:rFonts w:ascii="Times New Roman;Times;Serif" w:hAnsi="Times New Roman;Times;Serif"/>
          <w:b w:val="false"/>
          <w:i w:val="false"/>
          <w:caps w:val="false"/>
          <w:smallCaps w:val="false"/>
          <w:sz w:val="20"/>
          <w:shd w:fill="FFFFFF" w:val="clear"/>
        </w:rPr>
        <w:t xml:space="preserve">,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the Investor at the Closing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the Obligation of the Company</w:t>
      </w:r>
      <w:r>
        <w:rPr>
          <w:rFonts w:ascii="Times New Roman;Times;Serif" w:hAnsi="Times New Roman;Times;Serif"/>
          <w:b w:val="false"/>
          <w:i w:val="false"/>
          <w:caps w:val="false"/>
          <w:smallCaps w:val="false"/>
          <w:sz w:val="20"/>
        </w:rPr>
        <w:t>. The obligation of the Company to consummate the transactions to be consummated at the Closing, and to issue and sell to the Investor the Securities to be purchased by it at the Closing pursuant to this Agreement, is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Investor shall have performed or complied with in all material respects all obligations and conditions herein required to be performed or observed by the Investor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Injunction</w:t>
      </w:r>
      <w:r>
        <w:rPr>
          <w:rFonts w:ascii="Times New Roman;Times;Serif" w:hAnsi="Times New Roman;Times;Serif"/>
          <w:b w:val="false"/>
          <w:i w:val="false"/>
          <w:caps w:val="false"/>
          <w:smallCaps w:val="false"/>
          <w:sz w:val="20"/>
        </w:rPr>
        <w:t>. The purchase of and payment for the Securities by the Investor shall not be prohibited or enjoined by any law or governmental or court order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as may be agreed to among the Company and the Investor in accordance with Section 2.2,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the Investor at the Closing or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the one hand, and the Investor, on the other hand, to effect the Closing shall terminate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mutual written consent of the Company and the Investor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By the Company if any of the conditions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have become incapable of fulfillment, and shall not have been waived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By the Investor if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have become incapable of fulfillment, and shall not have been waived by the Investor;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either the Company or the Investor if the Closing has not occurred on or prior to the fifth Business Day following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In the event of termination by the Company or the Investor of its obligations to effect the Closing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the terminating party.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Public Statements or Releases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neither the Company nor the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 except as otherwise required by law or the applicable rules or regulations of any securities exchange or securities market, in which case the Company shall allow the Investor, to the extent reasonably practicable in the circumstances, reasonable time to comment on such release or announcement in advance of such issuance. Notwithstanding anything to the contrary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Investor review shall not be required for Company disclosures that are substantially consistent with prior Company disclosures.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addressed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br/>
        <w:t>Room 1311, Leighton Centre</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Leighton Road</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Causeway Bay</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br/>
        <w:t>Attention: Paul Ewing</w:t>
        <w:br/>
        <w:t>Email: paul.ewing@diginex.com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360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any Investor, at its address or e-mail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address as subsequently modified by written notice given in accordance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New York without regard to choice of laws or conflicts of laws provisions thereof that would require the application of the laws of any other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Investor hereby irrevocably and unconditionally: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at such other address of which the other party shall have been notified pursuant thereto, provided that the Company has irrevocably appointed [●] which currently maintains a New York City office at [●], United States of America, as its agent to receive service of process or other legal summons for purposes of any such suit, action or proceeding that may be instituted in any state or federal court in the Borough of Manhattan, City of New York in the State of New York;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agrees that to the extent that such party has or hereafter may acquire any immunity (whether on the basis of sovereignty or otherwise) from jurisdiction of any court or from any legal process with respect to itself or its property, such party hereby irrevocably waives such immunity in respect of its obligations under this Agreement, to the extent permitted by law including, without limitation, any immunity pursuant to the United States Foreign Sovereign Immunities Act of 1976, as amended;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irrevocably and unconditionally waives trial by jury in any legal action or proceeding in relation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the Investor, and (y) the Investor, in the case of the Company, provided that the Investor may, without the prior consent of the Company, assign its rights to purchase the Securities hereunder to any of its Affiliates or to any other investment funds or accounts managed or advised by the investment manager who acts on behalf of the Investor (provided each such assignee agrees to be bound by the terms of this Agreement and makes the same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covenants that until such time as the transactions contemplated by this Agreement and any material non-public information provided to the Investor are publicly disclosed by the Company, the Investor will maintain the confidentiality of all disclosures made to it in connection with this transaction (including the existence and terms of this transaction), other than to the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request from the Investor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with the SEC as exhibit to a periodic report or a registration statement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Independent Nature of Investor’s Obligations and Right.</w:t>
      </w:r>
      <w:r>
        <w:rPr>
          <w:rFonts w:ascii="Times New Roman;Times;Serif" w:hAnsi="Times New Roman;Times;Serif"/>
          <w:b w:val="false"/>
          <w:i w:val="false"/>
          <w:caps w:val="false"/>
          <w:smallCaps w:val="false"/>
          <w:sz w:val="20"/>
        </w:rPr>
        <w:t xml:space="preserve"> The Company acknowledges and the Investor confirms that it has independently participated in the negotiation of the transaction contemplated hereby with the advice of its own counsel and advisors. The Investor also acknowledges that Gibson, Dunn &amp; Crutcher LLP has not rendered legal advice to the Investor. The Investor shall be entitled to protect and enforce its rights, including, without limitation, the rights arising out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other Transaction Agreements (including all schedules and exhibits hereto and thereto), together with any side letter agreements with the Investor,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 Notwithstanding the foregoing, this Agreement may not be amended and the observance of any term of this Agreement may not be waived without the written consent of the Investor. The Company, on the one hand, and the Investor, on the other hand, may by an instrument signed in writing by such parties waive the performance, compliance or satisfaction by the Investor or the Company, respectively, with any term or provision of this Agreement or any condition hereto to be performed, complied with or satisfied by the Investor or the Company,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covenants, representations and warranties made by each party hereto contained in this Agreement shall survive the Closing and the delivery of the Securities in accordance with their respective terms. The Investor shall be responsible only for its own representations, warranties, agreements and covenants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xml:space="preserve"> This Agreement is the joint product of the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Arm’s Length Negotiations</w:t>
      </w:r>
      <w:r>
        <w:rPr>
          <w:rFonts w:ascii="Times New Roman;Times;Serif" w:hAnsi="Times New Roman;Times;Serif"/>
          <w:b w:val="false"/>
          <w:i w:val="false"/>
          <w:caps w:val="false"/>
          <w:smallCaps w:val="false"/>
          <w:sz w:val="20"/>
        </w:rPr>
        <w:t>. For the avoidance of doubt, the parties acknowledge and confirm that the terms and conditions of the Securities were determined as a result of arm’s-length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references to currency herein shall be deemed to refer to United States Dollars.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jc w:val="center"/>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3290"/>
        <w:gridCol w:w="545"/>
        <w:gridCol w:w="1950"/>
      </w:tblGrid>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950" w:type="dxa"/>
            <w:tcBorders/>
            <w:vAlign w:val="center"/>
          </w:tcPr>
          <w:p>
            <w:pPr>
              <w:pStyle w:val="TableContents"/>
              <w:bidi w:val="0"/>
              <w:spacing w:before="0" w:after="283"/>
              <w:jc w:val="right"/>
              <w:rPr>
                <w:caps w:val="false"/>
                <w:smallCaps w:val="false"/>
              </w:rPr>
            </w:pPr>
            <w:r>
              <w:rPr>
                <w:caps w:val="false"/>
                <w:smallCaps w:val="false"/>
              </w:rPr>
              <w:t> </w:t>
            </w:r>
            <w:r>
              <w:rPr>
                <w:caps w:val="false"/>
                <w:smallCaps w:val="false"/>
              </w:rPr>
              <w:drawing>
                <wp:inline distT="0" distB="0" distL="0" distR="0">
                  <wp:extent cx="41910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9100" cy="409575"/>
                          </a:xfrm>
                          <a:prstGeom prst="rect">
                            <a:avLst/>
                          </a:prstGeom>
                        </pic:spPr>
                      </pic:pic>
                    </a:graphicData>
                  </a:graphic>
                </wp:inline>
              </w:drawing>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MILES PELHAM</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190625" cy="638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90625" cy="638175"/>
                          </a:xfrm>
                          <a:prstGeom prst="rect">
                            <a:avLst/>
                          </a:prstGeom>
                        </pic:spPr>
                      </pic:pic>
                    </a:graphicData>
                  </a:graphic>
                </wp:inline>
              </w:drawing>
            </w: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July 2026 </w:t>
            </w:r>
          </w:p>
        </w:tc>
      </w:tr>
    </w:tbl>
    <w:p>
      <w:pPr>
        <w:pStyle w:val="TextBody"/>
        <w:bidi w:val="0"/>
        <w:jc w:val="center"/>
        <w:rPr/>
      </w:pPr>
      <w:r>
        <w:rPr/>
        <w:t> </w:t>
      </w:r>
    </w:p>
    <w:tbl>
      <w:tblPr>
        <w:tblW w:w="3590" w:type="dxa"/>
        <w:jc w:val="left"/>
        <w:tblInd w:w="0" w:type="dxa"/>
        <w:tblLayout w:type="fixed"/>
        <w:tblCellMar>
          <w:top w:w="0" w:type="dxa"/>
          <w:left w:w="0" w:type="dxa"/>
          <w:bottom w:w="0" w:type="dxa"/>
          <w:right w:w="0" w:type="dxa"/>
        </w:tblCellMar>
      </w:tblPr>
      <w:tblGrid>
        <w:gridCol w:w="1250"/>
        <w:gridCol w:w="2265"/>
        <w:gridCol w:w="75"/>
      </w:tblGrid>
      <w:tr>
        <w:trPr/>
        <w:tc>
          <w:tcPr>
            <w:tcW w:w="351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38275" cy="647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38275" cy="647700"/>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2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Lorenzo Romano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Title:</w:t>
            </w:r>
          </w:p>
        </w:tc>
        <w:tc>
          <w:tcPr>
            <w:tcW w:w="2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Chairman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32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860"/>
        <w:gridCol w:w="1775"/>
      </w:tblGrid>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rFonts w:ascii="Times New Roman;Times;Serif" w:hAnsi="Times New Roman;Times;Serif"/>
                <w:b/>
                <w:sz w:val="20"/>
              </w:rPr>
              <w:t>[Redacted]</w:t>
            </w:r>
            <w:r>
              <w:rPr/>
              <w:t xml:space="preserve">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xml:space="preserve">Name: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xml:space="preserve">Title: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xml:space="preserve">Email: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[Redacted]</w:t>
            </w:r>
            <w:r>
              <w:rPr>
                <w:rFonts w:ascii="Times New Roman;Times;Serif" w:hAnsi="Times New Roman;Times;Serif"/>
                <w:b w:val="false"/>
                <w:i w:val="false"/>
                <w:caps w:val="false"/>
                <w:smallCaps w:val="false"/>
                <w:sz w:val="20"/>
              </w:rPr>
              <w:t xml:space="preserve">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INVESTOR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7"/>
        <w:gridCol w:w="60"/>
        <w:gridCol w:w="60"/>
        <w:gridCol w:w="980"/>
        <w:gridCol w:w="60"/>
        <w:gridCol w:w="60"/>
        <w:gridCol w:w="1939"/>
        <w:gridCol w:w="60"/>
        <w:gridCol w:w="190"/>
        <w:gridCol w:w="3114"/>
        <w:gridCol w:w="192"/>
        <w:gridCol w:w="60"/>
        <w:gridCol w:w="249"/>
        <w:gridCol w:w="1747"/>
        <w:gridCol w:w="137"/>
      </w:tblGrid>
      <w:tr>
        <w:trPr/>
        <w:tc>
          <w:tcPr>
            <w:tcW w:w="1297" w:type="dxa"/>
            <w:tcBorders>
              <w:bottom w:val="single" w:sz="8" w:space="0" w:color="000000"/>
            </w:tcBorders>
            <w:vAlign w:val="center"/>
          </w:tcPr>
          <w:p>
            <w:pPr>
              <w:pStyle w:val="TableContents"/>
              <w:bidi w:val="0"/>
              <w:spacing w:before="0" w:after="283"/>
              <w:jc w:val="center"/>
              <w:rPr>
                <w:b/>
              </w:rPr>
            </w:pPr>
            <w:r>
              <w:rPr>
                <w:b/>
              </w:rPr>
              <w:t>Investor Name</w:t>
            </w:r>
          </w:p>
        </w:tc>
        <w:tc>
          <w:tcPr>
            <w:tcW w:w="60" w:type="dxa"/>
            <w:tcBorders/>
            <w:tcMar>
              <w:bottom w:w="0" w:type="dxa"/>
            </w:tcMar>
            <w:vAlign w:val="center"/>
          </w:tcPr>
          <w:p>
            <w:pPr>
              <w:pStyle w:val="TableContents"/>
              <w:bidi w:val="0"/>
              <w:spacing w:before="0" w:after="283"/>
              <w:jc w:val="center"/>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Shares</w:t>
            </w:r>
          </w:p>
        </w:tc>
        <w:tc>
          <w:tcPr>
            <w:tcW w:w="60" w:type="dxa"/>
            <w:tcBorders/>
            <w:tcMar>
              <w:bottom w:w="0" w:type="dxa"/>
            </w:tcMar>
            <w:vAlign w:val="center"/>
          </w:tcPr>
          <w:p>
            <w:pPr>
              <w:pStyle w:val="TableContents"/>
              <w:bidi w:val="0"/>
              <w:spacing w:before="0" w:after="283"/>
              <w:jc w:val="center"/>
              <w:rPr/>
            </w:pPr>
            <w:r>
              <w:rPr/>
              <w:t> </w:t>
            </w:r>
          </w:p>
        </w:tc>
        <w:tc>
          <w:tcPr>
            <w:tcW w:w="1939" w:type="dxa"/>
            <w:tcBorders>
              <w:bottom w:val="single" w:sz="8" w:space="0" w:color="000000"/>
            </w:tcBorders>
            <w:vAlign w:val="center"/>
          </w:tcPr>
          <w:p>
            <w:pPr>
              <w:pStyle w:val="TableContents"/>
              <w:bidi w:val="0"/>
              <w:spacing w:before="0" w:after="283"/>
              <w:jc w:val="center"/>
              <w:rPr>
                <w:b/>
              </w:rPr>
            </w:pPr>
            <w:r>
              <w:rPr>
                <w:b/>
              </w:rPr>
              <w:t>Share Purchase Price</w:t>
            </w:r>
          </w:p>
        </w:tc>
        <w:tc>
          <w:tcPr>
            <w:tcW w:w="60" w:type="dxa"/>
            <w:tcBorders/>
            <w:tcMar>
              <w:bottom w:w="0" w:type="dxa"/>
            </w:tcMar>
            <w:vAlign w:val="center"/>
          </w:tcPr>
          <w:p>
            <w:pPr>
              <w:pStyle w:val="TableContents"/>
              <w:bidi w:val="0"/>
              <w:spacing w:before="0" w:after="283"/>
              <w:jc w:val="center"/>
              <w:rPr/>
            </w:pPr>
            <w:r>
              <w:rPr/>
              <w:t> </w:t>
            </w:r>
          </w:p>
        </w:tc>
        <w:tc>
          <w:tcPr>
            <w:tcW w:w="3496" w:type="dxa"/>
            <w:gridSpan w:val="3"/>
            <w:tcBorders>
              <w:bottom w:val="single" w:sz="8" w:space="0" w:color="000000"/>
            </w:tcBorders>
            <w:vAlign w:val="center"/>
          </w:tcPr>
          <w:p>
            <w:pPr>
              <w:pStyle w:val="TableContents"/>
              <w:bidi w:val="0"/>
              <w:spacing w:before="0" w:after="283"/>
              <w:jc w:val="center"/>
              <w:rPr>
                <w:b/>
              </w:rPr>
            </w:pPr>
            <w:r>
              <w:rPr>
                <w:b/>
              </w:rPr>
              <w:t>Warrant Shares (Underlying Ordinary Shares)</w:t>
            </w:r>
          </w:p>
        </w:tc>
        <w:tc>
          <w:tcPr>
            <w:tcW w:w="60" w:type="dxa"/>
            <w:tcBorders/>
            <w:tcMar>
              <w:bottom w:w="0" w:type="dxa"/>
            </w:tcMar>
            <w:vAlign w:val="center"/>
          </w:tcPr>
          <w:p>
            <w:pPr>
              <w:pStyle w:val="TableContents"/>
              <w:bidi w:val="0"/>
              <w:spacing w:before="0" w:after="283"/>
              <w:jc w:val="center"/>
              <w:rPr/>
            </w:pPr>
            <w:r>
              <w:rPr/>
              <w:t> </w:t>
            </w:r>
          </w:p>
        </w:tc>
        <w:tc>
          <w:tcPr>
            <w:tcW w:w="2133" w:type="dxa"/>
            <w:gridSpan w:val="3"/>
            <w:tcBorders>
              <w:bottom w:val="single" w:sz="8" w:space="0" w:color="000000"/>
            </w:tcBorders>
            <w:vAlign w:val="center"/>
          </w:tcPr>
          <w:p>
            <w:pPr>
              <w:pStyle w:val="TableContents"/>
              <w:bidi w:val="0"/>
              <w:spacing w:before="0" w:after="283"/>
              <w:jc w:val="center"/>
              <w:rPr>
                <w:b/>
              </w:rPr>
            </w:pPr>
            <w:r>
              <w:rPr>
                <w:b/>
              </w:rPr>
              <w:t>Aggregate Purchase Price</w:t>
            </w:r>
          </w:p>
        </w:tc>
      </w:tr>
      <w:tr>
        <w:trPr/>
        <w:tc>
          <w:tcPr>
            <w:tcW w:w="1297" w:type="dxa"/>
            <w:tcBorders/>
            <w:shd w:fill="CCEEFF" w:val="clear"/>
            <w:tcMar>
              <w:bottom w:w="0" w:type="dxa"/>
            </w:tcMar>
            <w:vAlign w:val="center"/>
          </w:tcPr>
          <w:p>
            <w:pPr>
              <w:pStyle w:val="TableContents"/>
              <w:bidi w:val="0"/>
              <w:spacing w:before="0" w:after="283"/>
              <w:jc w:val="left"/>
              <w:rPr>
                <w:i/>
              </w:rPr>
            </w:pPr>
            <w:r>
              <w:rPr>
                <w:rFonts w:ascii="Times New Roman;Times;Serif" w:hAnsi="Times New Roman;Times;Serif"/>
                <w:b/>
                <w:i w:val="false"/>
                <w:caps w:val="false"/>
                <w:smallCaps w:val="false"/>
                <w:sz w:val="20"/>
              </w:rPr>
              <w:t>[Redacted]</w:t>
            </w:r>
            <w:r>
              <w:rPr>
                <w:i/>
              </w:rPr>
              <w:t xml:space="preserve"> </w:t>
              <w:br/>
              <w:t xml:space="preserve">  </w:t>
              <w:br/>
              <w:t xml:space="preserve">  </w:t>
              <w:b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9" w:type="dxa"/>
            <w:tcBorders/>
            <w:shd w:fill="CCEEFF" w:val="clear"/>
            <w:tcMar>
              <w:bottom w:w="0" w:type="dxa"/>
            </w:tcMar>
            <w:vAlign w:val="center"/>
          </w:tcPr>
          <w:p>
            <w:pPr>
              <w:pStyle w:val="TableContents"/>
              <w:bidi w:val="0"/>
              <w:spacing w:before="0" w:after="283"/>
              <w:jc w:val="center"/>
              <w:rPr/>
            </w:pPr>
            <w:r>
              <w:rPr/>
              <w:t>USD5,000,000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3114" w:type="dxa"/>
            <w:tcBorders>
              <w:bottom w:val="single" w:sz="8" w:space="0" w:color="000000"/>
            </w:tcBorders>
            <w:shd w:fill="CCEEFF" w:val="clear"/>
            <w:vAlign w:val="center"/>
          </w:tcPr>
          <w:p>
            <w:pPr>
              <w:pStyle w:val="TableContents"/>
              <w:bidi w:val="0"/>
              <w:spacing w:before="0" w:after="283"/>
              <w:jc w:val="right"/>
              <w:rPr/>
            </w:pPr>
            <w:r>
              <w:rPr/>
              <w:t>5,000,000</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CCEEFF" w:val="clear"/>
            <w:vAlign w:val="center"/>
          </w:tcPr>
          <w:p>
            <w:pPr>
              <w:pStyle w:val="TableContents"/>
              <w:bidi w:val="0"/>
              <w:spacing w:before="0" w:after="283"/>
              <w:jc w:val="left"/>
              <w:rPr/>
            </w:pPr>
            <w:r>
              <w:rPr/>
              <w:t>$</w:t>
            </w:r>
          </w:p>
        </w:tc>
        <w:tc>
          <w:tcPr>
            <w:tcW w:w="1747" w:type="dxa"/>
            <w:tcBorders>
              <w:bottom w:val="single" w:sz="8" w:space="0" w:color="000000"/>
            </w:tcBorders>
            <w:shd w:fill="CCEEFF" w:val="clear"/>
            <w:vAlign w:val="center"/>
          </w:tcPr>
          <w:p>
            <w:pPr>
              <w:pStyle w:val="TableContents"/>
              <w:bidi w:val="0"/>
              <w:spacing w:before="0" w:after="283"/>
              <w:jc w:val="right"/>
              <w:rPr/>
            </w:pPr>
            <w:r>
              <w:rPr/>
              <w:t>5,000,000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297"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9" w:type="dxa"/>
            <w:tcBorders/>
            <w:shd w:fill="FFFFFF" w:val="clear"/>
            <w:tcMar>
              <w:bottom w:w="0" w:type="dxa"/>
            </w:tcMar>
            <w:vAlign w:val="center"/>
          </w:tcPr>
          <w:p>
            <w:pPr>
              <w:pStyle w:val="TableContents"/>
              <w:bidi w:val="0"/>
              <w:spacing w:before="0" w:after="283"/>
              <w:jc w:val="center"/>
              <w:rPr/>
            </w:pPr>
            <w:r>
              <w:rPr/>
              <w:t>USD5,000,000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3114" w:type="dxa"/>
            <w:tcBorders>
              <w:bottom w:val="single" w:sz="8" w:space="0" w:color="000000"/>
            </w:tcBorders>
            <w:shd w:fill="FFFFFF" w:val="clear"/>
            <w:vAlign w:val="center"/>
          </w:tcPr>
          <w:p>
            <w:pPr>
              <w:pStyle w:val="TableContents"/>
              <w:bidi w:val="0"/>
              <w:spacing w:before="0" w:after="283"/>
              <w:jc w:val="right"/>
              <w:rPr/>
            </w:pPr>
            <w:r>
              <w:rPr/>
              <w:t>5,000,000</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vAlign w:val="center"/>
          </w:tcPr>
          <w:p>
            <w:pPr>
              <w:pStyle w:val="TableContents"/>
              <w:bidi w:val="0"/>
              <w:spacing w:before="0" w:after="283"/>
              <w:jc w:val="left"/>
              <w:rPr/>
            </w:pPr>
            <w:r>
              <w:rPr/>
              <w:t>$</w:t>
            </w:r>
          </w:p>
        </w:tc>
        <w:tc>
          <w:tcPr>
            <w:tcW w:w="1747" w:type="dxa"/>
            <w:tcBorders>
              <w:bottom w:val="single" w:sz="8" w:space="0" w:color="000000"/>
            </w:tcBorders>
            <w:shd w:fill="FFFFFF" w:val="clear"/>
            <w:vAlign w:val="center"/>
          </w:tcPr>
          <w:p>
            <w:pPr>
              <w:pStyle w:val="TableContents"/>
              <w:bidi w:val="0"/>
              <w:spacing w:before="0" w:after="283"/>
              <w:jc w:val="right"/>
              <w:rPr/>
            </w:pPr>
            <w:r>
              <w:rPr/>
              <w:t>5,000,000</w:t>
            </w:r>
          </w:p>
        </w:tc>
        <w:tc>
          <w:tcPr>
            <w:tcW w:w="13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PAYMENT SCHEDULE</w:t>
      </w:r>
    </w:p>
    <w:p>
      <w:pPr>
        <w:pStyle w:val="TextBody"/>
        <w:bidi w:val="0"/>
        <w:spacing w:before="0" w:after="0"/>
        <w:jc w:val="center"/>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2480"/>
        <w:gridCol w:w="60"/>
        <w:gridCol w:w="1280"/>
      </w:tblGrid>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28 July 2026</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750,000</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31 January 2027</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4,250,000</w:t>
            </w:r>
          </w:p>
        </w:tc>
      </w:tr>
    </w:tbl>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 w:name="ex10-3.htm"/>
      <w:bookmarkStart w:id="7" w:name="ksex10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dated as of July 20, 2026, between </w:t>
      </w: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entity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are executing and delivering this Agreement in reliance upon the exemption from securities registration afforded by Section 4(a)(2) of the Securities Act and Rule 506 of Regulation D promulgated under the Securities Act and/or Regulation 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sell to the Investor, and the Investor desires to purchase from the Company, upon the terms and subject to the conditions stated in this Agreement, (A)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par value USD 0.0004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and (B) warrant,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to purchase Ordinary Shares of the Company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together with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 have agreed that the aggregate purchase price payable by the Investor for the Shares shall be $5,000,000, calculated based on a purchase price per Share of USD1.00 and that the Warrant shall be issued to the Investor on a one-for-one basis with the number of Shares purchased;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sale of the Securities, the Company has agreed, pursuant to this Agreement, to provide certain customary registration rights with respect to the Securities, as set forth herein and subject to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representations, warranties and covenants herein contained, the Company and the Investor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intermediates,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Sections ‎3.25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Fundamental Representations” </w:t>
      </w:r>
      <w:r>
        <w:rPr>
          <w:rFonts w:ascii="Times New Roman;Times;Serif" w:hAnsi="Times New Roman;Times;Serif"/>
          <w:b w:val="false"/>
          <w:i w:val="false"/>
          <w:caps w:val="false"/>
          <w:smallCaps w:val="false"/>
          <w:sz w:val="20"/>
        </w:rPr>
        <w:t xml:space="preserve">means the representations and warranties made by the Company in </w:t>
      </w:r>
      <w:r>
        <w:rPr>
          <w:rFonts w:ascii="Times New Roman;Times;Serif" w:hAnsi="Times New Roman;Times;Serif"/>
          <w:b w:val="false"/>
          <w:i w:val="false"/>
          <w:caps w:val="false"/>
          <w:smallCaps w:val="false"/>
          <w:sz w:val="20"/>
          <w:u w:val="single"/>
        </w:rPr>
        <w:t>Sections 3.1 (Organization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 (Capitalization)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 (Valid Issuance)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3.6 (No Conflict)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3.7 (Consents)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 (SEC Filings; Financial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3.18 (Trading Markets)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3.20 (Price Stabilization of Ordinary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3.21 (Investment Company Act; Not a Passive Foreign Investment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3.22 (General Solicitation; No Integration or Aggregation)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3.23 (Brokers and Finders)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3.24 (Reliance by the Investor)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3.25 (No Disqualification Events)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3.26 (Other Covered Persons)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3.27 (No Additional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3.32 (Submission to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3.33 (Enforceability of Judgments).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Indemnified Person” </w:t>
      </w:r>
      <w:r>
        <w:rPr>
          <w:rFonts w:ascii="Times New Roman;Times;Serif" w:hAnsi="Times New Roman;Times;Serif"/>
          <w:b w:val="false"/>
          <w:i w:val="false"/>
          <w:caps w:val="false"/>
          <w:smallCaps w:val="false"/>
          <w:sz w:val="20"/>
        </w:rPr>
        <w:t xml:space="preserve">has the meaning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event, circumstance, development, condition, occurrence or effect that, individually or in the aggregate, (a) was, is, or would reasonably be expected to be, materially adverse to the business, financial condition, properties, assets, liabilities, shareholders’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Exchange</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together with any successor thereto: the NYSE American, The New York Stock Exchange, The Nasdaq Global Market, The Nasdaq Global Select Market, The Nasdaq Capital Market, Frankfurt Stock Exchange (Open Market), and Tradegate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memorandum of association, articles of association, certificate or articles of incorporation, bylaws or other organizational or charter documents of the Company, as currently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means (a) the Company’s most recently filed Annual Report on Form 20-F and (b) all Reports on Form 6-K furnished by the Company following the end of the most recent fiscal year for which an Annual Report on Form 20-F has been filed and prior to the execution of this Agreement, together in each case with any documents incorporated by reference therein or exhibits thereto.</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has the meaning set forth in 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U.S.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share capital,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Frankfurt Stock Exchange (Open Market), and Tradegate Exchange and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and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with respect to the Ordinary Shares, Continental Stock Transfer &amp; Trust or such other financial institution that provides transfer agent services as the Company may engage from time to time.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Investor, agrees to purchase, the number of Securities, for the aggregate purchase price, set forth opposite the Investor’s name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purchase price per Share shall be USD1.00 (the “</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The aggregate purchase price payable by the Investor for the Shares shall be $5,000,000.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Warrant Shares. </w:t>
      </w:r>
      <w:r>
        <w:rPr>
          <w:rFonts w:ascii="Times New Roman;Times;Serif" w:hAnsi="Times New Roman;Times;Serif"/>
          <w:b w:val="false"/>
          <w:i w:val="false"/>
          <w:caps w:val="false"/>
          <w:smallCaps w:val="false"/>
          <w:sz w:val="20"/>
        </w:rPr>
        <w:t xml:space="preserve">On the Closing Date, the Company agrees to issue to the Investor Warrant,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to purchase the Warrant Shares. The Warrant shall have an exercise price equal to USD1.00, shall be exercisable at any time and from time to time, and shall expire on the date that is five (5) years after issuance. The Warrant Shares shall be issued to the Investor on a one-for one basis with the number of Shares purchased.</w:t>
      </w:r>
    </w:p>
    <w:p>
      <w:pPr>
        <w:pStyle w:val="TextBody"/>
        <w:bidi w:val="0"/>
        <w:spacing w:before="0" w:after="0"/>
        <w:ind w:left="0" w:right="0" w:firstLine="216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Subject to the satisfaction or waiver of the conditions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of this Agreement, the closing of the purchase and sale of the Shares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shall be 28 July 2026. At the Closing, the Securities shall be issued and registered in the name of the Investor, or in such nominee name(s) as designated by the Investor, representing the number of Securities to be purchased by the Investor at such Closing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against payment to the Company of the purchase price therefore (the “</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xml:space="preserve">”) as set forth in payment schedule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by wire transfer to the Company of immediately available funds, in accordance with wire instructions provided by the Company to the Investor. On the Closing Date, the Company will cause (A) the Transfer Agent to issue the Shares in book-entry form, free and clear of all restrictive and other legends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hereof) and the Company shall provide evidence of such issuance from the Company’s Transfer Agent as soon as reasonably practical following the Closing Date to the Investor. In the event that the Closing has not occurred within three Business Days after the expected Closing Date, unless otherwise agreed by the Company and the Investor, the Company shall promptly (but no later than one Business Day thereafter) return the previously wired Aggregate Purchase Amount to the Investor by wire transfer of United States dollars in immediately available funds to the account specified by the Investor, and any book entry for the Securities shall be deemed cancelled; provided that, unless this Agreement has been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such return of funds shall not terminate this Agreement or relieve the Investor of its obligation to purchase, or the Company of its obligation to issue and sell, the Securities at the Closing.</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Except as set forth in the SEC Reports (other than as to the Fundamental Representations, which are not so qualified), the Company hereby represents and warrants to the Investor that the statements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true and correct as of the date of this Agreement and as of the Closing Date (except for the representations and warranties that speak as of a specific date, which shall be made as of such date).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The Company is an exempted company with limited liability, duly incorporated, validly existing and in good standing under the laws of Cayman Islands,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or organized, as the case may be, and validly existing and in good standing (to the extent such concept exists in such subsidiary’s home jurisdiction) under the laws of the jurisdiction of its incorporation or organization, as the case may be, and has the requisite power and authority to carry on its business as now conducted and to own or lease its properties and (ii) qualified to do business as a foreign company and in good standing (to the extent such concept exists in such jurisdiction) in each jurisdiction in which such qualification is required, except in each case as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Company’s disclosure of its authorized, issued and outstanding share capital in the SEC Reports containing such disclosure was accurate in all material respects as of the date indicated in such SEC Reports. All of the issued and outstanding Ordinary Shares have been duly authorized and validly issued and are fully paid and non-assessable, and will not be subject to any call for further capital. None of the outstanding share capital of the Company was issued in violation of any preemptive or other similar rights of any securityholder of the Company which have not been waived, and all such share capital was issued in compliance in all material respects with applicable state and federal securities law and any rights of third parties. Except as disclosed in the SEC Reports, there are no outstanding rights (including, without limitation, pre-emptive rights),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such subsidiary, any such convertible or exchangeable securities or any such rights, warrants or options; the share capital of the Company conforms in all material respects to the description thereof contained in the SEC Reports; and all the outstanding share capital or other equity interests of each subsidiary owned, directly or indirectly, by the Company have been duly and validly authorized and issued, are fully paid and non-assessable (except, in the case of any foreign subsidiary, for directors’ qualifying shares), are not subject to any call for further capital and are owned directly or indirectly by the Company, free and clear of any lien, charge, encumbrance, security interest, restriction on voting or transfer or any other claim of any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The Company hereby commits to file an F-1 resale statement to register the Shares for resale under the Securities Act within 30 business days of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all requisite power and authority to enter into the Transaction Agreements and to carry out and perform its obligations under the terms of the Transaction Agreements, including the issuance and sale of the Shares and the issuance of Ordinary Shares issuable upon exercise of the Warrant. All action on the part of the Company, its officers, directors and shareholders necessary for the authorization of the Securities, the authorization, execution, delivery and performance of the Transaction Agreements and the consummation of the transactions contemplated herein, including the issuance and sale of the Shares and the Warrant Shares have been taken. This Agreement has been duly executed and delivered by the Company and, assuming the due authorization, execution and delivery by the Investor of this Agreement and that this Agreement constitutes the legal, valid and binding agreement of the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being purchased by the Investor hereunder have been duly and validly authorized and, upon issuance pursuant to the terms of this Agreement against full payment therefor in accordance with the terms of this Agreement and that the issuance of the Shares has been duly registered in the Company’s register of members as fully paid shares,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Ordinary Shares. The Warrant Shares have been duly and validly authorized and reserved for issuance and, upon issuance pursuant to the terms of the Warrant,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Warrant Shares shall be entitled to all rights accorded to a holder of Ordinary Shares as specified therein. Subject to the accuracy of the representations and warranties made by the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offer and sale of the Securities to the Investor is, and will be, (i) exempt from the registration and prospectus delivery requirements of the Securities Act and (ii) exempt from (or otherwise not subject to) the registration, qualification and prospectus delivery requirements of applicable securities laws of the states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Agreements by the Company, the issuance and sale of the Securities and the consummation of the other transactions contemplated by the Transaction Agreements will not (i) violate any provision of the Organizational Documents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w:t>
      </w:r>
      <w:r>
        <w:rPr>
          <w:rFonts w:ascii="Times New Roman;Times;Serif" w:hAnsi="Times New Roman;Times;Serif"/>
          <w:b w:val="false"/>
          <w:i w:val="false"/>
          <w:caps w:val="false"/>
          <w:smallCaps w:val="false"/>
          <w:sz w:val="20"/>
          <w:shd w:fill="FFFFFF" w:val="clear"/>
        </w:rPr>
        <w:t>or (iii) result in a violation of any law, rule, regulation, order, judgment, injunction, decree or other restriction of any court or governmental authority to which the Company or any of its subsidiaries is subject and the rules and regulations of any self-regulatory organization to which the Company or its securities are subject, or by which any property or asset of the Company or any of its subsidiaries is bound or affected, </w:t>
      </w:r>
      <w:r>
        <w:rPr>
          <w:rFonts w:ascii="Times New Roman;Times;Serif" w:hAnsi="Times New Roman;Times;Serif"/>
          <w:b w:val="false"/>
          <w:i w:val="false"/>
          <w:caps w:val="false"/>
          <w:smallCaps w:val="false"/>
          <w:sz w:val="20"/>
        </w:rPr>
        <w:t>except, in the case of clauses (ii) and (iii), as would not, individually or in the aggregate, be reasonably expected to have a Material Adverse Effect.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Assuming the accuracy of the representations and warranties of the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 (b) the filing of any requisite notices and/or application(s) to the Trading Markets for the issuance and sale of the Shares or the Warrant Shares and the listing of the Shares or the Warrant Shares for trading or quotation, as the case may be, thereon in the time and manner required thereby, (c) customary post-closing filings with the SEC and if required, filings pursuant to state securities laws in connection with the offer and sale of the Shares or the Warrant Shares by the Company in the manner contemplated herein, which will be filed on a timely basis, (d) the filing of the registration statement required to be filed by this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all forms, statements, certifications, reports and documents required to be filed by it with the SEC under Section 13 and 15(d) of the Exchange Act for the one year preceding the date of this Agreement.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included in the SEC Reports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International Financial Reporting Standards as issued by the International Accounting Standards Board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IFRS to be reflected in the Financial Statements, in either case, none of which, individually or in the aggregate, have had or would reasonably be expected to have a Material Adverse Effect.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Since March 31, 2026, (a) the Company has conducted its business in the ordinary course of business;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change generally affecting the economy, financial markets or political, economic or regulatory conditions in the United States, Cayman Islands or any other geographic region in which the Company conducts business,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general financial, credit or capital market conditions, including interest rates or exchange rates, or any changes therein,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that generally affects industries in which the Company and its subsidiaries conduct business,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earthquakes, hurricanes, tsunamis, tornadoes, floods, mudslides, fires or other natural disasters, weather conditions, global pandemics, and related strains, epidemic or similar health emergency, and other force majeure events in the United States, Cayman Islands or any other location,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changes in laws after the date of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arbitration, claim, investigation, charge, complaint or inquiry pending or, to the Company’s knowledge or that the Company believes is material,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Compliance with Law; Permits</w:t>
      </w:r>
      <w:r>
        <w:rPr>
          <w:rFonts w:ascii="Times New Roman;Times;Serif" w:hAnsi="Times New Roman;Times;Serif"/>
          <w:b w:val="false"/>
          <w:i w:val="false"/>
          <w:caps w:val="false"/>
          <w:smallCaps w:val="false"/>
          <w:sz w:val="20"/>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from such federal, state, local, or foreign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The Company and its subsidiaries are in compliance with all applicable federal, state, local and foreign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April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Accounting Controls and Disclosure Controls and Procedures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IFRS, (iii) that receipts and expenditures are made only in accordance with authorizations of management and the Board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Price Stabilization of Ordinary Shares</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Ordinary Shares to facilitate the sale or resale of the Shares or the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General Solicitation; No Integration or Aggregation</w:t>
      </w:r>
      <w:r>
        <w:rPr>
          <w:rFonts w:ascii="Times New Roman;Times;Serif" w:hAnsi="Times New Roman;Times;Serif"/>
          <w:b w:val="false"/>
          <w:i w:val="false"/>
          <w:caps w:val="false"/>
          <w:smallCaps w:val="false"/>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w:t>
      </w:r>
      <w:r>
        <w:rPr>
          <w:rFonts w:ascii="Times New Roman;Times;Serif" w:hAnsi="Times New Roman;Times;Serif"/>
          <w:b w:val="false"/>
          <w:i w:val="false"/>
          <w:caps w:val="false"/>
          <w:smallCaps w:val="false"/>
          <w:sz w:val="20"/>
          <w:shd w:fill="FFFFFF" w:val="clear"/>
        </w:rPr>
        <w:t>or (ii) aggregated with prior offerings by the Company for the purposes of the rules and regulations of the Nasdaq Capital Market</w:t>
      </w:r>
      <w:r>
        <w:rPr>
          <w:rFonts w:ascii="Times New Roman;Times;Serif" w:hAnsi="Times New Roman;Times;Serif"/>
          <w:b w:val="false"/>
          <w:i w:val="false"/>
          <w:caps w:val="false"/>
          <w:smallCaps w:val="false"/>
          <w:sz w:val="20"/>
        </w:rPr>
        <w:t xml:space="preserve">. Assuming the accuracy of the representations and warranties of the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With respect to those Securities sold in reliance upon Regulation S, (x) none of the Company, its Affiliates or any person acting on its or their behalf has engaged in any directed selling efforts within the meaning of Regulation S and (y) each of the Company and its Affiliates and any person acting on its or their behalf has complied with the offering restrictions set forth in Regulation 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Reliance by the Investor</w:t>
      </w:r>
      <w:r>
        <w:rPr>
          <w:rFonts w:ascii="Times New Roman;Times;Serif" w:hAnsi="Times New Roman;Times;Serif"/>
          <w:b w:val="false"/>
          <w:i w:val="false"/>
          <w:caps w:val="false"/>
          <w:smallCaps w:val="false"/>
          <w:sz w:val="20"/>
        </w:rPr>
        <w:t xml:space="preserve">. The Company has a reasonable basis for making each of the representations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acknowledges that each of the Investor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There are no agreements or understandings between the Company and the Investor with respect to the transactions contemplated by the Transaction Agreements other than (i) as specified in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Anti-Bribery and Anti-Money Laundering Laws</w:t>
      </w:r>
      <w:r>
        <w:rPr>
          <w:rFonts w:ascii="Times New Roman;Times;Serif" w:hAnsi="Times New Roman;Times;Serif"/>
          <w:b w:val="false"/>
          <w:i w:val="false"/>
          <w:caps w:val="false"/>
          <w:smallCaps w:val="false"/>
          <w:sz w:val="20"/>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and (iii)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of Personal Data, including without limitation HIPAA, the EU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shareholders, customers or suppliers of the Company, on the other hand, that is required to be described in the SEC Reports that is not so described.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The Company has the power to submit, and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of this Agreement, has legally, validly, effectively and irrevocably submitted, to the personal jurisdiction of each United States federal court and New York state court located in the Borough of Manhattan, City of New York in the State of New York, U.S.A. (each, a “</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xml:space="preserve">”) and the Company has the power to designate, appoint and authorize, and pursuant to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of this Agreement, has legally, validly, effectively and irrevocably designated, appointed and authorized an agent for service of process in any action arising out of or relating to this Agreement or the Securities in any New York Court, and service of process effected on such authorized agent will be effective to confer valid personal jurisdiction over the Company as provided in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shd w:fill="FFFFFF" w:val="clear"/>
        </w:rPr>
        <w:t>Enforceability of Judgments</w:t>
      </w:r>
      <w:r>
        <w:rPr>
          <w:rFonts w:ascii="Times New Roman;Times;Serif" w:hAnsi="Times New Roman;Times;Serif"/>
          <w:b w:val="false"/>
          <w:i w:val="false"/>
          <w:caps w:val="false"/>
          <w:smallCaps w:val="false"/>
          <w:sz w:val="20"/>
          <w:shd w:fill="FFFFFF" w:val="clear"/>
        </w:rPr>
        <w:t>. Any final judgment for a fixed or readily calculable sum of money rendered by a New York Court having jurisdiction under its own domestic laws and recognized by Cayman Islands courts as having jurisdiction (according to Cayman Islands conflicts of laws principles and rules of Cayman Islands private international law at the time when proceedings were initiated) to give such final judgment in respect of any suit, action or proceeding against the Company based upon this Agreement and any instruments or agreements entered into for the consummation of the transactions contemplated herein would be declared enforceable against the Company, without re-examination or review of the merits of the cause of action in respect of which the original judgment was given or re-litigation of the matters adjudicated upon, by the courts of Cayman Islands.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Investor</w:t>
      </w:r>
      <w:r>
        <w:rPr>
          <w:rFonts w:ascii="Times New Roman;Times;Serif" w:hAnsi="Times New Roman;Times;Serif"/>
          <w:b w:val="false"/>
          <w:i w:val="false"/>
          <w:caps w:val="false"/>
          <w:smallCaps w:val="false"/>
          <w:sz w:val="20"/>
        </w:rPr>
        <w:t xml:space="preserve">. The Investor, represents and warrants to the Company that the statements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and correct as of the date of this Agreement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the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the Investor of the Transaction Agreements to which the Investor is a party has been duly authorized and each has been duly executed. Assuming this Agreement constitutes the legal and binding agreement of the Company, this Agreement constitutes a legal, valid and binding obligation of the Investor, enforceable against the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the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the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xml:space="preserve">. The Investor’s residence (if an individual) or offices in which its investment decision with respect to the Securities was made (if an entity) are located at the address immediately below the Investor’s name on </w:t>
      </w:r>
      <w:r>
        <w:rPr>
          <w:rFonts w:ascii="Times New Roman;Times;Serif" w:hAnsi="Times New Roman;Times;Serif"/>
          <w:b w:val="false"/>
          <w:i w:val="false"/>
          <w:caps w:val="false"/>
          <w:smallCaps w:val="false"/>
          <w:sz w:val="20"/>
          <w:u w:val="single"/>
        </w:rPr>
        <w:t>the pertinent signature page of this Agreement</w:t>
      </w:r>
      <w:r>
        <w:rPr>
          <w:rFonts w:ascii="Times New Roman;Times;Serif" w:hAnsi="Times New Roman;Times;Serif"/>
          <w:b w:val="false"/>
          <w:i w:val="false"/>
          <w:caps w:val="false"/>
          <w:smallCaps w:val="false"/>
          <w:sz w:val="20"/>
        </w:rPr>
        <w:t>, except as otherwise communicated by the Investor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The Investor (I) is acquiring the Securities outside the United States in an offshore transaction meeting the 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(IV) was outside the United States at the time of the origination of contact concerning the transactions contemplated by this Agreement and on the date of execution and delivery of this Agreement by the Investor; (V) is not acquiring the Securities in a transaction or part of series of transactions that, although in technical compliance with Regulation S, is part of a plan or scheme to evade the registration provisions of the Securities Act; (VI) is neither a U.S. Person nor a Distributor (in each case, as defined in Rule 902 of Regulation S) and (VII) is the sole beneficial owner of the Securities specified on signature pages hereto and has not pre-arranged any sale with a purchaser in the United States.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available exemption from the registration requirements thereof. The Investor further acknowledges that resales may be made only in compliance with such exemptions including, where applicable, the provisions of Regulation S, or Rule 144 under the Securities Act (or any successor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Investment Experience; Ability to Protect Its Own Interests and Bear Economic Risks</w:t>
      </w:r>
      <w:r>
        <w:rPr>
          <w:rFonts w:ascii="Times New Roman;Times;Serif" w:hAnsi="Times New Roman;Times;Serif"/>
          <w:b w:val="false"/>
          <w:i w:val="false"/>
          <w:caps w:val="false"/>
          <w:smallCaps w:val="false"/>
          <w:sz w:val="20"/>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the Investor’s sole discretion, has deemed necessary or appropriate in connection with its purchase of the Securities.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Securities Not Registered; Legends</w:t>
      </w:r>
      <w:r>
        <w:rPr>
          <w:rFonts w:ascii="Times New Roman;Times;Serif" w:hAnsi="Times New Roman;Times;Serif"/>
          <w:b w:val="false"/>
          <w:i w:val="false"/>
          <w:caps w:val="false"/>
          <w:smallCaps w:val="false"/>
          <w:sz w:val="20"/>
        </w:rPr>
        <w:t>. The Investor acknowledges and agrees that the Securities are being offered in a transaction not involving any public offering within the meaning of the Securities Act, and the Investor understands that the Securities have not been, and will not be,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or Regulation S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any certificates or book entry notations evidencing the Securities may bear one or more legends in substantially the following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AND IN ACCORDANCE WITH APPLICABLE STATE SECURITIES LAWS,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PRIOR TO THE REGISTRATION OF ANY PERMITTED TRANSFER IN ACCORDANCE WITH THE ABOVE, THE COMPANY RESERVES THE RIGHT TO REQUIRE THE DELIVERY OF SUCH LEGAL OPINIONS AND OR CERTIFICATIONS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contain a legend regarding affiliate status of the Investor, if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acknowledges and agrees that the Investor is purchasing the Securities directly from the Company. Investor became aware of this offering of the Securities solely by means of direct contact directly from the Company as a result of a pre-existing, substantive relationship with the Company, and/or its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and/or its representatives. The Investor did not become aware of this offering of the Securities, nor were the Securities offered to Investor, by any other means, and the Company, and/or its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 making its decision to purchase the Securities, the Investor has relied solely upon independent investigation made by the Investor, upon the SEC Reports and upon the representations, warranties and covenants set forth herein.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Trading Activities</w:t>
      </w:r>
      <w:r>
        <w:rPr>
          <w:rFonts w:ascii="Times New Roman;Times;Serif" w:hAnsi="Times New Roman;Times;Serif"/>
          <w:b w:val="false"/>
          <w:i w:val="false"/>
          <w:caps w:val="false"/>
          <w:smallCaps w:val="false"/>
          <w:sz w:val="20"/>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the Investor’s assets and the portfolio managers have no direct knowledge of the investment decisions made by the portfolio managers managing other portions of the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the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To the extent the Investor is one of the covered persons identified in Rule 506(d)(1), the Investor represents that no disqualifying event described in Rule 506(d)(1)(i-viii) of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means a person or entity that is a beneficial owner of the Investor’s securities for purposes of Rule 506(d)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are no longer accurate.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commercially reasonable efforts to maintain the listing and trading of its Ordinary Shares on the Nasdaq Capital Market and, in accordance therewith, will use reasonable best efforts to comply in all material respects with the Company’s reporting, filing and other obligations under the rules and regulations of Nasdaq.</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by 9:00 a.m., New York City time, on the first (1st) Business Day immediately following the Closing of this Agreement, issue a press release and/or file with the SEC a Report on Form 6-K (including, if applicable, all exhibits thereto,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disclosing (i) all material terms of the transactions contemplated hereby and by the other Transaction Agreements and, if the Disclosure Document is a Report on Form 6-K, attaching this Agreement and the other Transaction Documents as exhibits to such Disclosure Document, and (ii) any other material non-public information concerning the Company disclosed to the Investor. Following the issuance or filing of the Disclosure Document, the Investor shall not be in possession of any material non-public information concerning the Company disclosed to the Investor by the Company or its representatives. In addition, unless it has already done so by filing the Disclosure Document, on or before the fourth (4th) Business Day following the date of this Agreement, the Company shall file with the SEC a Report on Form 6-K disclosing all material terms of the transactions contemplated by this Agreement. Notwithstanding anything in this Agreement to the contrary, the Company shall not publicly disclose the name of the Investor or any of its Affiliates or advisors, or include the name of the Investor or any of its Affiliates or advisors in any press release or filing with the SEC (other than any registration statement contemplated by this Agreement or any regulatory agency, without the prior written consent of the Investor, except (i) as required by the federal securities law in connection with (A) any registration statement contemplated by this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Integration; Regulation S Compliance</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 or that will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With respect to those Securities sold in reliance upon Regulation S, (i) none of the Company, its Affiliates or any person acting on its or their behalf will engage in any directed selling efforts within the meaning of Regulation S and (ii) each of the Company and its Affiliates and any person acting on its or their behalf will comply with the offering restrictions set forth in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sale, assignment, transfer or other disposition of the Securities by an Investor pursuant to Rule 144 or pursuant to any other exemption under the Securities Act such that the purchaser acquires freely tradable securities and upon compliance by the Investor with the requirements of this Agreement, if requested by the Investor by notice to the Company, the Company shall request the Transfer Agent to remove any restrictive legends related to the book entry account holding such securities and make a new, unlegended entry for such book entry securities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Securities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and as soon as reasonably practicable following any request therefor from the Investor accompanied by such customary and reasonably acceptable documentation referred to above, (A) deliver to the Transfer Agent irrevocable instructions that the Transfer Agent shall make a new, unlegended entry for such book entry securities,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Tax Indemnity</w:t>
      </w:r>
      <w:r>
        <w:rPr>
          <w:rFonts w:ascii="Times New Roman;Times;Serif" w:hAnsi="Times New Roman;Times;Serif"/>
          <w:b w:val="false"/>
          <w:i w:val="false"/>
          <w:caps w:val="false"/>
          <w:smallCaps w:val="false"/>
          <w:sz w:val="20"/>
        </w:rPr>
        <w:t>. The Company will indemnify and hold harmless the Investor against any Transfer Taxes (including any interest and penalties) payable in Cayman Islands by the Investor in connection with the sale and delivery of the Shares to or for the account of the Investor in the manner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The Company will not take any action, enter into any agreement or make any commitment that would conflict or interfere in any material respect with the Company’s obligations to the Investor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the Investor and its Affiliates, and their respective directors, officers, trustees, members, managers, employees, investment advisors and agents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for all such amounts as they are incurred by such Person solely to the extent such amounts have been finally judicially determined not to </w:t>
      </w:r>
      <w:r>
        <w:rPr>
          <w:rFonts w:ascii="Times New Roman;Times;Serif" w:hAnsi="Times New Roman;Times;Serif"/>
          <w:b w:val="false"/>
          <w:i w:val="false"/>
          <w:caps w:val="false"/>
          <w:smallCaps w:val="false"/>
          <w:sz w:val="20"/>
          <w:shd w:fill="FFFFFF" w:val="clear"/>
        </w:rPr>
        <w:t>have resulted from such Person’s fraud or willful misconduct.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xml:space="preserve"> As of the date of this Agreement, the Company has reserved and the Company shall continue to reserve and keep available at all times, free of preemptive rights, a sufficient number of Ordinary Shares for the purpose of enabling the Company to issue the Warrant Shares that are issuable upon the exercise of the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The Holder shall have customary registration rights, and the Company shall file a registration statement on Form F-1 covering the resale of the Holder’s registrable securities within 30 days after filing its annual report on Form 20-F and use commercially reasonable efforts to cause such registration statement to become effective as promptly as practicable thereafter, subject to SEC review, comments and applicable requirements.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Obligation of the Investor</w:t>
      </w:r>
      <w:r>
        <w:rPr>
          <w:rFonts w:ascii="Times New Roman;Times;Serif" w:hAnsi="Times New Roman;Times;Serif"/>
          <w:b w:val="false"/>
          <w:i w:val="false"/>
          <w:caps w:val="false"/>
          <w:smallCaps w:val="false"/>
          <w:sz w:val="20"/>
        </w:rPr>
        <w:t>. The several obligations of the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in all material respects the obligations and conditions herein required to be performed or observed by the Company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The purchase of and payment for the Shares by the Investor shall not be prohibited or enjoined by any law or governmental or court order or regulation and no such prohibition shall have been threatened in writing.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have furnished all required materials to the Transfer Agent to reflect the issuance of the Securities at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of this Agreement, no event or series of events shall have occurred that has had or would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 Requirements</w:t>
      </w:r>
      <w:r>
        <w:rPr>
          <w:rFonts w:ascii="Times New Roman;Times;Serif" w:hAnsi="Times New Roman;Times;Serif"/>
          <w:b w:val="false"/>
          <w:i w:val="false"/>
          <w:caps w:val="false"/>
          <w:smallCaps w:val="false"/>
          <w:sz w:val="20"/>
        </w:rPr>
        <w:t>. The Ordinary Shares shall be listed on a National Exchange and shall not have been suspended, as of the Closing Date, by the SEC or the National Exchange from trading thereon, as of the Closing Date, in writing by the SEC or the National Exchange; and the Company shall have filed with Nasdaq a Notification Form: Listing of Additional Shares for the listing of the Shares and the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as may be agreed to among the Company and the Investor in accordance with </w:t>
      </w:r>
      <w:r>
        <w:rPr>
          <w:rFonts w:ascii="Times New Roman;Times;Serif" w:hAnsi="Times New Roman;Times;Serif"/>
          <w:b w:val="false"/>
          <w:i w:val="false"/>
          <w:caps w:val="false"/>
          <w:smallCaps w:val="false"/>
          <w:sz w:val="20"/>
          <w:u w:val="single"/>
          <w:shd w:fill="FFFFFF" w:val="clear"/>
        </w:rPr>
        <w:t>Section 2.2</w:t>
      </w:r>
      <w:r>
        <w:rPr>
          <w:rFonts w:ascii="Times New Roman;Times;Serif" w:hAnsi="Times New Roman;Times;Serif"/>
          <w:b w:val="false"/>
          <w:i w:val="false"/>
          <w:caps w:val="false"/>
          <w:smallCaps w:val="false"/>
          <w:sz w:val="20"/>
          <w:shd w:fill="FFFFFF" w:val="clear"/>
        </w:rPr>
        <w:t xml:space="preserve">,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the Investor at the Closing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the Obligation of the Company</w:t>
      </w:r>
      <w:r>
        <w:rPr>
          <w:rFonts w:ascii="Times New Roman;Times;Serif" w:hAnsi="Times New Roman;Times;Serif"/>
          <w:b w:val="false"/>
          <w:i w:val="false"/>
          <w:caps w:val="false"/>
          <w:smallCaps w:val="false"/>
          <w:sz w:val="20"/>
        </w:rPr>
        <w:t>. The obligation of the Company to consummate the transactions to be consummated at the Closing, and to issue and sell to the Investor the Securities to be purchased by it at the Closing pursuant to this Agreement, is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Investor shall have performed or complied with in all material respects all obligations and conditions herein required to be performed or observed by the Investor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Injunction</w:t>
      </w:r>
      <w:r>
        <w:rPr>
          <w:rFonts w:ascii="Times New Roman;Times;Serif" w:hAnsi="Times New Roman;Times;Serif"/>
          <w:b w:val="false"/>
          <w:i w:val="false"/>
          <w:caps w:val="false"/>
          <w:smallCaps w:val="false"/>
          <w:sz w:val="20"/>
        </w:rPr>
        <w:t>. The purchase of and payment for the Securities by the Investor shall not be prohibited or enjoined by any law or governmental or court order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as may be agreed to among the Company and the Investor in accordance with Section 2.2,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the Investor at the Closing or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the one hand, and the Investor, on the other hand, to effect the Closing shall terminate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mutual written consent of the Company and the Investor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By the Company if any of the conditions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have become incapable of fulfillment, and shall not have been waived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By the Investor if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have become incapable of fulfillment, and shall not have been waived by the Investor;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either the Company or the Investor if the Closing has not occurred on or prior to the fifth Business Day following the date of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In the event of termination by the Company or the Investor of its obligations to effect the Closing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the terminating party.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Public Statements or Releases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neither the Company nor the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 except as otherwise required by law or the applicable rules or regulations of any securities exchange or securities market, in which case the Company shall allow the Investor, to the extent reasonably practicable in the circumstances, reasonable time to comment on such release or announcement in advance of such issuance. Notwithstanding anything to the contrary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Investor review shall not be required for Company disclosures that are substantially consistent with prior Company disclosures.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addressed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br/>
        <w:t>Room 1311, Leighton Centre</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Leighton Road</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Causeway Bay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br/>
        <w:t>Attention: Paul Ewing</w:t>
        <w:br/>
        <w:t>Email: paul.ewing@diginex.com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360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any Investor, at its address or e-mail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address as subsequently modified by written notice given in accordance with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New York without regard to choice of laws or conflicts of laws provisions thereof that would require the application of the laws of any other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Investor hereby irrevocably and unconditionally: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at such other address of which the other party shall have been notified pursuant thereto, provided that the Company has irrevocably appointed [●] which currently maintains a New York City office at [●], United States of America, as its agent to receive service of process or other legal summons for purposes of any such suit, action or proceeding that may be instituted in any state or federal court in the Borough of Manhattan, City of New York in the State of New York;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agrees that to the extent that such party has or hereafter may acquire any immunity (whether on the basis of sovereignty or otherwise) from jurisdiction of any court or from any legal process with respect to itself or its property, such party hereby irrevocably waives such immunity in respect of its obligations under this Agreement, to the extent permitted by law including, without limitation, any immunity pursuant to the United States Foreign Sovereign Immunities Act of 1976, as amended;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irrevocably and unconditionally waives trial by jury in any legal action or proceeding in relation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the Investor, and (y) the Investor, in the case of the Company, provided that the Investor may, without the prior consent of the Company, assign its rights to purchase the Securities hereunder to any of its Affiliates or to any other investment funds or accounts managed or advised by the investment manager who acts on behalf of the Investor (provided each such assignee agrees to be bound by the terms of this Agreement and makes the same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covenants that until such time as the transactions contemplated by this Agreement and any material non-public information provided to the Investor are publicly disclosed by the Company, the Investor will maintain the confidentiality of all disclosures made to it in connection with this transaction (including the existence and terms of this transaction), other than to the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request from the Investor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with the SEC as exhibit to a periodic report or a registration statement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Independent Nature of Investor’s Obligations and Right.</w:t>
      </w:r>
      <w:r>
        <w:rPr>
          <w:rFonts w:ascii="Times New Roman;Times;Serif" w:hAnsi="Times New Roman;Times;Serif"/>
          <w:b w:val="false"/>
          <w:i w:val="false"/>
          <w:caps w:val="false"/>
          <w:smallCaps w:val="false"/>
          <w:sz w:val="20"/>
        </w:rPr>
        <w:t xml:space="preserve"> The Company acknowledges and the Investor confirms that it has independently participated in the negotiation of the transaction contemplated hereby with the advice of its own counsel and advisors. The Investor also acknowledges that Gibson, Dunn &amp; Crutcher LLP has not rendered legal advice to the Investor. The Investor shall be entitled to protect and enforce its rights, including, without limitation, the rights arising out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other Transaction Agreements (including all schedules and exhibits hereto and thereto), together with any side letter agreements with the Investor,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 Notwithstanding the foregoing, this Agreement may not be amended and the observance of any term of this Agreement may not be waived without the written consent of the Investor. The Company, on the one hand, and the Investor, on the other hand, may by an instrument signed in writing by such parties waive the performance, compliance or satisfaction by the Investor or the Company, respectively, with any term or provision of this Agreement or any condition hereto to be performed, complied with or satisfied by the Investor or the Company,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covenants, representations and warranties made by each party hereto contained in this Agreement shall survive the Closing and the delivery of the Securities in accordance with their respective terms. The Investor shall be responsible only for its own representations, warranties, agreements and covenants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xml:space="preserve"> This Agreement is the joint product of the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Arm’s Length Negotiations</w:t>
      </w:r>
      <w:r>
        <w:rPr>
          <w:rFonts w:ascii="Times New Roman;Times;Serif" w:hAnsi="Times New Roman;Times;Serif"/>
          <w:b w:val="false"/>
          <w:i w:val="false"/>
          <w:caps w:val="false"/>
          <w:smallCaps w:val="false"/>
          <w:sz w:val="20"/>
        </w:rPr>
        <w:t>. For the avoidance of doubt, the parties acknowledge and confirm that the terms and conditions of the Securities were determined as a result of arm’s-length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xml:space="preserve"> 8.18. All references to currency herein shall be deemed to refer to United States Dollars.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jc w:val="center"/>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3290"/>
        <w:gridCol w:w="545"/>
        <w:gridCol w:w="1905"/>
      </w:tblGrid>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SEALED AND DELIVERED</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905" w:type="dxa"/>
            <w:tcBorders/>
            <w:vAlign w:val="center"/>
          </w:tcPr>
          <w:p>
            <w:pPr>
              <w:pStyle w:val="TableContents"/>
              <w:bidi w:val="0"/>
              <w:spacing w:before="0" w:after="283"/>
              <w:jc w:val="right"/>
              <w:rPr>
                <w:caps w:val="false"/>
                <w:smallCaps w:val="false"/>
              </w:rPr>
            </w:pPr>
            <w:r>
              <w:rPr>
                <w:caps w:val="false"/>
                <w:smallCaps w:val="false"/>
              </w:rPr>
              <w:t> </w:t>
            </w:r>
            <w:r>
              <w:rPr>
                <w:caps w:val="false"/>
                <w:smallCaps w:val="false"/>
              </w:rPr>
              <w:drawing>
                <wp:inline distT="0" distB="0" distL="0" distR="0">
                  <wp:extent cx="419100" cy="409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0" cy="409575"/>
                          </a:xfrm>
                          <a:prstGeom prst="rect">
                            <a:avLst/>
                          </a:prstGeom>
                        </pic:spPr>
                      </pic:pic>
                    </a:graphicData>
                  </a:graphic>
                </wp:inline>
              </w:drawing>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DEED BY MILES PELHAM</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9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AND ON BEHALF OF</w:t>
            </w:r>
          </w:p>
        </w:tc>
        <w:tc>
          <w:tcPr>
            <w:tcW w:w="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9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0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00150" cy="571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00150" cy="571500"/>
                          </a:xfrm>
                          <a:prstGeom prst="rect">
                            <a:avLst/>
                          </a:prstGeom>
                        </pic:spPr>
                      </pic:pic>
                    </a:graphicData>
                  </a:graphic>
                </wp:inline>
              </w:drawing>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July 2026 </w:t>
            </w:r>
          </w:p>
        </w:tc>
      </w:tr>
    </w:tbl>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1250"/>
        <w:gridCol w:w="2130"/>
        <w:gridCol w:w="75"/>
      </w:tblGrid>
      <w:tr>
        <w:trPr/>
        <w:tc>
          <w:tcPr>
            <w:tcW w:w="338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352550" cy="647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52550" cy="647700"/>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2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Lorenzo Romano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Title:</w:t>
            </w:r>
          </w:p>
        </w:tc>
        <w:tc>
          <w:tcPr>
            <w:tcW w:w="2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Chairman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jc w:val="center"/>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920"/>
        <w:gridCol w:w="1775"/>
      </w:tblGrid>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rFonts w:ascii="Times New Roman;Times;Serif" w:hAnsi="Times New Roman;Times;Serif"/>
                <w:b/>
                <w:sz w:val="20"/>
              </w:rPr>
              <w:t>[Redacted]</w:t>
            </w:r>
            <w:r>
              <w:rPr/>
              <w:t xml:space="preserve">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Signed:</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xml:space="preserve">Title: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xml:space="preserve">Address: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Email:</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[Redacted]</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INVESTOR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7"/>
        <w:gridCol w:w="60"/>
        <w:gridCol w:w="60"/>
        <w:gridCol w:w="980"/>
        <w:gridCol w:w="60"/>
        <w:gridCol w:w="60"/>
        <w:gridCol w:w="1939"/>
        <w:gridCol w:w="60"/>
        <w:gridCol w:w="190"/>
        <w:gridCol w:w="3114"/>
        <w:gridCol w:w="192"/>
        <w:gridCol w:w="60"/>
        <w:gridCol w:w="249"/>
        <w:gridCol w:w="1747"/>
        <w:gridCol w:w="137"/>
      </w:tblGrid>
      <w:tr>
        <w:trPr/>
        <w:tc>
          <w:tcPr>
            <w:tcW w:w="1297" w:type="dxa"/>
            <w:tcBorders>
              <w:bottom w:val="single" w:sz="8" w:space="0" w:color="000000"/>
            </w:tcBorders>
            <w:vAlign w:val="center"/>
          </w:tcPr>
          <w:p>
            <w:pPr>
              <w:pStyle w:val="TableContents"/>
              <w:bidi w:val="0"/>
              <w:spacing w:before="0" w:after="283"/>
              <w:jc w:val="center"/>
              <w:rPr>
                <w:b/>
              </w:rPr>
            </w:pPr>
            <w:r>
              <w:rPr>
                <w:b/>
              </w:rPr>
              <w:t>Investor Name</w:t>
            </w:r>
          </w:p>
        </w:tc>
        <w:tc>
          <w:tcPr>
            <w:tcW w:w="60" w:type="dxa"/>
            <w:tcBorders/>
            <w:tcMar>
              <w:bottom w:w="0" w:type="dxa"/>
            </w:tcMar>
            <w:vAlign w:val="center"/>
          </w:tcPr>
          <w:p>
            <w:pPr>
              <w:pStyle w:val="TableContents"/>
              <w:bidi w:val="0"/>
              <w:spacing w:before="0" w:after="283"/>
              <w:jc w:val="center"/>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Shares</w:t>
            </w:r>
          </w:p>
        </w:tc>
        <w:tc>
          <w:tcPr>
            <w:tcW w:w="60" w:type="dxa"/>
            <w:tcBorders/>
            <w:tcMar>
              <w:bottom w:w="0" w:type="dxa"/>
            </w:tcMar>
            <w:vAlign w:val="center"/>
          </w:tcPr>
          <w:p>
            <w:pPr>
              <w:pStyle w:val="TableContents"/>
              <w:bidi w:val="0"/>
              <w:spacing w:before="0" w:after="283"/>
              <w:jc w:val="center"/>
              <w:rPr/>
            </w:pPr>
            <w:r>
              <w:rPr/>
              <w:t> </w:t>
            </w:r>
          </w:p>
        </w:tc>
        <w:tc>
          <w:tcPr>
            <w:tcW w:w="1939" w:type="dxa"/>
            <w:tcBorders>
              <w:bottom w:val="single" w:sz="8" w:space="0" w:color="000000"/>
            </w:tcBorders>
            <w:vAlign w:val="center"/>
          </w:tcPr>
          <w:p>
            <w:pPr>
              <w:pStyle w:val="TableContents"/>
              <w:bidi w:val="0"/>
              <w:spacing w:before="0" w:after="283"/>
              <w:jc w:val="center"/>
              <w:rPr>
                <w:b/>
              </w:rPr>
            </w:pPr>
            <w:r>
              <w:rPr>
                <w:b/>
              </w:rPr>
              <w:t>Share Purchase Price</w:t>
            </w:r>
          </w:p>
        </w:tc>
        <w:tc>
          <w:tcPr>
            <w:tcW w:w="60" w:type="dxa"/>
            <w:tcBorders/>
            <w:tcMar>
              <w:bottom w:w="0" w:type="dxa"/>
            </w:tcMar>
            <w:vAlign w:val="center"/>
          </w:tcPr>
          <w:p>
            <w:pPr>
              <w:pStyle w:val="TableContents"/>
              <w:bidi w:val="0"/>
              <w:spacing w:before="0" w:after="283"/>
              <w:jc w:val="center"/>
              <w:rPr/>
            </w:pPr>
            <w:r>
              <w:rPr/>
              <w:t> </w:t>
            </w:r>
          </w:p>
        </w:tc>
        <w:tc>
          <w:tcPr>
            <w:tcW w:w="3496" w:type="dxa"/>
            <w:gridSpan w:val="3"/>
            <w:tcBorders>
              <w:bottom w:val="single" w:sz="8" w:space="0" w:color="000000"/>
            </w:tcBorders>
            <w:vAlign w:val="center"/>
          </w:tcPr>
          <w:p>
            <w:pPr>
              <w:pStyle w:val="TableContents"/>
              <w:bidi w:val="0"/>
              <w:spacing w:before="0" w:after="283"/>
              <w:jc w:val="center"/>
              <w:rPr>
                <w:b/>
              </w:rPr>
            </w:pPr>
            <w:r>
              <w:rPr>
                <w:b/>
              </w:rPr>
              <w:t>Warrant Shares (Underlying Ordinary Shares)</w:t>
            </w:r>
          </w:p>
        </w:tc>
        <w:tc>
          <w:tcPr>
            <w:tcW w:w="60" w:type="dxa"/>
            <w:tcBorders/>
            <w:tcMar>
              <w:bottom w:w="0" w:type="dxa"/>
            </w:tcMar>
            <w:vAlign w:val="center"/>
          </w:tcPr>
          <w:p>
            <w:pPr>
              <w:pStyle w:val="TableContents"/>
              <w:bidi w:val="0"/>
              <w:spacing w:before="0" w:after="283"/>
              <w:jc w:val="center"/>
              <w:rPr/>
            </w:pPr>
            <w:r>
              <w:rPr/>
              <w:t> </w:t>
            </w:r>
          </w:p>
        </w:tc>
        <w:tc>
          <w:tcPr>
            <w:tcW w:w="2133" w:type="dxa"/>
            <w:gridSpan w:val="3"/>
            <w:tcBorders>
              <w:bottom w:val="single" w:sz="8" w:space="0" w:color="000000"/>
            </w:tcBorders>
            <w:vAlign w:val="center"/>
          </w:tcPr>
          <w:p>
            <w:pPr>
              <w:pStyle w:val="TableContents"/>
              <w:bidi w:val="0"/>
              <w:spacing w:before="0" w:after="283"/>
              <w:jc w:val="center"/>
              <w:rPr>
                <w:b/>
              </w:rPr>
            </w:pPr>
            <w:r>
              <w:rPr>
                <w:b/>
              </w:rPr>
              <w:t>Aggregate Purchase Price</w:t>
            </w:r>
          </w:p>
        </w:tc>
      </w:tr>
      <w:tr>
        <w:trPr/>
        <w:tc>
          <w:tcPr>
            <w:tcW w:w="12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[Redacted]</w:t>
            </w:r>
            <w:r>
              <w:rPr>
                <w:rFonts w:ascii="Times New Roman;Times;Serif" w:hAnsi="Times New Roman;Times;Serif"/>
                <w:b w:val="false"/>
                <w:i w:val="false"/>
                <w:caps w:val="false"/>
                <w:smallCaps w:val="false"/>
                <w:sz w:val="20"/>
              </w:rPr>
              <w:t xml:space="preserve"> </w:t>
              <w:br/>
              <w:t xml:space="preserve">  </w:t>
              <w:br/>
              <w:t xml:space="preserve">  </w:t>
              <w:b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9" w:type="dxa"/>
            <w:tcBorders/>
            <w:shd w:fill="CCEEFF" w:val="clear"/>
            <w:tcMar>
              <w:bottom w:w="0" w:type="dxa"/>
            </w:tcMar>
            <w:vAlign w:val="center"/>
          </w:tcPr>
          <w:p>
            <w:pPr>
              <w:pStyle w:val="TableContents"/>
              <w:bidi w:val="0"/>
              <w:spacing w:before="0" w:after="283"/>
              <w:jc w:val="center"/>
              <w:rPr/>
            </w:pPr>
            <w:r>
              <w:rPr/>
              <w:t>USD5,000,000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3114" w:type="dxa"/>
            <w:tcBorders>
              <w:bottom w:val="single" w:sz="8" w:space="0" w:color="000000"/>
            </w:tcBorders>
            <w:shd w:fill="CCEEFF" w:val="clear"/>
            <w:vAlign w:val="center"/>
          </w:tcPr>
          <w:p>
            <w:pPr>
              <w:pStyle w:val="TableContents"/>
              <w:bidi w:val="0"/>
              <w:spacing w:before="0" w:after="283"/>
              <w:jc w:val="right"/>
              <w:rPr/>
            </w:pPr>
            <w:r>
              <w:rPr/>
              <w:t>5,000,000</w:t>
            </w:r>
          </w:p>
        </w:tc>
        <w:tc>
          <w:tcPr>
            <w:tcW w:w="1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CCEEFF" w:val="clear"/>
            <w:vAlign w:val="center"/>
          </w:tcPr>
          <w:p>
            <w:pPr>
              <w:pStyle w:val="TableContents"/>
              <w:bidi w:val="0"/>
              <w:spacing w:before="0" w:after="283"/>
              <w:jc w:val="left"/>
              <w:rPr/>
            </w:pPr>
            <w:r>
              <w:rPr/>
              <w:t>$</w:t>
            </w:r>
          </w:p>
        </w:tc>
        <w:tc>
          <w:tcPr>
            <w:tcW w:w="1747" w:type="dxa"/>
            <w:tcBorders>
              <w:bottom w:val="single" w:sz="8" w:space="0" w:color="000000"/>
            </w:tcBorders>
            <w:shd w:fill="CCEEFF" w:val="clear"/>
            <w:vAlign w:val="center"/>
          </w:tcPr>
          <w:p>
            <w:pPr>
              <w:pStyle w:val="TableContents"/>
              <w:bidi w:val="0"/>
              <w:spacing w:before="0" w:after="283"/>
              <w:jc w:val="right"/>
              <w:rPr/>
            </w:pPr>
            <w:r>
              <w:rPr/>
              <w:t>5,000,000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297"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9" w:type="dxa"/>
            <w:tcBorders/>
            <w:shd w:fill="FFFFFF" w:val="clear"/>
            <w:tcMar>
              <w:bottom w:w="0" w:type="dxa"/>
            </w:tcMar>
            <w:vAlign w:val="center"/>
          </w:tcPr>
          <w:p>
            <w:pPr>
              <w:pStyle w:val="TableContents"/>
              <w:bidi w:val="0"/>
              <w:spacing w:before="0" w:after="283"/>
              <w:jc w:val="center"/>
              <w:rPr/>
            </w:pPr>
            <w:r>
              <w:rPr/>
              <w:t>USD5,000,000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3114" w:type="dxa"/>
            <w:tcBorders>
              <w:bottom w:val="single" w:sz="8" w:space="0" w:color="000000"/>
            </w:tcBorders>
            <w:shd w:fill="FFFFFF" w:val="clear"/>
            <w:vAlign w:val="center"/>
          </w:tcPr>
          <w:p>
            <w:pPr>
              <w:pStyle w:val="TableContents"/>
              <w:bidi w:val="0"/>
              <w:spacing w:before="0" w:after="283"/>
              <w:jc w:val="right"/>
              <w:rPr/>
            </w:pPr>
            <w:r>
              <w:rPr/>
              <w:t>5,000,000</w:t>
            </w:r>
          </w:p>
        </w:tc>
        <w:tc>
          <w:tcPr>
            <w:tcW w:w="1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vAlign w:val="center"/>
          </w:tcPr>
          <w:p>
            <w:pPr>
              <w:pStyle w:val="TableContents"/>
              <w:bidi w:val="0"/>
              <w:spacing w:before="0" w:after="283"/>
              <w:jc w:val="left"/>
              <w:rPr/>
            </w:pPr>
            <w:r>
              <w:rPr/>
              <w:t>$</w:t>
            </w:r>
          </w:p>
        </w:tc>
        <w:tc>
          <w:tcPr>
            <w:tcW w:w="1747" w:type="dxa"/>
            <w:tcBorders>
              <w:bottom w:val="single" w:sz="8" w:space="0" w:color="000000"/>
            </w:tcBorders>
            <w:shd w:fill="FFFFFF" w:val="clear"/>
            <w:vAlign w:val="center"/>
          </w:tcPr>
          <w:p>
            <w:pPr>
              <w:pStyle w:val="TableContents"/>
              <w:bidi w:val="0"/>
              <w:spacing w:before="0" w:after="283"/>
              <w:jc w:val="right"/>
              <w:rPr/>
            </w:pPr>
            <w:r>
              <w:rPr/>
              <w:t>5,000,000</w:t>
            </w:r>
          </w:p>
        </w:tc>
        <w:tc>
          <w:tcPr>
            <w:tcW w:w="13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PAYMENT SCHEDULE</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28" w:type="dxa"/>
          <w:right w:w="0" w:type="dxa"/>
        </w:tblCellMar>
      </w:tblPr>
      <w:tblGrid>
        <w:gridCol w:w="2570"/>
        <w:gridCol w:w="60"/>
        <w:gridCol w:w="1280"/>
      </w:tblGrid>
      <w:tr>
        <w:trPr/>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28 July 2026</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750,000</w:t>
            </w:r>
          </w:p>
        </w:tc>
      </w:tr>
      <w:tr>
        <w:trPr/>
        <w:tc>
          <w:tcPr>
            <w:tcW w:w="25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28 February 2027</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4,250,000</w:t>
            </w:r>
          </w:p>
        </w:tc>
      </w:tr>
    </w:tbl>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ex10-4.htm"/>
      <w:bookmarkStart w:id="9" w:name="ksex104"/>
      <w:bookmarkEnd w:id="8"/>
      <w:bookmarkEnd w:id="9"/>
      <w:r>
        <w:rPr/>
        <w:t> </w:t>
      </w:r>
      <w:r>
        <w:br w:type="page"/>
      </w:r>
    </w:p>
    <w:p>
      <w:pPr>
        <w:pStyle w:val="TextBody"/>
        <w:bidi w:val="0"/>
        <w:jc w:val="right"/>
        <w:rPr>
          <w:b/>
        </w:rPr>
      </w:pPr>
      <w:r>
        <w:rPr>
          <w:b/>
        </w:rPr>
        <w:t>Exhibit 10.4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110966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1.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50124</Words>
  <Characters>267959</Characters>
  <CharactersWithSpaces>318247</CharactersWithSpaces>
  <Paragraphs>2064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