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Draft Submission to the Securities and Exchange Commission submitted on [ ],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draft registration statement has not been publicly filed with the Securities and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Commission and all information herein remains strictly confidential.</w:t>
      </w:r>
    </w:p>
    <w:p>
      <w:pPr>
        <w:spacing w:after="0" w:line="187" w:lineRule="exact"/>
        <w:rPr>
          <w:sz w:val="24"/>
          <w:szCs w:val="24"/>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Registration No. 333-_________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00" w:type="dxa"/>
        <w:tblCellMar>
          <w:top w:w="0" w:type="dxa"/>
          <w:left w:w="0" w:type="dxa"/>
          <w:bottom w:w="0" w:type="dxa"/>
          <w:right w:w="0" w:type="dxa"/>
        </w:tblCellMar>
      </w:tblPr>
      <w:tr>
        <w:trPr>
          <w:trHeight w:val="220"/>
        </w:trPr>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7389</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6"/>
        </w:trPr>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9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3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9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Smart-Space Fintech 2, Room 3, Unit 401-404 Core C, Cyberport, Telegraph Bay,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+852 3618 5881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850 Library Avenue, Suite 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Newark, Delaware 19711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302-738-6680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03" w:lineRule="exact"/>
        <w:rPr>
          <w:sz w:val="24"/>
          <w:szCs w:val="24"/>
          <w:color w:val="auto"/>
        </w:rPr>
      </w:pPr>
    </w:p>
    <w:tbl>
      <w:tblPr>
        <w:tblLayout w:type="fixed"/>
        <w:tblInd w:w="180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510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26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Mitchell Nussbaum, Esq.</w:t>
            </w:r>
          </w:p>
        </w:tc>
        <w:tc>
          <w:tcPr>
            <w:tcW w:w="51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Mitchell L. Lampert, Esq.</w:t>
            </w:r>
          </w:p>
        </w:tc>
      </w:tr>
      <w:tr>
        <w:trPr>
          <w:trHeight w:val="216"/>
        </w:trPr>
        <w:tc>
          <w:tcPr>
            <w:tcW w:w="26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Andrei Sirabionian, Esq.</w:t>
            </w:r>
          </w:p>
        </w:tc>
        <w:tc>
          <w:tcPr>
            <w:tcW w:w="51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rPr>
              <w:t>Robinson &amp; Cole LLP</w:t>
            </w:r>
          </w:p>
        </w:tc>
      </w:tr>
      <w:tr>
        <w:trPr>
          <w:trHeight w:val="216"/>
        </w:trPr>
        <w:tc>
          <w:tcPr>
            <w:tcW w:w="26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James A. Prestiano, Esq.</w:t>
            </w:r>
          </w:p>
        </w:tc>
        <w:tc>
          <w:tcPr>
            <w:tcW w:w="51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1055 Washington Boulevard</w:t>
            </w:r>
          </w:p>
        </w:tc>
      </w:tr>
      <w:tr>
        <w:trPr>
          <w:trHeight w:val="216"/>
        </w:trPr>
        <w:tc>
          <w:tcPr>
            <w:tcW w:w="26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51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Stamford, CT 06901</w:t>
            </w:r>
          </w:p>
        </w:tc>
      </w:tr>
      <w:tr>
        <w:trPr>
          <w:trHeight w:val="216"/>
        </w:trPr>
        <w:tc>
          <w:tcPr>
            <w:tcW w:w="26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345 Park Avenue</w:t>
            </w:r>
          </w:p>
        </w:tc>
        <w:tc>
          <w:tcPr>
            <w:tcW w:w="510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Telephone: (203) 462-7559</w:t>
            </w:r>
          </w:p>
        </w:tc>
      </w:tr>
      <w:tr>
        <w:trPr>
          <w:trHeight w:val="216"/>
        </w:trPr>
        <w:tc>
          <w:tcPr>
            <w:tcW w:w="268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New York, NY 10154</w:t>
            </w:r>
          </w:p>
        </w:tc>
        <w:tc>
          <w:tcPr>
            <w:tcW w:w="5100" w:type="dxa"/>
            <w:vAlign w:val="bottom"/>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Fax: (203) 462-7599</w:t>
            </w:r>
          </w:p>
        </w:tc>
      </w:tr>
      <w:tr>
        <w:trPr>
          <w:trHeight w:val="238"/>
        </w:trPr>
        <w:tc>
          <w:tcPr>
            <w:tcW w:w="268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Tel: (212) 407-4000</w:t>
            </w:r>
          </w:p>
        </w:tc>
        <w:tc>
          <w:tcPr>
            <w:tcW w:w="5100" w:type="dxa"/>
            <w:vAlign w:val="bottom"/>
          </w:tcPr>
          <w:p>
            <w:pPr>
              <w:spacing w:after="0"/>
              <w:rPr>
                <w:sz w:val="20"/>
                <w:szCs w:val="20"/>
                <w:color w:val="auto"/>
              </w:rPr>
            </w:pPr>
          </w:p>
        </w:tc>
      </w:tr>
    </w:tbl>
    <w:p>
      <w:pPr>
        <w:spacing w:after="0" w:line="19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this registration statement.</w:t>
      </w:r>
    </w:p>
    <w:p>
      <w:pPr>
        <w:spacing w:after="0" w:line="225"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(2)(B) of the Securities Act. </w:t>
      </w:r>
      <w:r>
        <w:rPr>
          <w:rFonts w:ascii="MS PGothic" w:cs="MS PGothic" w:eastAsia="MS PGothic" w:hAnsi="MS PGothic"/>
          <w:sz w:val="18"/>
          <w:szCs w:val="18"/>
          <w:color w:val="auto"/>
        </w:rPr>
        <w:t>☐</w:t>
      </w:r>
    </w:p>
    <w:p>
      <w:pPr>
        <w:spacing w:after="0" w:line="212" w:lineRule="exact"/>
        <w:rPr>
          <w:sz w:val="24"/>
          <w:szCs w:val="24"/>
          <w:color w:val="auto"/>
        </w:rPr>
      </w:pPr>
    </w:p>
    <w:p>
      <w:pPr>
        <w:ind w:firstLine="656"/>
        <w:spacing w:after="0" w:line="282" w:lineRule="auto"/>
        <w:tabs>
          <w:tab w:leader="none" w:pos="77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4"/>
          <w:szCs w:val="24"/>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w:t>
      </w:r>
    </w:p>
    <w:p>
      <w:pPr>
        <w:sectPr>
          <w:pgSz w:w="11900" w:h="16838" w:orient="portrait"/>
          <w:cols w:equalWidth="0" w:num="1">
            <w:col w:w="11240"/>
          </w:cols>
          <w:pgMar w:left="320" w:top="441" w:right="339" w:bottom="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with Section 8(a) of the Securities Act or until the registration statement shall become effective on such date as the Securities and Exchange Commission (the “SEC”), acting pursuant to said Section 8(a), may determine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the solicitation of an offer to buy these securities in any jurisdiction where the offer or sale is not permitted</w:t>
      </w:r>
      <w:r>
        <w:rPr>
          <w:rFonts w:ascii="Times New Roman" w:cs="Times New Roman" w:eastAsia="Times New Roman" w:hAnsi="Times New Roman"/>
          <w:sz w:val="18"/>
          <w:szCs w:val="18"/>
          <w:color w:val="FF0000"/>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COMPLETION—DATED XXX [ ],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PRELIMINARY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We are offering [ ] ordinary shares, $0.0001 par value per share (“Ordinary Shares”). This is the initial public offering of our Ordinary Shares. Prior to this offering, there has been no public market for Ordinary Shares. The initial public offering price of the Ordinary Shares is $[ ] per share.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Diginex Limited (“Diginex Limited” or the “Company”) plans to submit an application to the Nasdaq Stock Market to list our Ordinary Shares on the</w:t>
      </w:r>
    </w:p>
    <w:p>
      <w:pPr>
        <w:spacing w:after="0" w:line="27"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18"/>
          <w:szCs w:val="18"/>
          <w:color w:val="auto"/>
        </w:rPr>
        <w:t>Nasdaq Capital Market under the symbol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will be subject to reduced public company reporting requirements. See “Prospectus Summary — Implications of Our Being an ‘Emerging Growth Company’” and “Risk Factors” on pages [ ] and 8,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 Limited is a Cayman Islands exempted company, incorporated under the laws of the Cayman Islands on January 26, 2024. Prior to our initial public offering, Diginex Limited and Diginex Solutions (HK) Limited (“DSL”) will undergo a restructuring pursuant to a share exchange agreement (the “Share Exchange Agreement”), whereby the then existing shareholders of DSL will transfer all of their shares in DSL to Diginex Limited, in consideration for Diginex Limited’s issuance of its new shares to such shareholders. Upon consummation of the Share Exchange Agreement, DSL will be a wholly owned subsidiary of Diginex Limited, and the existing shareholders of DSL will become shareholders of Diginex Limited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Share Exchange Agreement, prior to our initial public offering, Diginex Limited will also (i) issue new convertible loan notes to certain Original Shareholders in consideration for the cancellation of the then existing convertible loan notes issued by DSL held by such Original Shareholders; (ii) grant certain share options under the new share option plan expected to be adopted by Diginex Limited to the holders of the unexercised share options granted by DSL (the “</w:t>
      </w:r>
      <w:r>
        <w:rPr>
          <w:rFonts w:ascii="Times New Roman" w:cs="Times New Roman" w:eastAsia="Times New Roman" w:hAnsi="Times New Roman"/>
          <w:sz w:val="18"/>
          <w:szCs w:val="18"/>
          <w:b w:val="1"/>
          <w:bCs w:val="1"/>
          <w:color w:val="auto"/>
        </w:rPr>
        <w:t>Original Share Options</w:t>
      </w:r>
      <w:r>
        <w:rPr>
          <w:rFonts w:ascii="Times New Roman" w:cs="Times New Roman" w:eastAsia="Times New Roman" w:hAnsi="Times New Roman"/>
          <w:sz w:val="18"/>
          <w:szCs w:val="18"/>
          <w:color w:val="auto"/>
        </w:rPr>
        <w:t>”), in consideration for the cancellation of the Original Share Options held by such holders and</w:t>
      </w:r>
    </w:p>
    <w:p>
      <w:pPr>
        <w:spacing w:after="0" w:line="3" w:lineRule="exact"/>
        <w:rPr>
          <w:sz w:val="20"/>
          <w:szCs w:val="20"/>
          <w:color w:val="auto"/>
        </w:rPr>
      </w:pPr>
    </w:p>
    <w:p>
      <w:pPr>
        <w:ind w:firstLine="8"/>
        <w:spacing w:after="0" w:line="260"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grant certain warrants to purchase Ordinary Shares of Diginex Limited to the holders of the then existing warrants to purchase ordinary shares of DSL (the “</w:t>
      </w:r>
      <w:r>
        <w:rPr>
          <w:rFonts w:ascii="Times New Roman" w:cs="Times New Roman" w:eastAsia="Times New Roman" w:hAnsi="Times New Roman"/>
          <w:sz w:val="18"/>
          <w:szCs w:val="18"/>
          <w:b w:val="1"/>
          <w:bCs w:val="1"/>
          <w:color w:val="auto"/>
        </w:rPr>
        <w:t>Original Warrants</w:t>
      </w:r>
      <w:r>
        <w:rPr>
          <w:rFonts w:ascii="Times New Roman" w:cs="Times New Roman" w:eastAsia="Times New Roman" w:hAnsi="Times New Roman"/>
          <w:sz w:val="18"/>
          <w:szCs w:val="18"/>
          <w:color w:val="auto"/>
        </w:rPr>
        <w:t>”), in consideration for the cancellation of the Original Warrants held by such holders.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DSL is incorporated under the laws of Hong Kong and DSL’s principal executive offices and a portion of our global operations are located in Hong Kong. Neither Diginex Limited nor DSL operate in the People’s Republic of China (“PRC”) and neither Diginex Limited nor DSL have any contractual arrangements with any variable interest entities (“VIE”) in the PRC. Since neither Diginex Limited nor DSL is a mainland Chinese company they are not required to obtain permission from the government of the PRC to operate and issue our Ordinary Shares to foreign investors. It is the opinion of our PRC counsel that Diginex Limited and DSL are not subject to the requirements of the China Securities Regulatory Commission (“CSRC”) or the Cyberspace Administration of China (“CAC”), and their operations are not subject to the review or approval of any other PRC governmental authority. If Diginex Limited and/or DSL was required to obtain approval from the CSRC, CAC or other PRC governmental authorities, obtaining such approvals could significantly limit or completely hinder Diginex Limited’s ability to offer or continue to offer securities to investors and cause the value of Diginex Limited’s securities, including the Ordinary Shares, to significantly decline in value or be worthless. If Diginex Limited or DSL is required to obtain approval by the CSRC, CAC or other PRC governmental authorities,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 trading.</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February 17, 2023, the CSRC promulgated Trial Administrative Measures of the Overseas Securities Offering and Listing by Domestic Companies and relevant supporting guidelines, which became effected on March 31, 2023. On December 28, 2021, the CAC and certain other PRC regulatory authorities promulgated the Measures for Cybersecurity Review, which became effected on February 15, 2022. The promulgation of such new measures indicate that the Chinese government has stepped up supervision of mainland Chinese firms listed offshore and cross-border data flows and security, police illegal activity in the securities market and punish fraudulent securities issuances, market manipulation and insider trading. PRC will also monitor sources of funding for securities investment and control leverage ratios. The CAC has also opened a cybersecurity probe into several large U.S.-listed technology companies focusing on anti-monopoly and financial technology regulation and, more recently with the passage of the Data Security Law, how companies collect, store, process and transfer data.</w:t>
      </w:r>
      <w:r>
        <w:rPr>
          <w:rFonts w:ascii="Times New Roman" w:cs="Times New Roman" w:eastAsia="Times New Roman" w:hAnsi="Times New Roman"/>
          <w:sz w:val="29"/>
          <w:szCs w:val="29"/>
          <w:color w:val="auto"/>
          <w:vertAlign w:val="superscript"/>
        </w:rPr>
        <w:t>1</w:t>
      </w:r>
    </w:p>
    <w:p>
      <w:pPr>
        <w:spacing w:after="0" w:line="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Hong Kong company that does not operate in the PRC, the laws and regulations of the PRC do not currently have any material impact on our business, financial condition or results of operations. The exception to this are (i) The Law of the People’s Republic of China on Safeguarding National Security in the Hong Kong Special Administrative Region (also known as the Hong Kong National Security Law). This is a PRC law which has direct application to Hong Kong and carries world-wide extraterritorial effect covering both PRC and non-PRC national; (ii) The Arrangement on Reciprocal Recognition and Enforcement of Judgments in Civil and Commercial Matters by the Courts of the Mainland and of the Hong Kong Special Administrative Region (“New Arrangement”), On the Hong Kong side, the New Arrangement needs to be implemented through local laws. According to the Hong Kong government’s constitutional report on November 10, 2023, the Mainland Civil and Commercial Judgments (Mutual Enforcement) Ordinance (Chapter 645) and the Mainland Civil and Commercial Judgments (Mutual Enforcement) Rules came into effect on January 29, 2024.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mainland China or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Hong Kong authorities have announced their plan to enact further national security related legislation in 2024. The contents of these new laws are still unknown but they may have a further impact on foreign organizations and their operations in Hong Kong. The Chinese government may intervene or influence our current and future operations in Hong Kong and PRC at any time, or may exert more control over offerings conducted overseas and/or foreign investment in issuers likes ourselves.</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certain PRC laws and regulations were to become applicable to Diginex Limited or DSL in the future, the application of such laws and regulations may have a material adverse impact on our business, financial condition and results of operations and our ability to offer or continue to offer</w:t>
      </w:r>
    </w:p>
    <w:p>
      <w:pPr>
        <w:sectPr>
          <w:pgSz w:w="11900" w:h="16941" w:orient="portrait"/>
          <w:cols w:equalWidth="0" w:num="1">
            <w:col w:w="11240"/>
          </w:cols>
          <w:pgMar w:left="320" w:top="657" w:right="339" w:bottom="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securities to investors, any of which may cause the value of our securities, including Diginex Limited’s Ordinary Shares, to significantly decline or become worthless. For example, if the PRC Data Security Law were to apply to Diginex Limited’s Hong Kong-based businesses, Diginex Limited and it subsidiaries could become subject to data security and privacy obligations, including the need to conduct a national security review of data activities that may affect the national security of the PRC, and be prohibited from providing data stored in Hong Kong to foreign judicial or law enforcement agencies without approval from relevant PRC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2021, the SEC adopted rules to implement the Holding Foreign Companies Accountable Act (“HFCAA”) and pursuant to the HFCAA, the PCAOB issued its report notifying the SEC of its determination that it is unable to inspect or investigate completely accounting firms headquartered in mainland China or Hong Kong. If any law relating to the PCAOB access to auditor files were to apply to a company such as us or our auditor, the PCAOB may be unable to fully inspect our auditor, which may result in our securities, including our Ordinary Shares, being delisted or prohibited from being traded pursuant to the HFCAA and materially and adversely affect the value and/or liquidity of your investment. Diginex Limited’s independent registered public accounting firm, UHY LLP, is not subject to the determinations announced by the PCAOB on December 16, 2021. UHY LLP are headquartered in New York, NY and are not headquartered in the PRC or Hong Kong. The PCAOB currently has access to inspect the working papers of UHY LLP. As a result, we do not believe the HFCAA and related regulations will affect Diginex Limited. If, however, Diginex Limited’s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Diginex Limited could be at risk of delisting or become subject to other penalties that would adversely affect Diginex Limited’s ability to remain listed on the Nasdaq.</w:t>
      </w:r>
    </w:p>
    <w:p>
      <w:pPr>
        <w:spacing w:after="0" w:line="19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addition, while we believe that the statements or regulatory actions by the relevant parts of the PRC government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including those in relation to PRC Data Security Law, the CAC, the PRC Personal Information Protection Law and VIEs, and the anti-monopoly enforcement actions taken by relevant PRC government authorities, will not have any material adverse impact on our ability to conduct business, accept foreign investments, or list on a U.S. or other foreign exchange, there is no guarantee that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 While we cannot predict the extent of such impact if such events were to occur, 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 Limited’s business lines, individually or together with our other business lines will be able to produce sufficient cash flows to fund the capital requirements and expenditures necessary to run the business and relocate.</w:t>
      </w:r>
    </w:p>
    <w:p>
      <w:pPr>
        <w:spacing w:after="0" w:line="19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For additional detail on these and other risks, see “</w:t>
      </w:r>
      <w:r>
        <w:rPr>
          <w:rFonts w:ascii="Times New Roman" w:cs="Times New Roman" w:eastAsia="Times New Roman" w:hAnsi="Times New Roman"/>
          <w:sz w:val="18"/>
          <w:szCs w:val="18"/>
          <w:i w:val="1"/>
          <w:iCs w:val="1"/>
          <w:color w:val="auto"/>
        </w:rPr>
        <w:t>Risk Factors – Risks Related to Doing Business in Hong Kong</w:t>
      </w:r>
      <w:r>
        <w:rPr>
          <w:rFonts w:ascii="Times New Roman" w:cs="Times New Roman" w:eastAsia="Times New Roman" w:hAnsi="Times New Roman"/>
          <w:sz w:val="18"/>
          <w:szCs w:val="18"/>
          <w:color w:val="auto"/>
        </w:rPr>
        <w:t>” starting on page 14 of this prospectus.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An investment in our securities involves risks.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beginning on page 8 of this prospectus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r>
        <w:rPr>
          <w:rFonts w:ascii="Times New Roman" w:cs="Times New Roman" w:eastAsia="Times New Roman" w:hAnsi="Times New Roman"/>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9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20" w:type="dxa"/>
            <w:vAlign w:val="bottom"/>
          </w:tcPr>
          <w:p>
            <w:pPr>
              <w:spacing w:after="0"/>
              <w:rPr>
                <w:sz w:val="21"/>
                <w:szCs w:val="21"/>
                <w:color w:val="auto"/>
              </w:rPr>
            </w:pPr>
          </w:p>
        </w:tc>
        <w:tc>
          <w:tcPr>
            <w:tcW w:w="20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w:t>
            </w:r>
            <w:r>
              <w:rPr>
                <w:rFonts w:ascii="Times New Roman" w:cs="Times New Roman" w:eastAsia="Times New Roman" w:hAnsi="Times New Roman"/>
                <w:sz w:val="29"/>
                <w:szCs w:val="29"/>
                <w:color w:val="auto"/>
                <w:vertAlign w:val="superscript"/>
              </w:rPr>
              <w:t>(1)</w:t>
            </w:r>
          </w:p>
        </w:tc>
        <w:tc>
          <w:tcPr>
            <w:tcW w:w="416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56"/>
        </w:trPr>
        <w:tc>
          <w:tcPr>
            <w:tcW w:w="4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(2)</w:t>
            </w:r>
          </w:p>
        </w:tc>
        <w:tc>
          <w:tcPr>
            <w:tcW w:w="416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in this prospectus for more information regarding our arrangements with the underwriters.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total cash expenses for this offering (including cash expenses payable to Chardan Capital Markets LLC (“Chardan”), as representative</w:t>
      </w:r>
    </w:p>
    <w:p>
      <w:pPr>
        <w:spacing w:after="0" w:line="9"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of the underwriters (the “Representative”), for their advisory fee and out-of-pocket expenses) to be approximately $ , exclusive of the above underwriting discounts.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expect our total cash expenses for this offering (including cash expenses payable to the Representative for their advisory fee and out-of-pocket expenses) to be approximately $ , exclusive of the above underwriting discounts. In addition, we will pay additional items of value in connection with this offering that are viewed by the Financial Industry Regulatory Authority, or FINRA, as underwriting compensation. These payments will further reduce proceeds available to us before expenses. See “Underwriting.”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offering is being conducted on a firm commitment basis. The underwriters are obligated to take and pay for all of the shares if any such shares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are taken. We have granted the underwriters an option for a period of 45 days after the closing of this offering to purchase up to [ ] shares, or 15% of the total number of our Ordinary Shares to be offered by us pursuant to this offering (excluding shares subject to this option), solely for the purpose of covering over-allotments, at the initial public offering price less the underwriting discount. If the underwriters exercise the over-allotment option in full and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all of the investors in this offering are introduced by the underwriters, the total underwriting discounts payable will be between $ and $ based on an offering price of $ per Ordinary Share, and the total gross proceeds to us, before underwriting discounts and expenses, will be between $ and</w:t>
      </w:r>
    </w:p>
    <w:p>
      <w:pPr>
        <w:spacing w:after="0" w:line="1"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we complete this offering, net proceeds will be delivered to us on the closing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99"/>
              </w:rPr>
              <w:t>The underwriters expect to deliver the Ordinary Shares against payment as set forth under “Underwriting”, on or about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522"/>
        </w:trPr>
        <w:tc>
          <w:tcPr>
            <w:tcW w:w="6500" w:type="dxa"/>
            <w:vAlign w:val="bottom"/>
          </w:tcPr>
          <w:p>
            <w:pPr>
              <w:ind w:left="5140"/>
              <w:spacing w:after="0"/>
              <w:rPr>
                <w:sz w:val="20"/>
                <w:szCs w:val="20"/>
                <w:color w:val="auto"/>
              </w:rPr>
            </w:pPr>
            <w:r>
              <w:rPr>
                <w:rFonts w:ascii="Times New Roman" w:cs="Times New Roman" w:eastAsia="Times New Roman" w:hAnsi="Times New Roman"/>
                <w:sz w:val="25"/>
                <w:szCs w:val="25"/>
                <w:b w:val="1"/>
                <w:bCs w:val="1"/>
                <w:color w:val="auto"/>
              </w:rPr>
              <w:t>Chardan</w:t>
            </w:r>
          </w:p>
        </w:tc>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3"/>
        </w:trPr>
        <w:tc>
          <w:tcPr>
            <w:tcW w:w="6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23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 2024.</w:t>
            </w: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231"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CORPORATE HISTORY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INDUSTRY OVERVIEW</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INDEBTEDNESS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FOR THE SIX</w:t>
            </w: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40" w:type="dxa"/>
            <w:vAlign w:val="bottom"/>
            <w:tcBorders>
              <w:top w:val="single" w:sz="8" w:color="0000EE"/>
            </w:tcBorders>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2023</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FOR THE YEAR</w:t>
            </w: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40" w:type="dxa"/>
            <w:vAlign w:val="bottom"/>
            <w:tcBorders>
              <w:top w:val="single" w:sz="8" w:color="0000EE"/>
            </w:tcBorders>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2023</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RELATED TO THE OFFERING</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6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We and the underwriters have not authorized anyone to provide any information or to make any representations other than those contained in this prospectus or in any free writing prospectuses prepared by us or on our behalf or to which we have referred you. We take no responsibility for, and can provide no assurance as to the reliability of, any other information that others may give you. This prospectus is an offer to sell only the shares offered hereby, but only under circumstances and in jurisdictions where it is lawful to do so. We are not making an offer to sell these securities in any jurisdiction where the offer or sale is not permitted or where the person making the offer or sale is not qualified to do so or to any person to whom it is not permitted to make such offer or sale. The information contained in this prospectus is current only as of the date on the front cover page of the prospectus. Our business, financial condition, results of operations and prospects may have changed since that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includes statements that express Diginex Limited’s opinions, expectations, beliefs, plans, objectives, assumptions or projections regarding future events or future results and therefore are, or may be deemed to be, “forward-looking statements” within the meaning of Section 27A of the Securities Act and Section 21E of the Securities Exchange Act of 1934 (the “Exchange Act”).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our intentions, beliefs or current expectations concerning, among other things, results of operations, financial condition, liquidity, prospects, growth, strategies and the markets in which the Company operates. Such forward-looking statements are based on available current market material and management’s expectations, beliefs and forecasts concerning future events impacting Diginex Limited. You are cautioned that any such forward-looking statements are not guarantees of future performance and involve risks and uncertainties, as well as assumptions, which, if they were to ever materialize or prove incorrect, could cause the results of Diginex Limited to differ materially from those expressed or implied by such forward-looking statements. Potential risks and uncertainties include those generally set forth under “Risk Factors” and elsewhere in this prospectus, including without limitation:</w:t>
      </w:r>
    </w:p>
    <w:p>
      <w:pPr>
        <w:spacing w:after="0" w:line="190" w:lineRule="exact"/>
        <w:rPr>
          <w:sz w:val="20"/>
          <w:szCs w:val="20"/>
          <w:color w:val="auto"/>
        </w:rPr>
      </w:pPr>
    </w:p>
    <w:p>
      <w:pPr>
        <w:jc w:val="both"/>
        <w:ind w:left="1300" w:hanging="320"/>
        <w:spacing w:after="0" w:line="255"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liquidity, cash flows and uses of cash, capital expenditures, and our ability to maintain access to content and manage partnerships, and to invest in growth initiatives and pursue acquisition opportunities;</w:t>
      </w:r>
    </w:p>
    <w:p>
      <w:pPr>
        <w:spacing w:after="0" w:line="2"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financial condition and results of operations due to public health issues, including epidemics or pandemics such as COVID-19;</w:t>
      </w:r>
    </w:p>
    <w:p>
      <w:pPr>
        <w:ind w:left="130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financial condition and results of operations due to global events, including the ongoing conflict between Russia/Ukraine and Israel/Gaza;</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uncertainties related to the laws and regulations of the PRC;</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government’s potential intervention or influence over our current and future operations in Hong Kong;</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net revenue, operating expenses, and our ability to achieve and maintain future profitability;</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lines and our ability to effectively manage our growth;</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services;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further penetrate our existing customer base;</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and grow our business in response to changing technologies, customer demand, and competitive pressures;</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third parties;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internationally;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each of our business lines effectively;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or investments in complementary companies, products, services, or technologies and our ability to successfully integrate such companies or assets;</w:t>
      </w:r>
    </w:p>
    <w:p>
      <w:pPr>
        <w:ind w:left="130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in compliance with laws and regulations that currently apply or become applicable to our business both in the United States and internationally;</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revenue, cost of revenue, and gross margin;</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operating expenses, including technology and development expenses, sales and marketing expenses, and general and administrative expenses, and expectations regarding these expenses as a percentage of revenue; and</w:t>
      </w: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requirements and expenses associated with being a public company.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Readers are urged to carefully review and consider the various disclosures made by us in this prospectus. This filing attempt to advise interested parties of the risks and factors that may affect our business, financial condition and results of operations and prospects. The forward-looking statements made in this prospectus speak only as of the date hereof and we disclaim any obligation, except as required by law, to provide updates, revisions or amendments to any forward-looking statements to reflect changes in our expectations or future events.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ind w:left="3744"/>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otherwise indicated by the context and for purposes of this prospectus only, references in this prospectus to:</w:t>
      </w:r>
    </w:p>
    <w:p>
      <w:pPr>
        <w:spacing w:after="0" w:line="225" w:lineRule="exact"/>
        <w:rPr>
          <w:sz w:val="20"/>
          <w:szCs w:val="20"/>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is assisting companies define and implement their ESG strategies;</w:t>
      </w:r>
    </w:p>
    <w:p>
      <w:pPr>
        <w:spacing w:after="0" w:line="27"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“Memorandum and Articles” is to the Company’s memorandum and articles of association;</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Companies Act (As Revised) of the Cayman Islands;</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is developing bespoke solutions for clients onto of ESG Entity Reporting or Lumen</w:t>
      </w:r>
    </w:p>
    <w:p>
      <w:pPr>
        <w:spacing w:after="0" w:line="9" w:lineRule="exact"/>
        <w:rPr>
          <w:rFonts w:ascii="Times New Roman" w:cs="Times New Roman" w:eastAsia="Times New Roman" w:hAnsi="Times New Roman"/>
          <w:sz w:val="18"/>
          <w:szCs w:val="18"/>
          <w:color w:val="auto"/>
        </w:rPr>
      </w:pPr>
    </w:p>
    <w:p>
      <w:pPr>
        <w:ind w:left="324" w:right="20"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Services” is the collection of data from suppliers on behalf of clients to aid the full visibility of results from supply chain due diligence</w:t>
      </w:r>
    </w:p>
    <w:p>
      <w:pPr>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Limited” or the “Company” means Diginex Limited, an exempted company with limited liability incorporated under the laws of the Cayman Islands, and its subsidiaries;</w:t>
      </w: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Services” means Diginex Services Limited, a subsidiary of the Company, incorporated in the United Kingdom;</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USA” means Diginex USA LLC, a subsidiary of the Company, incorporated in Delaware, USA</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“diginexESG” is end to end reporting from topic discovery, data collection to collaborative report publishing;</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“diginexESG Entity Reporting” is advanced reporting across multiple entities with data comparison and aggregation;</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“diginexLUMEN” is democratizing supply chain risk assessment and monitoring;</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“diginexApprise” gives workers a voice in supply chain due diligence, proving companies with reliable insights for their risk assessment;</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“diginexPartners” is the creation of customized development and /or white label solutions, also referred to as “Customization”;</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means Diginex Solutions (HK) Limited, a Hong Kong corporation, and its consolidated subsidiaries;</w:t>
      </w:r>
    </w:p>
    <w:p>
      <w:pPr>
        <w:spacing w:after="0" w:line="9" w:lineRule="exact"/>
        <w:rPr>
          <w:rFonts w:ascii="Times New Roman" w:cs="Times New Roman" w:eastAsia="Times New Roman" w:hAnsi="Times New Roman"/>
          <w:sz w:val="18"/>
          <w:szCs w:val="18"/>
          <w:color w:val="auto"/>
        </w:rPr>
      </w:pPr>
    </w:p>
    <w:p>
      <w:pPr>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means Environmental, Social, and Governance. ESG is a framework that helps stakeholders understand how an organization is managing risks and opportunities related to environmental, social and governance criteria;</w:t>
      </w:r>
    </w:p>
    <w:p>
      <w:pPr>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“GHG protocol” is Greenhouse Gas Protocol which provides standards, guidance, tools and training to measure and manage climate warming emissions;</w:t>
      </w: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software sales” is the sale of diginexESG and/or diginexLUMEN on 12 month recurring subscription agreements;</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the ordinary shares of Diginex Limited, with par value of $0.0001 per share;</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means the preferred shares of Diginex Limited, with par value of US$0.0001 per share;</w:t>
      </w:r>
    </w:p>
    <w:p>
      <w:pPr>
        <w:spacing w:after="0" w:line="9" w:lineRule="exact"/>
        <w:rPr>
          <w:rFonts w:ascii="Times New Roman" w:cs="Times New Roman" w:eastAsia="Times New Roman" w:hAnsi="Times New Roman"/>
          <w:sz w:val="18"/>
          <w:szCs w:val="18"/>
          <w:color w:val="auto"/>
        </w:rPr>
      </w:pPr>
    </w:p>
    <w:p>
      <w:pPr>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or “Warrants” means the warrants issued to certain persons pursuant to certain securities purchase agreements, each exercisable for one Ordinary Share;</w:t>
      </w: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 shares” means the Ordinary Shares to be issued upon exercise of the private placement warrants;</w:t>
      </w:r>
    </w:p>
    <w:p>
      <w:pPr>
        <w:spacing w:after="0" w:line="9" w:lineRule="exact"/>
        <w:rPr>
          <w:rFonts w:ascii="Times New Roman" w:cs="Times New Roman" w:eastAsia="Times New Roman" w:hAnsi="Times New Roman"/>
          <w:sz w:val="18"/>
          <w:szCs w:val="18"/>
          <w:color w:val="auto"/>
        </w:rPr>
      </w:pPr>
    </w:p>
    <w:p>
      <w:pPr>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mean The Peoples Republic of China, also referred to as “mainland China” (for the sole purpose of this registration statement, excluding the Hong Kong Special Administrative Region, the Macau Special Administrative Region and Taiwan region).</w:t>
      </w:r>
    </w:p>
    <w:p>
      <w:pPr>
        <w:jc w:val="both"/>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means the restructuring of DSL involving the transfer of shares of DSL from its then shareholders to the Company in consideration for the issuance of new shares of the Company to such shareholders pursuant to the terms and conditions of the Share Exchange Agreement.</w:t>
      </w:r>
    </w:p>
    <w:p>
      <w:pPr>
        <w:spacing w:after="0" w:line="1" w:lineRule="exact"/>
        <w:rPr>
          <w:rFonts w:ascii="Times New Roman" w:cs="Times New Roman" w:eastAsia="Times New Roman" w:hAnsi="Times New Roman"/>
          <w:sz w:val="18"/>
          <w:szCs w:val="18"/>
          <w:color w:val="auto"/>
        </w:rPr>
      </w:pPr>
    </w:p>
    <w:p>
      <w:pPr>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1, 2 and 3 carbon footprint” is a way of categorizing the different kinds of carbon emissions a company creates from its own operations, and its wider value chain; and</w:t>
      </w:r>
    </w:p>
    <w:p>
      <w:pPr>
        <w:jc w:val="both"/>
        <w:ind w:left="324" w:hanging="324"/>
        <w:spacing w:after="0" w:line="250"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Exchange Agreement” means the written agreement to be entered into by and among DSL, the then shareholders of DSL and Diginex Limited, pursuant to which the then existing shareholders of DSL will transfer all of their shares in DSL to Diginex Limited, in exchange for Diginex Limited’s issuance of its new shares to such shareholders. Upon consummation of the Share Exchange Agreement, DSL will become a direct wholly owned subsidiary of Diginex Limited, and the existing shareholders of DSL will become shareholders of Diginex Limited</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refers to Diginex Limited and its subsidiaries.</w:t>
      </w:r>
    </w:p>
    <w:p>
      <w:pPr>
        <w:spacing w:after="0" w:line="20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and does not contain all of the information that is important to you. This summary is qualified in its entirety by the more detailed information included in this prospectus. Before making your investment decision with respect to our securities, you should carefully read this entire prospectus, any applicable prospectus supplement and the documents referred to in “Where You Can Find More Information”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the terms the “Company,” “we,” “us” and “our” refer to Diginex Limited and its subsidiaries, after giving effect to the Restructuring described elsewhere in this prospectus whereby Diginex Limited will own DSL. “DSL” refers to Diginex Solutions (HK) Limited, a Hong Kong corporation, and its consolidated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Business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closing of the Restructuring, Diginex Limited will own 100% of DSL and all DSL’s business lines and subsidiaries.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DSL is an impact technology business that helps organizations to address the some of the most pressing Environmental, Social and Governance (“ESG”), climate and sustainability issues, utilizing blockchain, machine learning and data analysis technology to lead change and increase transparency in corporate social responsibility and climate action. Our products and services solutions enable companies to collect, evaluate and share sustainability data through easy-to-use software. DSL is headquartered in Hong Kong and has subsidiaries in the United Kingdom and United States, however the subsidiary in the United States is inactive. DSL also outsources a component of IT development and maintenance support to engineers in Vietnam.</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DSL has built several accessible, affordable and intelligent products to help democratize sustainability and offers multiple supporting services to complement the product suite.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DSL’s suite of products include the following:</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digninexESG</w:t>
      </w:r>
      <w:r>
        <w:rPr>
          <w:rFonts w:ascii="Times New Roman" w:cs="Times New Roman" w:eastAsia="Times New Roman" w:hAnsi="Times New Roman"/>
          <w:sz w:val="18"/>
          <w:szCs w:val="18"/>
          <w:color w:val="auto"/>
        </w:rPr>
        <w:t>: is an accredited Hong Kong Monetary Authority award winning cloud based ESG platform that offers end to end reporting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topic discovery, data collection to collaborative report publishing. Our diginexESG platform is ISO-27001 Certified (an international standard to manage information security), official partner of Global Reporting Initiative (GRI), Sustainability Accounting Standards Board (SASB), World Economic Forum and signatory of the United Nations Principles of Responsible Investment (UN PRI).</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diginexESG platform guides companies through the entire ESG journey; from materiality assessment &amp; stakeholder engagement, framework</w:t>
      </w:r>
    </w:p>
    <w:p>
      <w:pPr>
        <w:spacing w:after="0" w:line="27" w:lineRule="exact"/>
        <w:rPr>
          <w:sz w:val="20"/>
          <w:szCs w:val="20"/>
          <w:color w:val="auto"/>
        </w:rPr>
      </w:pPr>
    </w:p>
    <w:p>
      <w:pPr>
        <w:jc w:val="both"/>
        <w:ind w:firstLine="8"/>
        <w:spacing w:after="0" w:line="252"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indicator selection, the data collection and collaboration process, report creation, validation and ultimately report publishing. By leveraging machine learning and data analytics, diginexESG is able to drive material efficiencies in the reporting process, and the blockchain-enabled audit trail, whereby a record of each data activity is created and stored on a blockchain, provides greater transparency in the data thus increasing its value. Originally targeted specially at Small and Medium Sized Enterprises (SMEs) around the world who are new to ESG reporting and lack the budget or bandwidth to engage with traditional and often expensive consultants, diginexESG has increased its feature set to include functionality that also targets larger companies with more complex organizational structures. diginexESG has also been adopted by global commercial banks like HSBC to help engage with their diverse customer base at scale.</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diginexLUMEN</w:t>
      </w:r>
      <w:r>
        <w:rPr>
          <w:rFonts w:ascii="Times New Roman" w:cs="Times New Roman" w:eastAsia="Times New Roman" w:hAnsi="Times New Roman"/>
          <w:sz w:val="18"/>
          <w:szCs w:val="18"/>
          <w:color w:val="auto"/>
        </w:rPr>
        <w:t>: allows companies to execute comprehensive supply chain risk assessments about working conditions within the supply chain.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highlight w:val="white"/>
        </w:rPr>
        <w:t>Supplier information is validated against worker feedback and automated risk calculations enables companies to prioritize issues for mitigation and prevention of adverse impacts and improvement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2540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5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highlight w:val="white"/>
        </w:rPr>
        <w:t>diginexLUMEN focuses on broad data collection through complex inter-jurisdictional supply chains with a specific focus on social governance issues such as forced labor due diligence, gender risk and child labor risk. Through the collection of data from suppliers and validation by workers, diginexLUMEN relies on proprietary algorithms to generate risk scores to help companies identify which parts of their supply chain require greater scrutiny. The platform then auto-generates corrective action plans which allow the brands and suppliers to work together to remedy potentially problematic areas and reduce the risk score.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diginexAPPRISE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highlight w:val="white"/>
        </w:rPr>
        <w:t>is a multilingual application that collects standardized, actionable data related to working conditions directly from workers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highlight w:val="white"/>
        </w:rPr>
        <w:t xml:space="preserve">global supply chains. Through tailored question sets, companies can deploy surveys directly to workers in their supply chain on a variety of topics such as responsible recruitment, gender equality and pulse check living and working conditions. The worker voice tool was initially developed by the United Nations University Institute in Macau (UNU-IIST) in partnership with </w:t>
      </w:r>
      <w:r>
        <w:rPr>
          <w:rFonts w:ascii="Times New Roman" w:cs="Times New Roman" w:eastAsia="Times New Roman" w:hAnsi="Times New Roman"/>
          <w:sz w:val="18"/>
          <w:szCs w:val="18"/>
          <w:u w:val="single" w:color="auto"/>
          <w:color w:val="auto"/>
          <w:highlight w:val="white"/>
        </w:rPr>
        <w:t>The Mekong Club</w:t>
      </w:r>
      <w:r>
        <w:rPr>
          <w:rFonts w:ascii="Times New Roman" w:cs="Times New Roman" w:eastAsia="Times New Roman" w:hAnsi="Times New Roman"/>
          <w:sz w:val="18"/>
          <w:szCs w:val="18"/>
          <w:color w:val="auto"/>
          <w:highlight w:val="white"/>
        </w:rPr>
        <w:t xml:space="preserve"> – an organization working with the private sector to bring about sustainable practices against modern slavery, and was acquired by </w:t>
      </w:r>
      <w:r>
        <w:rPr>
          <w:rFonts w:ascii="Times New Roman" w:cs="Times New Roman" w:eastAsia="Times New Roman" w:hAnsi="Times New Roman"/>
          <w:sz w:val="18"/>
          <w:szCs w:val="18"/>
          <w:color w:val="auto"/>
        </w:rPr>
        <w:t>DSL on December 14, 2021.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diginexAPPRISE is available both as a standalone tool and also fully integrated into diginexLUMEN.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diginexCLIMATE</w:t>
      </w:r>
      <w:r>
        <w:rPr>
          <w:rFonts w:ascii="Times New Roman" w:cs="Times New Roman" w:eastAsia="Times New Roman" w:hAnsi="Times New Roman"/>
          <w:sz w:val="18"/>
          <w:szCs w:val="18"/>
          <w:color w:val="auto"/>
        </w:rPr>
        <w:t>: is a proprietary carbon footprint calculator based on the GHG protocols that is currently available as an integrated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diginexESG platform. This allows companies to seamlessly calculate their Scope 1, 2 and 3 carbon footprint as part of their overall ESG reporting journey. Scope 1 are those direct emissions that are owned or controlled by a company, whereas scopes 2 and 3 indirect emissions are the result of the activities of the company but occur from sources not owned or controlled by 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DSL also offers the following complementary services: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diginexADVISORY</w:t>
      </w:r>
      <w:r>
        <w:rPr>
          <w:rFonts w:ascii="Times New Roman" w:cs="Times New Roman" w:eastAsia="Times New Roman" w:hAnsi="Times New Roman"/>
          <w:sz w:val="18"/>
          <w:szCs w:val="18"/>
          <w:color w:val="auto"/>
        </w:rPr>
        <w:t>: is a service offered by DSL as a complement to the suite of DSL software license sales. diginexADVISORY provides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and advisory support at every stage of the sustainability journey, including assurance solutions for credible reporting. We also offer custom framework creation for clients who need more complex reporting templates or who want to set a benchmark for others in their industry. As part of diginexADVISORY we also develop and run one-off or programmatic training sessions covering a range of topics from a general introduction to ESG to complex carbon accounting and emissions.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diginexPARTNERS</w:t>
      </w:r>
      <w:r>
        <w:rPr>
          <w:rFonts w:ascii="Times New Roman" w:cs="Times New Roman" w:eastAsia="Times New Roman" w:hAnsi="Times New Roman"/>
          <w:sz w:val="18"/>
          <w:szCs w:val="18"/>
          <w:color w:val="auto"/>
        </w:rPr>
        <w:t>: is a service whereby DSL develops whitelabel versions of both diginexESG and diginexLUMEN for companies who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want to run either diginexESG or diginexLUMEN as an extension of their own service offering. This service often requires custom technology work up front for our clients that generates initial revenue as well as ongoing service and maintenance licenses which generate ongoing recurring revenue.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DSL develops custom software platforms as part of a project consortiums for organizations like the United States Department of State, United States Department of Labor, and the United Nations.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diginexMANAGEDSERVICES</w:t>
      </w:r>
      <w:r>
        <w:rPr>
          <w:rFonts w:ascii="Times New Roman" w:cs="Times New Roman" w:eastAsia="Times New Roman" w:hAnsi="Times New Roman"/>
          <w:sz w:val="18"/>
          <w:szCs w:val="18"/>
          <w:color w:val="auto"/>
        </w:rPr>
        <w:t>: is service to be offered by DSL to provide oversight and support to clients in operationalizing the roll out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products within their organizational structure or supplier base. This service can include training and education, onboarding, data collection and analysis, as well as general on-going support. We will be offering this kind of vertical integration as a service from 2024 onwards and expect it to become an important part of our overall product and service offering.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January 2024, DSL has a current headcount of 30, among which 23 are employees in Hong Kong and United Kingdom and 7 are contractors based in France, Germany, Spain, USA, Canada and Australia.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DSL’s Business</w:t>
      </w:r>
    </w:p>
    <w:p>
      <w:pPr>
        <w:spacing w:after="0" w:line="229"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has a limited operating history and has incurred operating losses since its inception as it has been investing in the build out of its business lines, but they are not assured to be profitable.</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breaches of our platform, or those impacting our customers or third parties, could adversely impact our brand and reputation and our business, operating results, and financial condition.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DSL’s business lines may not produce sufficient cash flows to fund the capital requirements and expenditures necessary to run the business.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reporting technology may not be widely adopted on blockchain due to association with digital assets.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DSL’s business lines may require technology certifications and qualifications that DSL does not currently have and that may be costly and time-consuming to obtain and, even if obtained, may subsequently be revoked.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suit of products, services and initiatives, could fail to attract users and partners or generate revenue.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faces substantial litigation risks.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may not successfully develop technology to service its business lines.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other systems and technology problems may materially and adversely affect DSL.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may not be able to keep pace with rapidly changing technology and client requirements.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may face the risk that one or more competitors have or will obtain patents covering technology critical to the operation of one or more of its business lines and that it may infringe on the intellectual property rights of others.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different business lines could present conflicts of interest.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in Hong Kong and worldwide, can adversely affect DSL’s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DSL’s business lines and its acceptance of currencies other than the U.S. Dollar will subject it to currency risk.</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Russian invasion of Ukraine and the armed conflict between Israel and Hamas.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 was previously owned by Eqonex Limited, until it was sold to Rhino Ventures Limited in May 2020. Eqonex Limited was focused on crypto currencies and went into liquidation in May 2022. There could be some legacy brand confusion which could impact the business of DSL and the value of Diginex Limited’s Ordinary Shares.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Risks Related to Diginex Limited’s incorporation in the Cayman Islands</w:t>
      </w:r>
    </w:p>
    <w:p>
      <w:pPr>
        <w:spacing w:after="0" w:line="229" w:lineRule="exact"/>
        <w:rPr>
          <w:sz w:val="20"/>
          <w:szCs w:val="20"/>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enforce a U.S. judgment against Diginex Limited or its directors and officers outside the United States, or to assert U.S. securities law claims outside of the United States.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Diginex Limited’s governance documents may inhibit a takeover of Diginex Limited, which could limit the price investors might be willing to pay in the future for Diginex Limited’s Ordinary Shares and could entrench management.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unable to present proposals before annual general meetings or extraordinary general meetings not called by shareholders.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expect to pay dividends in the foreseeable future after this offering and you must rely on price appreciation of our Ordinary Shares for return on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Diginex Solutions (HK) Limited is incorporated under the laws of Hong Kong. Our principal executive offices and a portion of our global operations are located in Hong Kong. We do not operate in the PRC. We are not a mainland Chinese firm and neither us nor any of our subsidiaries is required to obtain permission from the government of the PRC to operate and issue our ordinary shares to foreign investors. DSL and our subsidiaries are not covered by permissions requirements from the CSRC, CAC, and no other PRC entity is required to approve of the company’s operations. We do not believe that we are required to obtain any approvals to offer securities to foreign investors. We have evaluated the laws and regulations of the PRC in coming to this conclusion. This conclusion is based on DSL being a Hong Kong company, with no operations in the PRC, and no VIE in our corporate structure. Since our only connection to the PRC is a physical location in Hong Kong, we have not relied on an opinion of counsel to reach this conclusion, relying instead on our internal analysis of the applicable PRC laws and regulations.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DSL primarily holds cash in bank accounts located in Hong Kong, we have no bank accounts or cash in mainland China. There are no limitations on our ability to transfer cash from Hong Kong to our subsidiaries or investors.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We face risks and uncertainties relating to doing business in Hong Kong including, but not limited to, the following:</w:t>
      </w:r>
    </w:p>
    <w:p>
      <w:pPr>
        <w:spacing w:after="0" w:line="225"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intervention into business activities by U.S.-listed, Chinese companies may indicate an expansion of the PRC’s authority that could negatively impact our existing and future operations in Hong Kong and mainland China. For additional detail on this risk,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Risks Related to Doing Business in Hong Kong – The PRC government intervention into business activities by U.S.-listed Chinese companies may indicate an expansion of the PRC’s authority that could negatively impact our existing and future operations in Hong Kong and mainland China</w:t>
      </w:r>
      <w:r>
        <w:rPr>
          <w:rFonts w:ascii="Times New Roman" w:cs="Times New Roman" w:eastAsia="Times New Roman" w:hAnsi="Times New Roman"/>
          <w:sz w:val="18"/>
          <w:szCs w:val="18"/>
          <w:color w:val="auto"/>
        </w:rPr>
        <w:t>” starting on page 14 of this prospectus.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our company.</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regulations in the PRC and Hong Kong are evolving, and their enactment timetable, interpretation and implementation involve significant uncertainties. To the extent any PRC laws and regulations (or the equivalent Hong Kong version)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in Hong Kong. For additional detail on this risk, see “</w:t>
      </w:r>
      <w:r>
        <w:rPr>
          <w:rFonts w:ascii="Times New Roman" w:cs="Times New Roman" w:eastAsia="Times New Roman" w:hAnsi="Times New Roman"/>
          <w:sz w:val="18"/>
          <w:szCs w:val="18"/>
          <w:i w:val="1"/>
          <w:iCs w:val="1"/>
          <w:color w:val="auto"/>
        </w:rPr>
        <w:t>Risk Factors –Interpretation of PRC laws and the implementation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National Security Law in Hong Kong involve uncertainty.” </w:t>
      </w:r>
      <w:r>
        <w:rPr>
          <w:rFonts w:ascii="Times New Roman" w:cs="Times New Roman" w:eastAsia="Times New Roman" w:hAnsi="Times New Roman"/>
          <w:sz w:val="18"/>
          <w:szCs w:val="18"/>
          <w:color w:val="auto"/>
        </w:rPr>
        <w:t>starting on page 17 of this prospectus.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DSL’s business lines, individually or together with our other business lines will be able to produce sufficient cash flows to fund the capital requirements and expenditures necessary to run the business and relocate.</w:t>
      </w:r>
    </w:p>
    <w:p>
      <w:pPr>
        <w:spacing w:after="0" w:line="186" w:lineRule="exact"/>
        <w:rPr>
          <w:rFonts w:ascii="Times New Roman" w:cs="Times New Roman" w:eastAsia="Times New Roman" w:hAnsi="Times New Roman"/>
          <w:sz w:val="18"/>
          <w:szCs w:val="18"/>
          <w:color w:val="auto"/>
        </w:rPr>
      </w:pPr>
    </w:p>
    <w:p>
      <w:pPr>
        <w:jc w:val="both"/>
        <w:ind w:left="6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detail on these risks, see “</w:t>
      </w:r>
      <w:r>
        <w:rPr>
          <w:rFonts w:ascii="Times New Roman" w:cs="Times New Roman" w:eastAsia="Times New Roman" w:hAnsi="Times New Roman"/>
          <w:sz w:val="18"/>
          <w:szCs w:val="18"/>
          <w:i w:val="1"/>
          <w:iCs w:val="1"/>
          <w:color w:val="auto"/>
        </w:rPr>
        <w:t>Risk Factors – Risks Related to Doing Business in Hong Kong – Our business,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and/or the value of our ordinary shares or our ability to offer or continue to offer securities to investors may be materially and adversely affected if certain laws and regulations of the PRC become applicable to a company.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r>
        <w:rPr>
          <w:rFonts w:ascii="Times New Roman" w:cs="Times New Roman" w:eastAsia="Times New Roman" w:hAnsi="Times New Roman"/>
          <w:sz w:val="18"/>
          <w:szCs w:val="18"/>
          <w:color w:val="auto"/>
        </w:rPr>
        <w:t>” starting on page 14 of this prospectus.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actions by the PRC and the Hong Kong legislature have introduced risks and uncertainties concerning the Hong Kong legal system and the enforcement of the PRC’s laws in Hong Kong</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For additional detail on this risk, see “</w:t>
      </w:r>
      <w:r>
        <w:rPr>
          <w:rFonts w:ascii="Times New Roman" w:cs="Times New Roman" w:eastAsia="Times New Roman" w:hAnsi="Times New Roman"/>
          <w:sz w:val="18"/>
          <w:szCs w:val="18"/>
          <w:i w:val="1"/>
          <w:iCs w:val="1"/>
          <w:color w:val="auto"/>
        </w:rPr>
        <w:t>Risk Factors – Risks Related to Doing Business in Hong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Kong – The Hong Kong legal system embodies uncertainties which could limit the availability of legal protections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There are political risks associated with conducting business in Hong Kong</w:t>
      </w:r>
      <w:r>
        <w:rPr>
          <w:rFonts w:ascii="Times New Roman" w:cs="Times New Roman" w:eastAsia="Times New Roman" w:hAnsi="Times New Roman"/>
          <w:sz w:val="18"/>
          <w:szCs w:val="18"/>
          <w:color w:val="auto"/>
        </w:rPr>
        <w:t>” starting on page 16 of this prospectus.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in PRC, including some which may become applicable to Hong Kong, can change quickly with little advance notice, which could limit the legal protections available to the Company and its investors. For additional detail on this risk, see “</w:t>
      </w:r>
      <w:r>
        <w:rPr>
          <w:rFonts w:ascii="Times New Roman" w:cs="Times New Roman" w:eastAsia="Times New Roman" w:hAnsi="Times New Roman"/>
          <w:sz w:val="18"/>
          <w:szCs w:val="18"/>
          <w:i w:val="1"/>
          <w:iCs w:val="1"/>
          <w:color w:val="auto"/>
        </w:rPr>
        <w:t>Risk Factors – 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Doing Business in Hong Kong – The Hong Kong legal system embodies uncertainties which could limit the availability of legal protections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starting on page 16 of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intervene or influence our operations in Hong Kong at any time or may exert more control over offerings conducted overseas and/or foreign investment in us. For additional detail on this risk, see “</w:t>
      </w:r>
      <w:r>
        <w:rPr>
          <w:rFonts w:ascii="Times New Roman" w:cs="Times New Roman" w:eastAsia="Times New Roman" w:hAnsi="Times New Roman"/>
          <w:sz w:val="18"/>
          <w:szCs w:val="18"/>
          <w:i w:val="1"/>
          <w:iCs w:val="1"/>
          <w:color w:val="auto"/>
        </w:rPr>
        <w:t>Risk Factors – Risks Related to Doing Business in Hong Kong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Hong Kong government may face further restrictive measures from PRC government in the future</w:t>
      </w:r>
      <w:r>
        <w:rPr>
          <w:rFonts w:ascii="Times New Roman" w:cs="Times New Roman" w:eastAsia="Times New Roman" w:hAnsi="Times New Roman"/>
          <w:sz w:val="18"/>
          <w:szCs w:val="18"/>
          <w:color w:val="auto"/>
        </w:rPr>
        <w:t>” starting on page 17 of this prospectus.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PRC laws and the implementation of the National Security Law in Hong Kong involve uncertainty. For additional detail on this risk, see “</w:t>
      </w:r>
      <w:r>
        <w:rPr>
          <w:rFonts w:ascii="Times New Roman" w:cs="Times New Roman" w:eastAsia="Times New Roman" w:hAnsi="Times New Roman"/>
          <w:sz w:val="18"/>
          <w:szCs w:val="18"/>
          <w:i w:val="1"/>
          <w:iCs w:val="1"/>
          <w:color w:val="auto"/>
        </w:rPr>
        <w:t>Risk Factors – Risks Related to Doing Business in Hong Kong – Interpretation of PRC laws and the implementation of 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 Law in Hong Kong involve uncertainty</w:t>
      </w:r>
      <w:r>
        <w:rPr>
          <w:rFonts w:ascii="Times New Roman" w:cs="Times New Roman" w:eastAsia="Times New Roman" w:hAnsi="Times New Roman"/>
          <w:sz w:val="18"/>
          <w:szCs w:val="18"/>
          <w:color w:val="auto"/>
        </w:rPr>
        <w:t>” starting on page 17 of this prospectus. The Hong Kong authorities have announced their plan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 further national security related legislation in 2024. The contents of these new laws are still unknown but they may have a further impact on foreign organizations and their operations in Hong Kong.</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may be delisted or prohibited from being traded under the Holding Foreign Companies Accountable Act (“HFCAA”) if the PCAOB were unable to fully inspect our auditor. The delisting or the cessation of trading of our ordinary shares, or the threat of them being delisted or prohibited from being traded “over-the-counter,” may materially and adversely affect the value and/or liquidity of your investment. Additionally, if the PCAOB were unable to conduct full inspections of our auditor, it would deprive our investors of the benefits of such inspections. Our independent registered public accounting firm for the financial statements included in this prospectus, UHY LLP, is also not subject to the determinations announced by the PCAOB on December 16, 2021. UHY LLP are headquartered in New York, NY.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 For additional detail on this risk, see “</w:t>
      </w:r>
      <w:r>
        <w:rPr>
          <w:rFonts w:ascii="Times New Roman" w:cs="Times New Roman" w:eastAsia="Times New Roman" w:hAnsi="Times New Roman"/>
          <w:sz w:val="18"/>
          <w:szCs w:val="18"/>
          <w:i w:val="1"/>
          <w:iCs w:val="1"/>
          <w:color w:val="auto"/>
        </w:rPr>
        <w:t>Risk Factors – 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Doing Business in Hong Kong – Our ordinary shares may be delisted or prohibited from being traded 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 </w:t>
      </w:r>
      <w:r>
        <w:rPr>
          <w:rFonts w:ascii="Times New Roman" w:cs="Times New Roman" w:eastAsia="Times New Roman" w:hAnsi="Times New Roman"/>
          <w:sz w:val="18"/>
          <w:szCs w:val="18"/>
          <w:color w:val="auto"/>
        </w:rPr>
        <w:t>starting on page 17 of this prospectus.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 and This Offering</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face risks and uncertainties related to our Ordinary Shares and this offering, including, but not limited to:</w:t>
      </w:r>
    </w:p>
    <w:p>
      <w:pPr>
        <w:spacing w:after="0" w:line="225" w:lineRule="exact"/>
        <w:rPr>
          <w:sz w:val="20"/>
          <w:szCs w:val="20"/>
          <w:color w:val="auto"/>
        </w:rPr>
      </w:pPr>
    </w:p>
    <w:p>
      <w:pPr>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shareholders have a substantial influence over our company and his interests may not be aligned with the interests of our other shareholders;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a foreign private issuer and are exempt from certain Nasdaq corporate governance standards applicable to U.S. issuers, you will have less protection than you would have if we were a domestic issuer;</w:t>
      </w: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as a foreign private issuer we are exempt from certain corporate governance standards applicable to U.S. issuers, if we cannot satisfy, or continue to satisfy, the initial listing requirements and other rules of Na, our securities may be delisted, which could negatively impact the price of our securities and your ability to sell them;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as a result of being a public company, particularly after we cease to qualify as an “emerging growth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unable to present proposals before annual general meetings or extraordinary general meetings not called by shareholders;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Ordinary Shares may be thinly traded and you may be unable to sell at or near ask prices or at all if you need to sell your shares to raise money or otherwise desire to liquidate your shares;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experience immediate and substantial dilution in the net tangible book value of Ordinary Shares purchased;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for the foreseeable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Ordinary Shares price may subject us to securities litigation.;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 on these and other risks, see “</w:t>
      </w:r>
      <w:r>
        <w:rPr>
          <w:rFonts w:ascii="Times New Roman" w:cs="Times New Roman" w:eastAsia="Times New Roman" w:hAnsi="Times New Roman"/>
          <w:sz w:val="18"/>
          <w:szCs w:val="18"/>
          <w:i w:val="1"/>
          <w:iCs w:val="1"/>
          <w:color w:val="auto"/>
        </w:rPr>
        <w:t>Risk Factors – Risks Related to Doing Business in Hong Kong</w:t>
      </w:r>
      <w:r>
        <w:rPr>
          <w:rFonts w:ascii="Times New Roman" w:cs="Times New Roman" w:eastAsia="Times New Roman" w:hAnsi="Times New Roman"/>
          <w:sz w:val="18"/>
          <w:szCs w:val="18"/>
          <w:color w:val="auto"/>
        </w:rPr>
        <w:t>” starting on page 14 of this prospectus.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Smart-Space Fintech 2, Room 3, Unit 401-404, Core C, Cyberport, Telegraph Bay, Hong Kong. Our telephone number is +852 3618 5881. DSL’s website is located at </w:t>
      </w:r>
      <w:r>
        <w:rPr>
          <w:rFonts w:ascii="Times New Roman" w:cs="Times New Roman" w:eastAsia="Times New Roman" w:hAnsi="Times New Roman"/>
          <w:sz w:val="18"/>
          <w:szCs w:val="18"/>
          <w:i w:val="1"/>
          <w:iCs w:val="1"/>
          <w:color w:val="auto"/>
        </w:rPr>
        <w:t>https://www.diginex.com.</w:t>
      </w:r>
      <w:r>
        <w:rPr>
          <w:rFonts w:ascii="Times New Roman" w:cs="Times New Roman" w:eastAsia="Times New Roman" w:hAnsi="Times New Roman"/>
          <w:sz w:val="18"/>
          <w:szCs w:val="18"/>
          <w:color w:val="auto"/>
        </w:rPr>
        <w:t xml:space="preserve"> The information contained on, or that may be accessed through, our website is not part of, and is not incorporated into, this prospectus or the registration statement of which it forms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tables set forth, for the periods and dates indicated, certain selected historical financial information of DSL. You should read the following selected financial data in conjunction with “Operating and Financial Review and Prospects” and the audited financial statements and respective notes included elsewhere in this prospectus. Historical results are not necessarily indicative of the results that may be expected in the future</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(USD)</w:t>
            </w:r>
          </w:p>
        </w:tc>
        <w:tc>
          <w:tcPr>
            <w:tcW w:w="28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0" w:type="dxa"/>
            <w:vAlign w:val="bottom"/>
          </w:tcPr>
          <w:p>
            <w:pPr>
              <w:spacing w:after="0"/>
              <w:rPr>
                <w:sz w:val="1"/>
                <w:szCs w:val="1"/>
                <w:color w:val="auto"/>
              </w:rPr>
            </w:pPr>
          </w:p>
        </w:tc>
      </w:tr>
      <w:tr>
        <w:trPr>
          <w:trHeight w:val="245"/>
        </w:trPr>
        <w:tc>
          <w:tcPr>
            <w:tcW w:w="5560" w:type="dxa"/>
            <w:vAlign w:val="bottom"/>
            <w:vMerge w:val="continue"/>
          </w:tcPr>
          <w:p>
            <w:pPr>
              <w:spacing w:after="0"/>
              <w:rPr>
                <w:sz w:val="21"/>
                <w:szCs w:val="21"/>
                <w:color w:val="auto"/>
              </w:rPr>
            </w:pPr>
          </w:p>
        </w:tc>
        <w:tc>
          <w:tcPr>
            <w:tcW w:w="184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1,625,763</w:t>
            </w: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1,120,083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(9,257,598)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(12,966,860)</w:t>
            </w: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84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As at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560" w:type="dxa"/>
            <w:vAlign w:val="bottom"/>
          </w:tcPr>
          <w:p>
            <w:pPr>
              <w:spacing w:after="0"/>
              <w:rPr>
                <w:sz w:val="21"/>
                <w:szCs w:val="21"/>
                <w:color w:val="auto"/>
              </w:rPr>
            </w:pPr>
          </w:p>
        </w:tc>
        <w:tc>
          <w:tcPr>
            <w:tcW w:w="18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5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 Data:</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1,183,176</w:t>
            </w: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1,274,494</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1,588,573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1,790,266</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3,201,879</w:t>
            </w: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983,650</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17,870,534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11,619,000</w:t>
            </w: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24,299,414</w:t>
            </w:r>
          </w:p>
        </w:tc>
        <w:tc>
          <w:tcPr>
            <w:tcW w:w="3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15,041,816</w:t>
            </w: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(deficit)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(19,483,840)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(10,812,384)</w:t>
            </w:r>
          </w:p>
        </w:tc>
      </w:tr>
    </w:tbl>
    <w:p>
      <w:pPr>
        <w:spacing w:after="0" w:line="194"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8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45"/>
        </w:trPr>
        <w:tc>
          <w:tcPr>
            <w:tcW w:w="5560" w:type="dxa"/>
            <w:vAlign w:val="bottom"/>
          </w:tcPr>
          <w:p>
            <w:pPr>
              <w:jc w:val="right"/>
              <w:ind w:right="4990"/>
              <w:spacing w:after="0"/>
              <w:rPr>
                <w:sz w:val="20"/>
                <w:szCs w:val="20"/>
                <w:color w:val="auto"/>
              </w:rPr>
            </w:pPr>
            <w:r>
              <w:rPr>
                <w:rFonts w:ascii="Times New Roman" w:cs="Times New Roman" w:eastAsia="Times New Roman" w:hAnsi="Times New Roman"/>
                <w:sz w:val="18"/>
                <w:szCs w:val="18"/>
                <w:b w:val="1"/>
                <w:bCs w:val="1"/>
                <w:color w:val="auto"/>
                <w:w w:val="95"/>
              </w:rPr>
              <w:t>(USD)</w:t>
            </w:r>
          </w:p>
        </w:tc>
        <w:tc>
          <w:tcPr>
            <w:tcW w:w="196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55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5560" w:type="dxa"/>
            <w:vAlign w:val="bottom"/>
            <w:shd w:val="clear" w:color="auto" w:fill="CCEEFF"/>
          </w:tcPr>
          <w:p>
            <w:pPr>
              <w:jc w:val="right"/>
              <w:ind w:right="4150"/>
              <w:spacing w:after="0"/>
              <w:rPr>
                <w:sz w:val="20"/>
                <w:szCs w:val="20"/>
                <w:color w:val="auto"/>
              </w:rPr>
            </w:pPr>
            <w:r>
              <w:rPr>
                <w:rFonts w:ascii="Times New Roman" w:cs="Times New Roman" w:eastAsia="Times New Roman" w:hAnsi="Times New Roman"/>
                <w:sz w:val="18"/>
                <w:szCs w:val="18"/>
                <w:b w:val="1"/>
                <w:bCs w:val="1"/>
                <w:color w:val="auto"/>
                <w:w w:val="97"/>
              </w:rPr>
              <w:t>Operations Data:</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60" w:type="dxa"/>
            <w:vAlign w:val="bottom"/>
          </w:tcPr>
          <w:p>
            <w:pPr>
              <w:jc w:val="right"/>
              <w:ind w:right="4590"/>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643,267</w:t>
            </w:r>
          </w:p>
        </w:tc>
        <w:tc>
          <w:tcPr>
            <w:tcW w:w="4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987,367</w:t>
            </w:r>
          </w:p>
        </w:tc>
      </w:tr>
      <w:tr>
        <w:trPr>
          <w:trHeight w:val="216"/>
        </w:trPr>
        <w:tc>
          <w:tcPr>
            <w:tcW w:w="5560" w:type="dxa"/>
            <w:vAlign w:val="bottom"/>
            <w:shd w:val="clear" w:color="auto" w:fill="CCEEFF"/>
          </w:tcPr>
          <w:p>
            <w:pPr>
              <w:jc w:val="right"/>
              <w:ind w:right="4150"/>
              <w:spacing w:after="0"/>
              <w:rPr>
                <w:sz w:val="20"/>
                <w:szCs w:val="20"/>
                <w:color w:val="auto"/>
              </w:rPr>
            </w:pPr>
            <w:r>
              <w:rPr>
                <w:rFonts w:ascii="Times New Roman" w:cs="Times New Roman" w:eastAsia="Times New Roman" w:hAnsi="Times New Roman"/>
                <w:sz w:val="18"/>
                <w:szCs w:val="18"/>
                <w:color w:val="auto"/>
              </w:rPr>
              <w:t>Net profit/(loss)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872,075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(4,644,102)</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at September</w:t>
            </w:r>
          </w:p>
        </w:tc>
        <w:tc>
          <w:tcPr>
            <w:tcW w:w="1400" w:type="dxa"/>
            <w:vAlign w:val="bottom"/>
          </w:tcPr>
          <w:p>
            <w:pPr>
              <w:spacing w:after="0"/>
              <w:rPr>
                <w:sz w:val="18"/>
                <w:szCs w:val="18"/>
                <w:color w:val="auto"/>
              </w:rPr>
            </w:pPr>
          </w:p>
        </w:tc>
      </w:tr>
      <w:tr>
        <w:trPr>
          <w:trHeight w:val="238"/>
        </w:trPr>
        <w:tc>
          <w:tcPr>
            <w:tcW w:w="14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3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63"/>
        </w:trPr>
        <w:tc>
          <w:tcPr>
            <w:tcW w:w="142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4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16"/>
        </w:trPr>
        <w:tc>
          <w:tcPr>
            <w:tcW w:w="14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Combined Statements of Financial Position Data:</w:t>
            </w:r>
          </w:p>
        </w:tc>
        <w:tc>
          <w:tcPr>
            <w:tcW w:w="29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41,903</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4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920,503</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(5,900,471)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4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(12,401,595)</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4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(23,427,339)</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 (deficit)</w:t>
            </w:r>
          </w:p>
        </w:tc>
        <w:tc>
          <w:tcPr>
            <w:tcW w:w="4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(17,381,563)</w:t>
            </w:r>
          </w:p>
        </w:tc>
        <w:tc>
          <w:tcPr>
            <w:tcW w:w="1400" w:type="dxa"/>
            <w:vAlign w:val="bottom"/>
          </w:tcPr>
          <w:p>
            <w:pPr>
              <w:spacing w:after="0"/>
              <w:rPr>
                <w:sz w:val="18"/>
                <w:szCs w:val="18"/>
                <w:color w:val="auto"/>
              </w:rPr>
            </w:pPr>
          </w:p>
        </w:tc>
      </w:tr>
      <w:tr>
        <w:trPr>
          <w:trHeight w:val="439"/>
        </w:trPr>
        <w:tc>
          <w:tcPr>
            <w:tcW w:w="14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jc w:val="right"/>
              <w:ind w:right="2590"/>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you invest in our securities you should carefully consider those risk factors hereunder and those risk factors that may be included in any applicable prospectus supplement, together with all of the other information included in this prospectus and any prospectus supplement, in evaluating an investment in our securities.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Before deciding whether to invest in our securities, you should also refer to the other information contained in this prospectus, including the section entitled “Cautionary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DSL and its subsidiaries has a limited operating history and has incurred operating losses since its inception as it has been investing in the build out of its business lines but they are not assured to be profitable.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DSL and its subsidiaries have a limited operating history on which an investor might evaluate its performance. It is therefore subject to many of the risks common to early-stage enterprises, including under-capitalization, cash shortages, limitations with respect to personnel and financing sources and lack of revenues, any of which could have a material adverse effect on DSL and may force it to reduce or curtail its operations. DSL is not currently profitable and has incurred operating losses of $3.8 million for the six months ended September 30, 2023, and $7.3 million and $7.4 million for the years ended March 31, 2023 and 2022 respectively. There is no assurance that DSL will achieve a return on shareholders’ investments and the likelihood of success must be considered in light of the early stage of its operations. Even if DSL accomplishes its objectives, it may not generate positive cash flows or profits.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DSL’s business lines and are not assured to be profitable. During the six months ended September 30, 2023 and in the years ended March 31, 2023 and 2022, the business generated revenue of $0.6 million and $1.6 million and $1.1 million respectively. DSL may fail to develop its business lines or produce a return for its investors. It is possible that some of DSL’s business lines may be difficult to grow and it may become evident that a particular business line is not a productive use of capital or time. This could result in DSL modifying its business and focus away from such business lines.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DSL has and may continue to launch new business lines, offer new products and services within existing business lines or undertake other strategic projects There are substantial risks and uncertainties associated with these efforts and DSL could invest significant capital and resources into such efforts. Initial timetables for the development and introduction of new business lines or new products or services and price and profitability targets may not be met. New products or services may need to be initially launched on a limited basis prior to their full launch. In addition, DSL’s revenues and costs may fluctuate because new business lines, products and services generally require startup costs while revenues take time to develop, which may adversely impact DSL’s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DSL is unable to successfully build its business while controlling expenses, its ability to continue in business could depend on the ability to raise sufficient additional capital, obtain sufficient financing and monetize assets. There can be no guarantee that DSL will be able to raise funding in sufficient quantity or at acceptable terms to fund the continued development of its business lines.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occurrence of any of the foregoing risks would have a material adverse effect on DSL’s business, financial condition and results of operations.</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 is dependent on the continued importance of ESG to businesses and governments. If adoption of requirements to report on ESG does not grow as expected our business, operating results, and financial condition could be adversely affected</w:t>
      </w:r>
      <w:r>
        <w:rPr>
          <w:rFonts w:ascii="Times New Roman" w:cs="Times New Roman" w:eastAsia="Times New Roman" w:hAnsi="Times New Roman"/>
          <w:sz w:val="18"/>
          <w:szCs w:val="18"/>
          <w:b w:val="1"/>
          <w:bCs w:val="1"/>
          <w:i w:val="1"/>
          <w:iCs w:val="1"/>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 is partially subscription based and revenue is determined by attracting new clients and by renewal of subscriptions. The supporting services such as Advisory are generally contingent on the client subscription levels for diginexESG and diginexLUMEN. As such, if these lines of business do not grow as expected, our business, operating results and financial condition could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doubt about DSL ability to continue as a 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DSL’s audited consolidated financial statements for the years ended March 31 2023 and 2022, and the unaudited interim condensed consolidated financial statements for the six months ended September 30, 2023 were prepared assuming that DSL will continue as a going concern. DSL has suffered recurring operating losses since incorporation and these conditions raise doubt on DSL ability to continue as a going concern. The report of our independent registered public accounting firm on our financial statements for the years ended March 31, 2023 and 2022 included a paragraph on the emphasis of matter regarding going concern in order to draw prospective investors’ attention to the relevant note.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discussed in Note 2 of the consolidated financial statements for the years ended March 31, 2023 and 2022 and in Note 2 of the interim condensed consolidated financial statements for the six months ended September 30, 2023 and 2022, DSL’s ability to continue as a going concern will be dependent upon management’s plans and execution, which includes raising additional capital either through the proposed public offering or raising funds through alternative sources and reducing cash outflows by reducing costs. The founder has provided assurances that Rhino Ventures Limited, a company controlled by the founder, will continue to support DSL via the shareholder loans for the earlier of the next 12 months from the issuance date of the audited consolidated financial statements for the years ended March 31, 2023 and 2022 or the Form F-1 being declared effective. If DSL are unable to close this offering, fail to raise capital from alternative sources, fail to receiving funding from Rhino Ventures Limited, or fail reduce cash outflows via reducing costs, then DSL may not have the ability to continue as a going concern.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security breaches of our platform, or those impacting our customers or third parties, could adversely impact our brand and reputation and our business, operating results, and financial condition.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involves the collection, storage, processing, and transmission of confidential information, customer, employee, service provider, and other personal data. We have built our reputation on the premise that our platform offers customers a secure way to collect, hold and assess data to generate relevant ESG reporting, supply chain reports and impacts on climate, amongst others. As a result, any actual or perceived security breach of us or our third-party partners may, among others:</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our reputation and brand;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systems or services being unavailable and interrupt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improper disclosure of data and violations of applicable privacy and other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regulatory scrutiny, investigations, fines, penalties, and other legal, regulatory, and financial exposure;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significant remediation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customer confidence in, or decreased use of, our products and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attention of management from the operation of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compensation or contractual penalties from us to our customers or third parties as a result of losses to them or claims by them; and</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business and operating results.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Attacks upon systems across a variety of industries are increasing in their frequency, persistence, and sophistication, and, in many cases, are being conducted by sophisticated, well-funded, and organized groups and individuals, including state actors. The techniques used to obtain unauthorized, improper, or illegal access to systems and information,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 irregularities. Unauthorized parties have attempted, and we expect that they will continue to attempt, to gain access to our systems and facilities, as well as those of our customers, partners, and third-party service providers, through various means, including hacking, social engineering, phishing, and attempting to fraudulently induce individuals (including employees, service providers, and our customers) into disclosing usernames, passwords, payment card information, or other sensitive information, which may in turn be used to access our information technology systems.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As a result, our costs and the resources we devote to protecting against these advanced threats and their consequences may continue to increase over time.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maintain insurance coverage that we believe is adequate for the current stage of development of our business, it may be insufficient to protect us against all losses and costs stemming from system failures, security breaches, cyberattacks, and other types of unlawful activity, or any resulting disruptions from such events. Outages and disruptions of our platform, including any caused by cyberattacks, may harm our reputation and our business, operating results,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DSL’s business lines may not produce sufficient cash flows to fund the capital requirements and expenditures necessary to run the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guarantee that DSL’s business lines, individually or together with our other business lines will be able to produce sufficient cash flows to fund the capital requirements and expenditures necessary to run the business. Furthermore, DSL may not have or may not be able to obtain the technical skills or expertise needed to successfully or fully develop its business lines. While DSL has sought to retain and continues to competitively recruit experts, there may, from time to time, be a scarcity of management, technical, scientific, research and marketing personnel with appropriate training to develop and maintain development of its business lines. If DSL is not successful in its efforts to fully develop one or more of its business lines in a way that</w:t>
      </w:r>
    </w:p>
    <w:p>
      <w:pPr>
        <w:sectPr>
          <w:pgSz w:w="11900" w:h="16878" w:orient="portrait"/>
          <w:cols w:equalWidth="0" w:num="1">
            <w:col w:w="11240"/>
          </w:cols>
          <w:pgMar w:left="320" w:top="657" w:right="339" w:bottom="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is compliant with customer requirements, and demonstrate to users the utility and value of such business, or there is not sufficient demand for the business line to be commercially viable, one or more business line may not be viable, which could have an adverse effect on the DSL’s overall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DSL’s business lines may require technology certifications and qualifications that DSL does not currently have and that may be costly and time-consuming to obtain and, even if obtained, may subsequently be revoked.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DSL’s business lines may require technology certifications such as ISO27001. These qualifications and future maintenance to continue to be qualified are expensive and timing consuming to obtain and will occupy material management attention and is not certain to be successful. A failure or delay in receiving approval for a certification or qualification, or approval that is more limited in scope than initially requested, or subsequently limited or rescinded, could have a significant and negative effect on DSL, including the risk that a competitor gains an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suit of products, services and initiatives, could fail to attract users and partners or generate revenue.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suite of products, services and initiatives and changes to existing features, services and initiatives could fail to attract users, and partners or generate revenue. Our industry is subject to changes in technology, evolving customer needs and the introduction by competitors of new and enhanced offerings. We must constantly assess our business and determine whether we need to improve or re-allocate resources among our existing platform features and services or create new products (independently or in conjunction with third parties). Our ability to increase the size and engagement of our customers, attract partners and generate revenue will depend on those decisions. We may introduce significant changes to our existing platform and services or develop and introduce new products and services, which may not attract sufficient users or partners to generate revenue. If new or enhanced platform features or services fail to engage users, partners or generate sufficient revenue or operating profit to justify our investments, and our business and operating results could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DSL may face substantial litigation risks.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DSL depends to a significant extent on its relationships with its clients and its reputation for integrity and high-caliber professional services. As a result, if a client is not satisfied with DSL’s services or if there are allegations of negligent actions, including allegations by any of DSL’s partners, whether the ultimate outcome is favorable or unfavorable to DSL, or if there is negative publicity and press speculation about DSL, whether or not valid, it may harm DSL’s reputation and adversely affect the business and operating results.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Responding to inquiries, investigations, audits, lawsuits and proceedings, regardless of the ultimate outcome of the matter, is time-consuming and expensive and can divert the attention of senior management. The outcome of such proceedings may be difficult to predict or estimate until late in the proceedings, which may last a number of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while DSL maintains insurance for certain potential liabilities, such insurance does not cover all types and amounts of potential liabilities and is subject to various exclusions as well as caps on amounts refundable. Even if DSL believes a claim is covered by insurance, insurers may dispute DSL’s entitlement for a variety of different reasons, which may affect the timing and, if the insurers prevail, the amount of DSL’s recovery. Any claims or litigation, even if fully indemnified or insured, could damage DSL’s reputation and make it more difficult to compete effectively or to obtain adequate insurance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DSL may not successfully develop technology to service its business lines.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relies heavily on the use of technology that it has created or plans to create by itself or with other third-parties. If DSL’s technology solutions do not work as planned, or do not meet or continue to meet the level of quality required by DSL or its clients, it may make transacting business less efficient, more expensive and potentially prone to errors, thereby reducing the positive effects DSL seeks to make available to its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DSL may not be able to keep pace with rapidly changing technology and client requirements.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DSL’s success depends on its ability to develop new products and services for its business lines, while improving the performance and cost-effectiveness of its existing products and services, in each case in ways that address current and anticipated client requirements. Such success is dependent upon several factors, including functionality, competitive pricing and integration with existing and emerging technologies. New technologies could emerge that might enable DSL’s competitors to offer products and services with better combinations of price and performance, or that better address client requirements, than DSL’s products and services. Competitors may be able to respond more quickly and effectively than DSL can to new or changing opportunities, technologies, standards or client requirements.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significant lead time involved in bringing a new product or service to market, DSL is required to make a number of assumptions and estimates regarding the commercial feasibility of new products and services. As a result, it is possible that DSL may introduce a new product or service that uses technologies that have been displaced by the time of launch, addresses a market that no longer exists or is smaller than previously thought or otherwise is not competitive at the time of launch. The expenses or losses associated with an unsuccessful product or service development or launch, or a lack of market acceptance of DSL’s new products and services, could adversely affect DSL’s business, financial condition or results of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DSL’s ability to attract new clients and increase revenue from existing clients also depends on its ability to deliver any enhanced or new products and services to its clients in a format where they can be easily and consistently deployed by most or all clients without significant client service. If DSL’s clients believe that deploying DSL’s products and services would be overly time-consuming, confusing or technically challenging, then DSL’s ability to grow its business would be substantially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and other systems and technology problems may materially and adversely affect DSL.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Cybersecurity incidents and cyber-attacks have been occurring globally at a more frequent and severe level and will likely continue to increase in frequency in the future. Incidents, which may occur through intentional or unintentional acts by individuals or groups having authorized or unauthorized access to DSL’s systems or DSL’s clients’ or counterparties’ information, all of which may include confidential information. These individuals or groups include employees, third-party service providers, customers and hackers. The information and technology systems used by DSL and its service providers are vulnerable to unauthorized access, damage or interruption from, among other things: hacking, ransomware, malware and other computer viruses; denial of service attacks; network failures; computer and telecommunication failures; phishing attacks; infiltration by unauthorized persons; fraud; security breaches; usage errors by their respective professionals; power outages; terrorism; and catastrophic events such as fires, tornadoes, floods, hurricanes and earthquakes. To date, DSL has only experienced phishing incidents, none of which have been material. While DSL will deploy a range of defenses, it is possible DSL could suffer an impact or disruption that could materially and adversely affect DSL. The security of the information and technology systems used by DSL and its service providers may continue to be subjected to cybersecurity threats that could result in material failures or disruptions in DSL’s business. If these systems are compromised, become inoperable for extended periods of time or cease to function properly, DSL or a service provider may have to make a significant investment to fix or replace them. DSL has and will continue to have access to sensitive, confidential information of clients, which makes the cybersecurity risks identified above more important than they may be to other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Concerns about DSL’s practices with regard to the collection use, disclosure, or safekeeping of confidential information and personal data, even if unfounded, could adversely affect its operating results. Furthermore, failures of DSL’s cybersecurity system could harm DSL’s reputation, subject it to legal claims and otherwise materially and adversely affect DSL’s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DSL may face the risk that one or more competitors have or will obtain patents covering technology critical to the operation of one or more of its business lines and that it may infringe on the intellectual property rights of others. DSL’s lack of protectable intellectual property rights may negatively affect the business of DSL.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one or more other persons, companies or organizations has or obtains a valid patent covering technology critical to the operation of one or more of DSL’s business lines, there can be no guarantee that such an entity would be willing to license such technology at acceptable prices or at all, which could have a material adverse effect on DSL’s business, financial condition and results of operations. Moreover, if for any reason DSL were to fail to comply with its obligations under an applicable agreement, it may be unable to operate, which would also have a material adverse effect on DSL’s business, financial condition and results of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fundamentally open-source nature of blockchain and other technology, DSL may not always be able to determine that it is using or accessing protected information or software. For example, there could be issued patents of which DSL is not aware that its products infringe. Moreover, patent applications are in some cases maintained in secrecy until patents are issued. The publication of discoveries in scientific or patent literature frequently occurs substantially later than the date on which the underlying discoveries were made and patent applications were filed. Because patents can take many years to issue, there may currently be pending applications of which DSL is unaware that may later result in issued patents that its products infringe.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could expend significant resources defending against patent infringement and other intellectual property right claims, which could require it to divert resources away from operations. Any damages DSL is required to pay or injunctions against its continued use of such intellectual property in resolution of such claims may cause a material adverse effect to its business, financial condition and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Accordingly, DSL’s lack of protectable intellectual property rights may negatively affect the business of DSL, if it is determined that DSL’s product offerings infringe upon the intellectual property rights or claims of others. A determination that DSC’s product offerings infringe upon the intellectual property rights or claims of others could restrict, limit or even prohibit DSL ability to offer and sell such infringing products. Such restriction, limitation or prohibition could reduce DSL’s revenue and/or earning and negatively affect the stock price of Diginex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different business lines could present conflicts of 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Appropriately identifying and dealing with conflicts of interest is complex and difficult, and DSL’s reputation could be damaged and the willingness of clients to enter into transactions with DSL may be affected if DSL fails, or appears to fail, to identify, disclose and deal appropriately with conflicts of interest. In addition, potential or perceived conflicts could give rise to litigation. As a result, failures to appropriately identify and address potential conflicts of interest could materially adversely affect DSL’s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and market conditions in Hong Kong and worldwide, can adversely affect DSL’s business, results of operations and financial condition.</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DSL’s business is influenced by a range of factors that are beyond its control and that it has no comparative advantage in forecasting. These include, among others:</w:t>
      </w:r>
    </w:p>
    <w:p>
      <w:pPr>
        <w:spacing w:after="0" w:line="162"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demand for DSL’s products and services;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legal and political developments.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Macroeconomic developments, including the impact of the Russian invasion of the Ukraine, the conflict between Israel and Hamas, evolving trade policies between the U.S. and international trade partners, including the People’s Republic of China (the “PRC”) and Hong Kong or the occurrence of similar events in other countries that lead to uncertainty or instability in economic, political or market conditions could negatively affect DSL’s business, operating results and financial conditions and/or any of its third-party service providers.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impact of global events, including the ongoing conflict between Russia and Ukraine, may also negatively impact DSL.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Furthermore, any general weakening of, and related declining confidence in, the global economy or the curtailment of government or corporate spending could cause potential clients to delay, decrease or cancel purchases of DSL’s products and services.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material element of DSL’s operations is in Hong Kong. Hong Kong has been governed by the basic law, which guarantees a high degree of autonomy from the PRC in certain matters until 2047. If the PRC were to exert its authority to alter the economic, political or legal structures or the existing social policy of Hong Kong, investor and business confidence in Hong Kong could be negatively affected, which in turn could negatively affect markets and business performance and have an adverse effect on DSL. There is uncertainty as to the political, economic and social status of Hong Kong. Hong Kong’s evolving relationship with the PRC’s central government in Beijing has been a source of political unrest that has periodically resulted in large-scale protests, including those that occurred in 2019 in response to an extradition bill proposed by the Hong Kong government, which was subsequently waived. These protests created disruptions for businesses operating in Hong Kong and have negatively impacted the overall economy however, the frequency and intensity of protests have declined since the passing of the National Security Law.</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operations of DSL’s business are currently located in Hong Kong. It is possible that DSL may decide to relocate certain operations from Hong Kong to another location in the future. In doing so, it is also possible that Diginex may not be able to retain certain expert staff. If DSL loses the services of any member of management or other such key personnel as a result of relocating, it may not be able to find suitable or qualified replacements and may incur additional expenses to recruit and train new staff, which could materially disrupt DSL’s business and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DSL’s business lines and its acceptance of currencies other than the U.S. Dollar will subject it to currency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DSL’s financial statements are presented in U.S. dollars so it must translate non-U.S. dollar denominated revenues, income and expenses, as well as assets and liabilities, into U.S. dollars at exchange rates in effect during or at the end of each reporting period. These fluctuations may materially impact the translation of DSL’s non-U.S. results of operations and financial condition.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increases or decreases in the value of the currencies DSL operates with may affect its operating results and the value of its assets and liabilities. USD is the main currency for DSL but it also uses, to a lesser extent, Great British Pound, Hong Kong Dollar, Euro and Singapore Dollar.</w:t>
      </w:r>
    </w:p>
    <w:p>
      <w:pPr>
        <w:spacing w:after="0" w:line="158"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DSL’s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Natural disasters or other catastrophic events may also cause damage or disruption to operations, international commerce, and the global economy, and could have an adverse effect on business, operating results, and financial condition. Business operations are subject to interruption by natural disasters, fire, power shortages, and other events beyond DSL’s control. In addition, DSL’s global operations expose it to risks associated with public health crises, such as pandemics and epidemics, which could harm the business and cause operating results to suffer. For example, the effects of the COVID-19 pandemic have resulted, and could continue to result, in difficulties or changes to customer support, or create operational or other challenges, any of which could adversely impact business and operating results. Further, acts of terrorism, labor activism or unrest, and other geo-political unrest could cause disruptions in the business or the businesses of partners or the economy as a whole. In the event of a natural disaster, including a major earthquake, blizzard, or hurricane, or a catastrophic event such as a fire, power loss, or telecommunications failure, DSL may be unable to continue operations and may endure system interruptions, reputational harm, delays in development of DSL’s platform(s), lengthy interruptions in service, breaches of data security, and loss of critical data, all of which could have an adverse effect on future operating results.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PRC government intervention into business activities by U.S.-listed Chinese companies may negatively impact our existing and future operations in Hong Kong.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Recently, the Chinese government announced that it would increase supervision of mainland Chinese firms listed offshore. Under the new measures, PRC will improve regulation of cross-border data flows and security, police illegal activity in the securities market and punish fraudulent securities issuances, market manipulation and insider trading. PRC will also monitor sources of funding for securities investment and control leverage ratios. The Cyberspace Administration of China (“CAC”) has also opened a cybersecurity probe into several large U.S.-listed technology companies focusing on anti-monopoly and financial technology regulation and, more recently with the passage of the Data Security Law, how companies collect, store, process and transfer data. If we are subject to such a probe or if we are required to comply with stepped-up supervisory requirements, valuable time from our management and money may be expended in complying and/or responding to the probe and requirements, thus diverting valuable resources and attention away from our operations. This may, in turn, negatively impact our operations.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mainland China or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a company such as us.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operate in the PRC, we operate, in Hong Kong, a special administrative region of China, the laws and regulations of the PRC do not currently have any material impact on our business, financial condition and results of operations. We are not a mainland Chinese firm, and neither us nor any of our subsidiaries is required to obtain permission from the government of the PRC to operate and issue our ordinary shares to foreign investors. It is the opinion of our PRC counsel that Diginex Limited and DSL are not subject to the requirements of the CSRC or the CAC, and their operations are not subject to the review or approval of any other PRC governmental authority.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certain PRC laws and regulations, including existing laws and regulations and those enacted or promulgated in the future, were to become applicable to a company such as us in the future, the application of such laws and regulations may have a material adverse impact on our business, financial condition and results of operations and our ability to offer or continue to offer securities to investors, any of which may cause the value of our securities, including our ordinary shares, to significantly decline or become worthless. For example, if the PRC Data Security Law were to apply to our Hong Kong-based business, we could become subject to data security and privacy obligations, including the need to conduct a national security review of data activities that may affect the national security of the PRC, and be prohibited from providing data stored in Hong Kong to foreign judicial or law enforcement agencies without approval from relevant PRC regulatory authorities. Furthermore, if any law relating to the PCAOB access to auditor files were to apply to a company such as us or our auditor, the PCAOB may be unable to fully inspect our auditor, which may result in our securities, including our ordinary shares, being delisted or prohibited from being traded pursuant to the HFCAA and materially and adversely affect the value and/or liquidity of your investment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noted that relevant parts of the PRC government have made recent statements or recently taken regulatory actions related to data security, anti-monopoly and overseas listings of mainland China businesses. For example, the PRC Data Security Law and the Measures for the Security Assessment of Outbound Data Transfer (the “</w:t>
      </w:r>
      <w:r>
        <w:rPr>
          <w:rFonts w:ascii="Times New Roman" w:cs="Times New Roman" w:eastAsia="Times New Roman" w:hAnsi="Times New Roman"/>
          <w:sz w:val="18"/>
          <w:szCs w:val="18"/>
          <w:b w:val="1"/>
          <w:bCs w:val="1"/>
          <w:color w:val="auto"/>
        </w:rPr>
        <w:t>Measures for the Security Assessment of Outbound Data Transfer</w:t>
      </w:r>
      <w:r>
        <w:rPr>
          <w:rFonts w:ascii="Times New Roman" w:cs="Times New Roman" w:eastAsia="Times New Roman" w:hAnsi="Times New Roman"/>
          <w:sz w:val="18"/>
          <w:szCs w:val="18"/>
          <w:color w:val="auto"/>
        </w:rPr>
        <w:t>”), relevant PRC government agencies have recently taken anti-trust enforcement action against certain mainland China-based businesses. We understand such enforcement action was taken pursuant to the PRC Anti-Monopoly Law which applies to monopolistic activities in domestic economic activities in mainland China and monopolistic activities outside mainland China which eliminate or restrict market competition in mainland China. 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mainland China, including any customer-facing business in mainland China,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cannot predict the extent of such impact if such events were to occur, 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DSL’s business lines will be able to produce sufficient cash flows to fund the capital requirements and expenditures necessary to run the business and relocate.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with little or no advance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political risks associated with conducting business in Hong Kong.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period covered by the financial information incorporated by reference into and included in this prospectus, we have a substantial part of our operations in Hong Kong. Accordingly, our business operations and financial condition may be affected by political and legal developments in Hong Kong. Any adverse economic, social and/or political conditions, material social unrest, strike, riot, civil disturbance or disobedience, as well as significant natural disasters, may adversely affect the business operations of our Hong Kong entity.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 PRC will not drive changes in the economic, political and legal environment in Hong Kong in the future. Since part of our operation is based in Hong Kong, any change of such political arrangements may pose immediate threat to the stability of the economy in Hong Kong, thereby directly and adversely affecting our results of operations and financial position.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Basic Law of the Hong Kong Special Administrative Region of the PRC,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developments, including the Law of the PRC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PRC. In 2020, President Trump signed an executive order and the Hong Kong Autonomy Act, or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PRC and Hong Kong, which could potentially harm our business.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 relatively small geographical size of Hong Kong, any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Furthermore, legislative or administrative actions in respect of PRC-U.S. relations could cause investor uncertainty for affected issuers, including us, and the market price of our ordinary shares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Hong Kong legal system embodies uncertainties which could limit the availability of legal protections.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18, 2019, the Supreme People’s Court and the Hong Kong SAR Government signed the Arrangement on Reciprocal Recognition and Enforcement of Judgments in Civil and Commercial Matters by the Courts of the Mainland and of the Hong Kong Special Administrative Region (“the New Arrangement”), which seeks to establish a mechanism with greater clarity and certainty for recognition and enforcement of judgments in wider range of civil and commercial matters between Hong Kong SAR and the mainland China. The New Arrangement does not include the requirement for a choice of court agreement in writing by the parties. The New Arrangement will only take effect after the promulgation of a judicial interpretation by the Supreme People’s Court and the completion of the relevant legislative procedures in the Hong Kong SAR. On the Hong Kong side, the New Arrangement needs to be implemented through local laws. According to the Hong Kong government’s constitutional report on November 10, 2023, the Mainland Civil and Commercial Judgments (Mutual Enforcement) Ordinance (Chapter 645) and the Mainland Civil and Commercial Judgments (Mutual Enforcement) Rules will come into effect on January 29, 2024.</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one of the conditions for the handover of the sovereignty of Hong Kong to PRC, PRC accepted conditions such as Hong Kong’s Basic Law. The Basic Law ensured Hong Kong will retain its own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line="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Hong Kong government may face further restrictive measures from PRC government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government may intervene or influence our operations in Hong Kong at any time, or may exert more control over offerings conducted overseas and/or foreign investment in us. The PRC government has claimed in its official policy documents that it exercises ‘comprehensive jurisdiction’ over Hong Kong. We cannot assure you that the Hong Kong government will not be facing further restrictive measures from PRC’s government in the future. The PRC government’s further potential restrictive regulations and measures could increase our existing and future operating costs in adapting to these regulations and measures, limit our access to capital resources or even restrict our existing and future business operations, which could further adversely affect our business and prospects.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example, The Mainland Judgments in Civil and Commercial Matters (Reciprocal Enforcement) Ordinance Cap. 645 has come into effect in Hong Kong on January 29, 2024 (the Mainland Judgments Ordinance). The Mainland Judgment Ordinance creates a new registration system whereby certain judgments issued by Mainland courts could be enforced in Hong Kong SAR. These judgments include civil and/or commercial judgments handed down by Mainland courts, and criminal judgments (insofar as it is confined to an order to pay a sum of money for compensation and/or damages). The Mainland Judgments Ordinance implements the Arrangement on Reciprocal Recognition and Enforcement of Judgments in Civil and Commercial Matters by the Courts of the Mainland China and Hong Kong SAR. The Supreme People’s Court of Mainland and the Hong Kong Government signed the above Arrangement on January 18, 2019.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cumulative effects of the Mainland Judgments Ordinance are:</w:t>
      </w:r>
    </w:p>
    <w:p>
      <w:pPr>
        <w:spacing w:after="0" w:line="225" w:lineRule="exact"/>
        <w:rPr>
          <w:sz w:val="20"/>
          <w:szCs w:val="20"/>
          <w:color w:val="auto"/>
        </w:rPr>
      </w:pPr>
    </w:p>
    <w:p>
      <w:pPr>
        <w:jc w:val="both"/>
        <w:ind w:firstLine="656"/>
        <w:spacing w:after="0" w:line="266" w:lineRule="auto"/>
        <w:tabs>
          <w:tab w:leader="none" w:pos="8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expedites the enforcement of Mainland civil and/or commercial judgments in Hong Kong. This includes both monetary or non-monetary orders. An opposing party must object within a short period of time. The objection must be strictly confined to the grounds as set out in the Mainland Judgments Ordinance,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judgments which carry monetary compensation or damages orders are also enforceable in Hong Kong. A wide range of PRC legislations and administrative regulations give power to the Mainland courts to order for monetary compensation or damages in criminal cases. The Mainland criminal justice system is known for its very high conviction rate.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Kong-based assets are now liable to be confiscated or seized by orders of the Hong Kong courts for the purposes of the execution of Mainland judgments.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on January 29, 2024, the Hong Kong Government announced its plans to enact a new law titled Safeguarding National Security Ordinance. Under this new proposed legislation, the Hong Kong Government aims to revamp and/or update existing national security laws such as treason and sedition. It is also drafting new laws to create offenses such as collusion with external forces and/or intelligence to endanger national security. Depending on the final outcome of the legislative process, these laws may impact the operations of foreign organizations in Hong Kong. It is also proposed that the definition of “state secrets” as applied under the PRC laws will be extended to Hong Kong. This is a broad definition that has affected major Chinese government policies, and economic, social, technological and scientific developments.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Hong Kong government is currently conducting a one-month consultation which will finish by the end of February 2024. It is widely expected that the new laws will be enacted within the 2024 legislative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Interpretation of PRC laws and the implementation of National Security Law in Hong Kong involve uncertainty.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1979, the PRC government began to promulgate a comprehensive system of laws and regulations governing economic matters in general. 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 The same concerns apply to the National Security Law in Hong Kong. The Hong Kong authorities have announced their intention to enact further national security legislations in 2024. The details of these laws are yet unknown. They may have a further impact on foreign organizations operating in Hong Kong.</w:t>
      </w:r>
    </w:p>
    <w:p>
      <w:pPr>
        <w:spacing w:after="0" w:line="18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Depending on the government agency or how an application or case is presented to such agency, we may receive less favorable interpretations of laws and regulations than our competitors, particularly if a competitor has long been established in the locality of and has developed a relationship with such agency. In addition, any litigation may be protracted and result in substantial costs and a diversion of resources and management attention. All of these uncertainties may cause difficulties in the enforcement of our rights, entitlements under our permits and other statutory and contractual rights and interests.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may be delisted or prohibited from being traded 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has issued the audit report included elsewhere in this prospectus, as an auditor of companies that are traded publicly in the United States and a firm registered with the PCAOB, is subject to laws in the United States pursuant to which</w:t>
      </w:r>
    </w:p>
    <w:p>
      <w:pPr>
        <w:sectPr>
          <w:pgSz w:w="11900" w:h="16900" w:orient="portrait"/>
          <w:cols w:equalWidth="0" w:num="1">
            <w:col w:w="11240"/>
          </w:cols>
          <w:pgMar w:left="320" w:top="661" w:right="339" w:bottom="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the PCAOB conducts regular inspections to assess its compliance with the applicable professional standards. Under current practice and PRC law, the PCAOB is currently able to inspect the audit work and practices of PCAOB-registered firms in mainland China. Our auditor is located in the United States, with affiliates in Hong Kong, and the PCAOB has not been legally restricted from inspecting PCAOB audits relating to operations in Hong Kong. As noted above, except for the Basic Law, national laws of the PRC do not apply in Hong Kong unless they are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National laws of the PRC relating to PCAOB access to auditor files have not been listed in Annex III and so do not apply directly to Hong Kong. The PRC legal system is evolving rapidly and the PRC laws, regulations, and rules may change quickly with little advance notice. To the extent any PRC laws and regulations become applicable to a company such as us or our auditor, the PCAOB loses its ability to inspect audit firms located in mainland China and our auditor retains its working papers in mainland China, the PCAOB may be unable to inspect our auditor. The lack of inspection could cause trading in your securities to be prohibited under the HFCAA and as a result Nasdaq may determine to delist your ordinary shares.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Act. We would be required to comply with these rules if the SEC identifies us as having a “non-inspection” year under a process to be subsequently established by the SEC. The SEC is assessing how to implement other requirements of the HFCAA, including the listing and trading prohibition requirements described above.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2021, the PCAOB issued a proposed rule 6100, Board Determinations Under the Holding Foreign Companies Accountable Act,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SEC adopted amendments to finalize rules implementing the submission and disclosure requirements in the HFCAA.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2021, the SEC adopted rules to implement the HFCAA and pursuant to the HFCAA, the PCAOB issued its report notifying the SEC of its determination that it is unable to inspect or investigate completely accounting firms headquartered in mainland China or Hong Kong.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for whatever reason the PCAOB is unable to conduct full inspections of our auditor, such uncertainty could cause the market price of our ordinary shares to be materially and adversely affected, and our securities could be delisted or prohibited from being traded. If our securities were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Inspections of other firms that the PCAOB has conducted outside the PRC have identified deficiencies in those firms’ audit procedures and quality control procedures, which may be addressed as part of the inspection process to improve future audit quality. If the PCAOB were unable to conduct full inspections of our auditor, we and the investors in our ordinary shares would be deprived of the benefits of such PCAOB inspections. In addition, the inability of the PCAOB to conduct full inspections of auditors would make it more difficult to evaluate the effectiveness of our independent registered public accounting firm’s audit procedures or quality control procedures as compared to auditors that are subject to the PCAOB inspections, which could cause investors and potential investors in our securities to lose confidence in our audit procedures and reported financial information and the quality of our financial statements.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 UHY LLP, is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Cayman Islands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Limited is an exempted company with limited liability incorporated under the laws of the Cayman Islands. As a result, it may be difficult for investors to effect service of process within the United States upon Diginex Limited’s directors or officers, or enforce judgments obtained in the United States courts against Diginex Limited’s directors or officers.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Limited’s corporate affairs will be governed by its Amended and Restated Memorandum and Articles, the Companies Act (As Revised) and the common law of the Cayman Islands. Diginex Limited will also be subject to the federal securities laws of the United States. The rights of shareholders to take action against the directors, actions by minority shareholders and the fiduciary responsibilities of Diginex Limited’s directors to Diginex Limited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Diginex Limited’s shareholders and the fiduciary responsibilities of Diginex Limited’s directors under Cayman Islands law are not as clearly established as they would be under statutes or judicial precedent in some jurisdictions in the United States. In particular, the Cayman Islands has a less developed body of securities laws as compared to the United States, and certain states, such as Delaware, may have more fully developed and judicially interpreted bodies of corporate law than the Cayman Islands. In addition, Cayman Islands companies may not have standing to initiate a shareholders derivative action in a Federal court of the United States.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Shareholders of Cayman Islands exempted companies like Diginex Limited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Diginex Limited’s directors have discretion under its Amended and Restated Memorandum and Articles that will become effective immediately prior to completion of this offering to determine whether or not, and under what conditions, our corporate records may be inspected by our shareholders, but are not obliged to make them available to Diginex Limited’s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shareholders.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all of the above, Diginex Limited’s public shareholders may have more difficulty in protecting their interests in the face of actions taken by management, members of Diginex Limited’s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Securities Capital — Certain Differences in Corporate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 Limited is an exempted company with limited liability incorporated under the laws of the Cayman Islands, and intends to list its ordinary shares on Nasdaq. Nasdaq market rules permit a foreign private issuer like Diginex Limited to follow the corporate governance practices of its home country. Certain corporate governance practices in the Cayman Islands, which is Diginex Limited’s home country, may differ significantly from Nasdaq corporate governance listing standards as, except for general fiduciary duties and duties of care, Cayman Islands law has no corporate governance regime which prescribes specific corporate governance standards.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Currently, we do intend to rely on home country practice with respect to our corporate governance after we complete this offering. As a result, our shareholders may be afforded less protection than they otherwise would have under corporate governance listing standards applicable to U.S. domestic issuers. Among others, we will not be required to: (i) have a majority of the board be independent; (ii) have a compensation committee consisting entirely of independent directors; (iii) have a minimum of three members on the audit committee; (iv) obtain shareholders’ approval for issuance of securities in certain situations; or (v) have regularly scheduled executive sessions with only independent directors each year.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Diginex Limited’s governance documents may inhibit a takeover of Diginex Limited, which could limit the price investors might be willing to pay in the future for Diginex Limited’s Ordinary Shares and could entrench management.</w:t>
      </w:r>
    </w:p>
    <w:p>
      <w:pPr>
        <w:spacing w:after="0" w:line="15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Diginex Limited’s governance documents will contain provisions that may discourage unsolicited takeover proposals that shareholders may consider to be in their best interests. These provisions include that Diginex Limited’s board of directors will be classified into three classes of directors. As a result, in most circumstances, a person can gain control of the board only by successfully engaging in a proxy contest at two or more annual general meetings. Diginex Limited may issue additional shares without shareholder approval and such additional shares could be utilized for a variety of corporate purposes, including future offerings to raise additional capital, acquisitions and employee benefit plans. The ability for Diginex Limited to issue additional shares could render more difficult or discourage an attempt to obtain control of us by means of a proxy contest, tender offer, merger or otherwise that could involve the payment of a premium over prevailing market prices for Diginex Limited’s Ordinary Shares.</w:t>
      </w:r>
      <w:r>
        <w:rPr>
          <w:rFonts w:ascii="Times New Roman" w:cs="Times New Roman" w:eastAsia="Times New Roman" w:hAnsi="Times New Roman"/>
          <w:sz w:val="29"/>
          <w:szCs w:val="29"/>
          <w:color w:val="auto"/>
          <w:vertAlign w:val="superscript"/>
        </w:rPr>
        <w:t>5</w:t>
      </w:r>
    </w:p>
    <w:p>
      <w:pPr>
        <w:spacing w:after="0" w:line="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 qualifies as a “foreign private issuer,” as defined in the SEC’s rules and regulations, and, consequently, Diginex Limited will not be subject to all of the disclosure requirements applicable to public companies organized within the United States. For example, Diginex Limited will be exempt from certain rules under the Exchange Act that regulate disclosure obligations and procedural requirements related to the solicitation of proxies, consents or authorizations applicable to a security registered under the Exchange Act. In addition, Diginex Limited’s officers and directors are exempt from the reporting and “short-swing” profit recovery provisions of Section 16 of the Exchange Act and related rules with respect to their purchases and sales of Diginex Limited’s securities. For example, some of Diginex Limited’s key executives may sell a significant amount of Diginex Limited’s Ordinary Shares and such sales will not be required to be disclosed as promptly as public companies organized within the United States would have to disclose. Accordingly, once such sales are eventually disclosed, the price of Diginex Limited’s Ordinary Shares may decline significantly. Moreover, Diginex Limited will not be required to file periodic reports and financial statements with the SEC as frequently or as promptly as U.S. public companies. Diginex Limited will also not be subject to Regulation FD under the Exchange Act, which would prohibit Diginex Limited from selectively disclosing material nonpublic information to certain persons without concurrently making a widespread public disclosure of such information. Accordingly, there may be less publicly available information concerning Diginex Limited than there is for U.S. public companies.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Diginex Limited will file an annual report on Form 20-F within four months of the close of each fiscal year ended March 31 and furnish reports on Form 6-K relating to certain material events promptly after Diginex Limited publicly announces these events. However, because of the above exemptions for foreign private issuers, which Diginex Limited intends to rely on, Diginex Limited shareholders will not be afforded the same information generally available to investors holding shares in public companies that are not foreign private issuers.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annual general meetings or extraordinary general meetings not called by shareholders.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Diginex Limited’s amended and restated articles of association allow one or more of our shareholders who together hold not less than 10% of the rights to vote to requisition a general meeting of our shareholders, in which case our directors are obliged to call such meeting. Advance notice of at least fourteen (14) clear days is required for the convening of an annual general meeting and at least seven (7) clear days is required for the convening of any other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 Limited’s status as a foreign private issuer exempts it from compliance with certain Nasdaq corporate governance requirements if it instead complies with the statutory requirements applicable to a Cayman Islands exempted company. The statutory requirements of Diginex Limited’s home country of Cayman Islands do not strictly require a majority of its board to consist of independent directors. Thus, although a director must act in the best interests of Diginex Limited, it is possible that fewer board members will be exercising independent judgment and the level of board oversight on the management of Diginex Limited may decrease as a result. In addition, the Nasdaq Listing Rules also require U.S. domestic issuers to have an independent compensation committee with a minimum of two members, a nominating committee, and an independent audit committee with a minimum of three members. Diginex Limited, as a foreign private issuer, with the exception of needing an independent audit committee composed of at least three members, is not subject to these requirements. The Nasdaq Listing Rules may also require shareholder approval for certain corporate matters that Diginex Limited’s home country’s rules do not. Following Cayman Islands governance practices, as opposed to complying with the requirements applicable to a U.S. company listed on Nasdaq, may provide less protection to you than would otherwise be the case.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Limited may lose its foreign private issuer status in the future, which could result in significant additional costs and expenses.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Diginex Limited would not be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with respect to Diginex on September 30, 2024.</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future, Diginex Limited could lose its foreign private issuer status if a majority of its ordinary shares are held by residents in the United States and it fails to meet any one of the additional “business contacts” requirements. Although Diginex Limited intends to follow certain practices that are consistent with U.S. regulatory provisions applicable to U.S. companies, Diginex Limited’s loss of foreign private issuer status would make such provisions mandatory. The regulatory and compliance costs to Diginex Limited under U.S. securities laws if it is deemed a U.S. domestic issuer may be significantly higher. If Diginex Limited is not a foreign private issuer, Diginex Limited will be required to file periodic reports and prospectuses on U.S. domestic issuer forms with the SEC, which are more detailed and extensive than the forms available to a foreign private issuer. For example, Diginex Limited would become subject to the Regulation FD, aimed at preventing issuers from making selective disclosures of material information. Diginex Limited also may be required to modify certain of its policies to comply with good governance practices associated with U.S. domestic issuers. Such conversion and modifications will involve additional costs. In addition, Diginex Limited may lose its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Nasdaq rules also require shareholder approval of certain share issuances, including approval of equity compensation plans. As a foreign private issuer, Diginex Limited would be permitted to follow home country practice in lieu of the above requirements. As long as Diginex Limited relies on the foreign private issuer exemption to certain of Nasdaq’s corporate governance standards, a majority of the directors on its board of directors are not required to be independent directors, its remuneration committee is not required to be comprised entirely of independent directors and it will not be required to have a nominating and corporate governance committee. If Diginex Limited loses its foreign private issuer status and fails to comply with U.S. securities laws applicable to U.S. domestic issuers, Diginex Limited may have to de-list from Nasdaq and could be subject to investigation by the SEC, Nasdaq and other regulators, among other materially adverse consequences.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expect to pay dividends in the foreseeable future after this offering and you must rely on price appreciation of our Ordinary Shares for a return on your investment.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our development and growth. As a result, we do not expect to pay any cash dividends in the foreseeable future. Therefore, you should not rely on an investment in our Ordinary Shares as a source for any future dividend income.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after this offering or even maintain the price at which you purchased the Ordinary Shares. You may not realize a return on your investment in our Ordinary Shares and you may even lose your entire investment in our Ordinary Shares.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528"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or PFIC, for U.S. federal income tax purposes for the current taxable year, which could result in adverse U.S. federal income tax consequences for U.S. Holders of our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“U.S.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 and this Offering</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Diginex Limited has limited experience operating as a public company and fulfilling its obligations as a U.S. reporting company may be expensive and time consuming.</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one member of the Company’s executive officers has past experience in operating a U.S. public company, which makes their ability to comply with applicable laws, rules and regulations uncertain. The Company’s failure to comply with all laws, rules and regulations applicable to U.S. public companies could subject Diginex or its management to regulatory scrutiny or sanction, which could harm the Company’s reputation and share price.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Diginex Limited will incur significant legal, accounting, and other expenses that it did not incur as a private company. Diginex Limited is subject to reporting requirements of the Exchange Act, the Sarbanes-Oxley Act, the rules subsequently implemented by the SEC, the rules and regulations of the listing standards of The Nasdaq Stock Market LLC, or Nasdaq,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Diginex Limited operates its business in ways Diginex Limited cannot currently anticipate. Compliance with these rules and regulations may strain Diginex Limited’s financial and management systems, internal controls, and employees. The Exchange Act requires, among other things, that Diginex Limited files annual, half yearly, and current reports with respect to its business and operating results. Moreover, the Sarbanes-Oxley Act requires, among other things, that Diginex Limited maintains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Diginex Limited encounters material weaknesses or deficiencies in internal control over financial reporting, Diginex Limited may not detect errors on a timely basis and its consolidated financial statements may be materially misstated. Effective internal control is necessary for Diginex Limited to produce reliable financial reports and is important to prevent fraud.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Limited, as an emerging growth company, is not required to have its independent auditor attestation of management assessment of its internal controls over financial reporting. However, when Diginex Limited ceases to be an emerging growth company, its independent registered public accounting firm may be required to formally attest to the effectiveness of internal control over financial reporting at some point in the future on Form 20-F. Diginex Limited expects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Diginex Limited’s management attention may be diverted from other business concerns, which could harm the business, operating results, and financial condition. Although Diginex Limited has already hired additional employees to assist in complying with these requirements, its finance team is small and it may need to hire more employees in the future, or engage outside consultants, which will increase operating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line="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Diginex Limited also expects that being a public company and complying with applicable rules and regulations will make it more expensive for it to obtain director and officer liability insurance, and Diginex Limited may be required to incur substantially higher costs to obtain and maintain the same or similar coverage. These factors could also make it more difficult for Diginex Limited to attract and retain qualified members of its board of directors and qualified executive officers.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potential failure to maintain effective internal control over financial reporting in accordance with Section 404 of the Sarbanes-Oxley Act could have a material adverse effect on Diginex Limited’s business, financial condition, and results of operations. Diginex Limited may be unable to accurately report Diginex Limited’s financial results or prevent fraud if Diginex cannot maintain an effective system of internal controls over Diginex Limited’s financial reporting.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 Limited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Diginex Limited will be an “emerging growth company,” and are expected to first include a management report on Diginex Limited’s internal controls over financial reporting in Diginex Limited’s annual report in the Diginex Limited’s second annual report after the close of the business combination. Diginex Limited’s management may conclude that Diginex Limited’s internal controls over Diginex Limited’s financial reporting are not effective, and Diginex Limited’s reporting obligations as a public company will place a significant strain on Diginex Limited’s management, operational and financial resources, and systems for the foreseeable future, which will increase Diginex Limited’s operating expenses.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establishment of effective internal controls over financial reporting is necessary for Diginex Limited to produce reliable financial reports and are important to help prevent fraud. Diginex Limited’s failure to achieve and maintain effective internal controls over financial reporting could consequently result in the loss of investor confidence in the reliability of Diginex Limited’s financial statements, which in turn could harm Diginex Limited’s business and negatively impact the trading price of Diginex Limited’s stock. Diginex Limited anticipate that it will incur considerable costs and devote significant management time and efforts and other resources to comply with Section 404 of the Sarbanes-Oxley Act.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we will be required to file a report by our management on our internal control over financial reporting. In addition, an attestation report on internal control over financial reporting issued by our independent registered public accounting firm may be required. While we remain an emerging growth company, we will not be required to include an attestation report on internal control over financial reporting issued by our independent registered public accounting firm. We might not identify one or more material weaknesses in our internal controls in connection with evaluating our compliance with Section 404 of the Sarbanes-Oxley Act.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A material weakness has been identified by DSL’s independent registered public accounting firm, noting that DSL did not have qualified financial reporting personnel with sufficient accounting knowledge, technical skills and experience to analyze and properly apply International Financial Reporting Standards (“IFRS”) throughout the two year audit period ended March 31, 2023. Subsequent to March,31, 2023, DSL retained a CFO and other experienced finance professionals with significant knowledge, technical skills and experience with IFRS required to properly analyze and apply the applicable accounting standards to the DSL’s consolidated financial statements. DSL will monitor the requirements of its accounting and finance department in the future to ensure its team continues to have the proper resources to accurately and timely prepare its consolidated financial statements.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Diginex Limited to take advantage of certain exemptions from various reporting requirements applicable to other public companies that are not emerging growth companies.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Diginex Limited expects that it will qualify as an “emerging growth company” as defined in Section 2(a)(19) of the Securities Act, as modified by the Jumpstart Our Business Startups Act of 2012 (the “JOBS Act”). The JOBS Act defines an emerging growth company as a company that has annual gross revenues of less than $1.235 billion during its most recent fiscal year and has not sold common stock under a registration statement. A company will be classified as an emerging growth company for its first five fiscal years, unless: its gross revenues exceed $1.235 billion, it has issued over $1 billion in non-convertible debt over three years, or it becomes a large accelerated filer. SEC Rule 12b-2 provides that a large accelerated filer is a company that has a public float of greater than $700 million, has been filing periodic reports for at least 12 months, has previously filed at least one annual report (e.g. Form 10-K), and is not a smaller reporting company. That is, a large accelerated filer is simply an accelerated filer whose public float exceeds $700 million. As such, Diginex Limited will take advantage of certain exemptions from various reporting requirements applicable to other public companies based on its status as an emerging growth company. Pursuant to Section 404 of the Sarbanes-Oxley Act, once Diginex Limited is no longer an emerging growth company, Diginex Limited may be required to furnish an attestation report on internal control over financial reporting issued by Diginex Limited’s independent registered public accounting firm. When Diginex Limited’s independent registered public accounting firm is required to undertake an assessment of its internal control over financial reporting, the cost of complying with Section 404 of the Sarbanes-Oxley Act will significantly increase, and management’s attention may be diverted from other business concerns, which could adversely affect Diginex Limited’s business and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major shareholders have substantial influence over our company and his interests may not be aligned with the interests of our other shareholders.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our major shareholders, beneficially owns an aggregate of approximately [ ]% of our issued and outstanding Ordinary Shares through. As a result of these major shareholders’ substantial shareholding, they have a substantial influence over our business, including decisions regarding mergers, consolidations and the sale of all or substantially all of our assets, election of directors and other significant corporate actions. These shareholders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Ordinary Shares. These actions may be taken even if they are opposed by our other shareholders.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be able to meet Nasdaq’s initial listing requirements to consummate our initial public offering, and Nasdaq may not permit our Ordinary Shares to be quoted on its exchange, which could limit investors’ ability to make transactions in our securities and subject us to additional trading restrictions.</w:t>
      </w:r>
    </w:p>
    <w:p>
      <w:pPr>
        <w:sectPr>
          <w:pgSz w:w="11900" w:h="16887" w:orient="portrait"/>
          <w:cols w:equalWidth="0" w:num="1">
            <w:col w:w="11240"/>
          </w:cols>
          <w:pgMar w:left="320" w:top="661" w:right="339" w:bottom="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securities will be listed on Nasdaq, a national securities exchange, upon our initial public offering. Although, at the time of our initial public offering we expect to meet Nasdaq’s minimum initial listing standards, which generally only require that we meet certain requirements relating to stockholders’ equity, market capitalization, aggregate market value of publicly held shares and distribution requirements, we cannot assure you that our securities will be, or will continue to be, listed on Nasdaq in the future. However, we cannot assure you that we will be able to meet those initial listing requirements at that time.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Ordinary Shares will be listed on Nasdaq, our Ordinary Shares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If we were no longer listed on Nasdaq, our securities would not be covered securities, and we would be subject to regulation in each state in which we offer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Ordinary Shares and penny stock trading.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our Ordinary Shares are listed on The Nasdaq Capital Market and if we fail to satisfy the applicable continued listing requirements, Nasdaq may commence delisting procedures against our Company (during which we may have additional time of up to six months to appeal and correct our non-compliance). If our Ordinary Shares are ultimately delisted from Nasdaq, our Ordinary Shares would likely then trade only in the over-the-counter market and the market liquidity of our Ordinary Shares could be adversely affected and their market price could decrease. If our Ordinary Shares were to trade on the over-the-counter market, selling our Ordinary Shares could be more difficult because smaller quantities of shares would likely be bought and sold, transactions could be delayed, and we could face significant material adverse consequences, including: a limited availability of market quotations for our securities; reduced liquidity with respect to our securities; a determination that our shares are a “penny stock,” which will require brokers trading in our securities to adhere to more stringent rules, possibly resulting in a reduced level of trading activity in the secondary trading market for our securities; a reduced amount of news and analyst coverage for our Company; and a decreased ability to issue additional securities or obtain additional financing in the future. These factors could result in lower prices and larger spreads in the bid and ask prices for our Ordinary Shares and would substantially impair our ability to raise additional funds and could result in a loss of institutional investor interest and fewer development opportunities for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foregoing, if our Ordinary Shares are ultimately delisted from Nasdaq and they trade on the over-the-counter market, the application of the “penny stock” rules could adversely affect the market price of our Ordinary Shares and increase the transaction costs to sell those shares. The SEC has adopted regulations which generally define a “penny stock” as an equity security that has a market price of less than $5.00 per share, subject to specific exemptions. If our Ordinary Shares are ultimately delisted from Nasdaq and then trade on the over-the-counter market at a price of less than $5.00 per share, our Ordinary Shares would be considered a penny stock. The SEC’s penny stock rules require a broker-dealer, before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the salesperson in the transaction, and monthly account statements showing the market value of each penny stock held in the customer’s account. In addition, the penny stock rules generally require that before a transaction in a penny stock occurs, the broker-dealer must make a special written determination that the penny stock is a suitable investment for the purchaser and receive the purchaser’s agreement to the transaction. If applicable in the future, these rules may restrict the ability of brokers-dealers to sell our Ordinary Shares and may affect the ability of investors to sell their shares, until our Ordinary Shares no longer is considered a penny stock.</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industry analysts do not publish research reports on Diginex Limited, or publish unfavorable reports on Diginex Limited, then the market price and market trading volume of Diginex Limited’s Ordinary Shares could be negatively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trading market for Diginex Limited Ordinary Shares may be influenced in part by any research reports that securities industry analysts publish about Diginex Limited. Diginex Limited does not currently have and may never obtain research coverage by securities industry analysts. If no securities industry analysts commence coverage of Diginex Limited, the market price and market trading volume of Diginex Limited’s Ordinary Shares could be negatively affected. In the event Diginex Limited is covered by analysts, and one or more of such analysts downgrade Diginex Limited shares, or otherwise reports on Diginex Limited unfavorably, or discontinues coverage of Diginex Limited, the market price and market trading volume of Diginex Limited Ordinary Shares could be negatively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Nasdaq Listing Rules require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In addition, the Nasdaq Listing Rules also require U.S. domestic issuers to have a compensation committee, a nominating/corporate governance committee and an audit committee. We, as a foreign private issuer, are not subject to these requirements. The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the corporate governance requirements of the Nasdaq Listing Rules. However, we may, in the future, consider following home country practice in lieu of the requirements under the Nasdaq Listing Rules with respect to certain corporate governance standards which may afford less protection to investors.</w:t>
      </w:r>
    </w:p>
    <w:p>
      <w:pPr>
        <w:spacing w:after="0" w:line="18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as a foreign private issuer we are exempt from certain corporate governance standards applicable to U.S. issuers, if we cannot satisfy, or continue to satisfy, the initial listing requirements and other rules of Nasdaq, our securities may be delisted, which could negatively impact the price of our securities and your ability to sell them.</w:t>
      </w:r>
    </w:p>
    <w:p>
      <w:pPr>
        <w:spacing w:after="0" w:line="17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Following this offering, in order to maintain our listing on Nasdaq, we will be required to comply with certain rules of Nasdaq, including those regarding minimum stockholders’ equity, minimum share price, minimum market value of publicly held shares, and various additional requirements. Even if we initially meet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Nasdaq does not list our securities, or subsequently delists our securities from trading, we could face significant consequences,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Ordinary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Ordinary Shares;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will require brokers trading in our Ordinary Shares to adhere to more stringent rules and possibly result in a reduced level of trading activity in the secondary trading market for our Ordinary Shares;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line="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7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expect to qualify as a foreign private issuer upon the completion of this offering. As a foreign private issuer, we will be exempt from the rules under the Exchange Act prescribing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domestic issuers, and we will not be required to disclose in our periodic reports all of the information that U.S. domestic issuers are required to disclose. While we currently expect to qualify as a foreign private issuer immediately following the completion of this offering, we may cease to qualify as a foreign private issuer in the future, and consequently, we would be required to fully comply with the reporting requirements of the Exchange Act applicable to U.S. domestic issuers, and we would incur significant additional legal, accounting and other expenses that we would not incur as a foreign private issuer.</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applicable law, we will be subject to lessened disclosure requirements. Such reduced disclosure may make our Ordinary Shares less attractive to investors.</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particularly after we cease to qualify as an “emerging growth company.”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this offering, we will incur significant legal, accounting and other expenses as a public company that we did not incur as a private company. The Sarbanes-Oxley Act of 2002, as well as rules subsequently implemented by the SEC, Nasdaq Capital Market, impose various requirements on the corporate governance practices of public companies.</w:t>
      </w:r>
    </w:p>
    <w:p>
      <w:pPr>
        <w:spacing w:after="0" w:line="17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We have incurred additional costs in obtaining director and officer liability insurance.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Ordinary Shares may be thinly traded and you may be unable to sell at or near ask prices or at all if you need to sell your shares to raise money or otherwise desire to liquidate your shares.</w:t>
      </w:r>
    </w:p>
    <w:p>
      <w:pPr>
        <w:spacing w:after="0" w:line="15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When our Ordinary Shares are approved by Nasdaq and begin trading on Nasdaq, our Ordinary Shares may be “thinly-traded”, meaning that the number of persons interested in purchasing our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shares until such time as we become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Broad or active public trading market for our Ordinary Shares may not develop or be sustained.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initial public offering price for our Ordinary Shares may not be indicative of prices that will prevail in the trading market and such market prices may be volatile.</w:t>
      </w:r>
    </w:p>
    <w:p>
      <w:pPr>
        <w:spacing w:after="0" w:line="15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initial public offering price for our Ordinary Shares was determined by negotiations between us and the underwriters, and does not bear any relationship to our earnings, book value or any other indicia of value. We cannot assure you that the market price of our Ordinary Shares will not decline significantly below the initial public offering price. The financial markets in the United States and other countries have experienced significant price and volume fluctuations in the last few years. Volatility in the price of our Ordinary Shares may be caused by factors outside of our control and may be unrelated or disproportionate to changes in our results of operations.</w:t>
      </w:r>
    </w:p>
    <w:p>
      <w:pPr>
        <w:sectPr>
          <w:pgSz w:w="11900" w:h="16878" w:orient="portrait"/>
          <w:cols w:equalWidth="0" w:num="1">
            <w:col w:w="11240"/>
          </w:cols>
          <w:pgMar w:left="320" w:top="657" w:right="339" w:bottom="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Ordinary Shares purchased.</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initial public offering price of our Ordinary Shares is substantially higher than the (pro forma) net tangible book value per share of our Ordinary Shares. Consequently, when you purchase our Ordinary Shares in the offering and upon completion of the offering, you will incur immediate dilution of $[</w:t>
      </w:r>
    </w:p>
    <w:p>
      <w:pPr>
        <w:ind w:firstLine="300"/>
        <w:spacing w:after="0" w:line="260" w:lineRule="auto"/>
        <w:tabs>
          <w:tab w:leader="none" w:pos="4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Ordinary Share, based on the initial public offering price of $[ ]. See “Dilution.” In addition, you may experience further dilution to the extent that additional Ordinary Shares are issued upon exercise of outstanding warrants or options we may grant from time to time.</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applicable listing requirements, Nasdaq may delist our Ordinary Shares from trading, in which case the liquidity and market price of our Ordinary Shares could decline.</w:t>
      </w:r>
    </w:p>
    <w:p>
      <w:pPr>
        <w:spacing w:after="0" w:line="15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Assuming our Ordinary Shares are listed on Nasdaq, we cannot assure you that we will be able to meet the continued listing standards of Nasdaq in the future. If we fail to comply with the applicable listing standards and Nasdaq delists our Ordinary Shares, we and our Shareholders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Ordinary Shares;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Ordinary Shares;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Ordinary Shares are listed on Nasdaq,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against Diginex Limited or its management named in the prospectus based on foreign laws.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Diginex Limited is incorporated under the laws of Cayman Islands. DSL conducts its operations outside the United States and all of our assets are located outside the United States. In addition, a majority of Diginex Limited’s directors and executive officers and the experts named in this prospectus reside outside the United States, and a significant amount of their assets are located outside the United States. As a result, it may be difficult or impossible for you to bring an action against Diginex Limited or against them in the United States in the event you believe your rights have been infringed under the U.S. federal securities laws or otherwise. Even if you are successful in bringing an action of this kind, the laws of Cayman Islands or other relevant jurisdiction may render you unable to enforce a judgment against Diginex Limited assets or the assets of its directors and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 of Diginex Limited’s Ordinary Shares could dilute the interests of existing shareholders.</w:t>
      </w:r>
    </w:p>
    <w:p>
      <w:pPr>
        <w:spacing w:after="0" w:line="229" w:lineRule="exact"/>
        <w:rPr>
          <w:sz w:val="20"/>
          <w:szCs w:val="20"/>
          <w:color w:val="auto"/>
        </w:rPr>
      </w:pPr>
    </w:p>
    <w:p>
      <w:pPr>
        <w:jc w:val="both"/>
        <w:ind w:firstLine="1080"/>
        <w:spacing w:after="0" w:line="256" w:lineRule="auto"/>
        <w:rPr>
          <w:sz w:val="20"/>
          <w:szCs w:val="20"/>
          <w:color w:val="auto"/>
        </w:rPr>
      </w:pPr>
      <w:r>
        <w:rPr>
          <w:rFonts w:ascii="Times New Roman" w:cs="Times New Roman" w:eastAsia="Times New Roman" w:hAnsi="Times New Roman"/>
          <w:sz w:val="18"/>
          <w:szCs w:val="18"/>
          <w:color w:val="auto"/>
        </w:rPr>
        <w:t>Diginex Limited may issue additional Ordinary Shares in the future. The issuance of a substantial number of Ordinary Shares could have the effect of substantially diluting the interests of Diginex Limited’s shareholders. In addition, the sale of a substantial amount of Ordinary Shares in the public market, in the initial issuance, in a situation in which Diginex Limited acquires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Diginex Limited’s Ordinary Shares.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debt securities, which would rank senior to Diginex Limited ordinary shares upon our bankruptcy or liquidation, and future issuances of preferred shares, which could rank senior to Diginex Limited Ordinary Shares for the purposes of dividends and liquidating distributions, may adversely affect the level of return you may be able to achieve from an investment in Diginex Limited’s Ordinary Shares.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future, Diginex Limited may attempt to increase our capital resources by offering debt securities. Upon bankruptcy or liquidation, holders of Diginex Limited debt securities, and lenders with respect to other borrowings Diginex Limited may make, would receive distributions of Diginex Limited available assets prior to any distributions being made to holders of our Ordinary Shares. Moreover, if Diginex Limited issues Preferred Shares, the holders of such preferred shares could be entitled to preferences over holders of Ordinary Shares in respect of the payment of dividends and the payment of liquidating distributions. Because Diginex Limited’s decision to issue debt or Preferred Shares in any future offering, or borrow money from lenders, will depend in part on market conditions and other factors beyond Diginex Limited’s control, Diginex Limited cannot predict or estimate the amount, timing or nature of any such future offerings or borrowings. Holders of Diginex Limited’s Ordinary Shares must bear the risk that any future offerings Diginex Limited conducts or borrowings Diginex Limited makes may adversely affect the level of return, if any, they may be able to achieve from an investment in Diginex Limited’s Ordinary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Diginex Limited’ Ordinary Shares may be volatile, which could result in substantial losses to investors.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trading price of Diginex Limited’ Ordinary Shares is likely to be volatile and could fluctuate widely due to factors beyond Diginex Limited’s control. This may happen due to broad market and industry factors, such as performance and fluctuation in the market prices or underperformance or deteriorating financial results of other listed companies based in Hong Kong. The securities of some of these companies have experienced significant volatility since their initial public offerings, including, in some cases, substantial price declines in the trading prices of their securities. The trading performances of other Hong Kong companies’ securities after their offerings may affect the attitudes of investors towards Hong Kong-based, U.S.-listed companies, which consequently may affect the trading performance of Diginex Limited’s Ordinary Shares regardless of its actual operating performance. In addition, any negative news or perceptions about inadequate corporate governance practices or fraudulent accounting, corporate structure, or matters of other Hong Kong companies may also negatively affect the attitudes of investors towards Hong Kong companies in general, including Diginex Limited, regardless of whether it has conducted any inappropriate activities. Furthermore, securities markets may from time-to-time experience significant price and volume fluctuations that are not related to Diginex Limited’s operating performance, which may materially and adversely affect the trading price of its Ordinary Shares.</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Diginex Limited’s Ordinary Shares may be highly volatile due to multiple factors, including the following:</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Diginex Limited or its industry;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Diginex Limited’s revenue, profit, and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financial services firms;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Diginex Limited’s quarterly results of operations and changes or revisions of its expected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Diginex Limited, its services, its officers, directors, shareholders, other beneficial owners, its business partners, or its industry;</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Diginex Limited or Diginex Limited competitors of new service offerings, acquisitions, strategic relationships, joint ventures, capital raises, or capital commitments;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proceedings involving Diginex Limited, its officers, directors, or shareholders;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Diginex Limited’s Ordinary Shares will trade. In the past, shareholders of public companies have often brought securities class action suits against those companies following periods of instability in the market price of their securities. If Diginex Limited were involved in a class action suit, it could divert a significant amount of its management’s attention and other resources from its business and operations and require it to incur significant expenses to defend the suit, which could harm Diginex Limited’s results of operations. Any such class action suit, whether or not successful, could harm Diginex Limited’s reputation and restrict its ability to raise capital in the future. In addition, if a claim is successfully made against Diginex Limited, it may be required to pay significant damages, which could have a material adverse effect on its financial condition and results of operations.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Diginex Limited’s Ordinary Shares may be manipulative and may drive down the market price of its Ordinary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Short sellers of Diginex Limited stock may be manipulative and may attempt to drive down the market price of Diginex Limited’s Ordinary Shares.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as the short seller expects to pay less in the covering purchase than it received in the sale. It is therefore in the short seller’s interest for the price of the stock to decline, and some short sellers publish, or arrange for the publication of, opinions or characterizations regarding the relevant issuer, often involving deliberate misrepresentations of the issuer’s business prospects and similar matters calculated to create negative market momentum.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public entity in a highly digital world, Diginex Limited may be the subject of concerted efforts by profiteering short sellers to spread misinformation and misrepresentations in order to gain an illegal market advantage. In addition, the publication of intentional misinformation may also result in lawsuits, the uncertainty and expense of which could adversely impact Diginex Limited’s business, financial condition, and reputation.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utilizing all available tools to defend itself and its assets against these short seller efforts, there is limited regulatory control, making such efforts an ongoing concern for any public company. While Diginex Limited moves forward in its business development strategies in good faith, there are no assurances that Diginex Limited will not face these short sellers’ efforts or similar tactics by bad actors in the future, and the market price of its Ordinary Shares may decline as a result of their actions or the action of other short sellers.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our Ordinary Shares price may subject us to securities litigation.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DSL is unable to successfully identify, hire and retain skilled individuals, it will not be able to implement its growth strategy successfully.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DSL’s growth strategy is based, in part, on its ability to attract and retain highly skilled professionals including software engineers. To date, DSL has been able to locate and engage such employees; however, because of competition from other firms, DSL may face difficulties in recruiting and retaining professionals of a caliber consistent with its business strategy in the future. If DSL is unable to successfully identify and retain qualified professionals, it could materially and adversely affect DSL’s business, financial condition and results of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DSL’s employee retention plans may not be sufficient to retain key employees, including as it relates to equity compensation plans in place now and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including from new market entrants in the future, may cause DSL’s revenue and earnings to decline.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the increased importance placed on ESG reporting there could be new market entrants that directly compete with DSL. Such competitors may have significant competitive advantages, including, the ability to leverage their sales efforts and marketing expenditures across a broader portfolio of services, greater global presence, more established third-party relationships, greater brand recognition, greater financial strength, greater numbers of company and investor clients, larger research and development teams, larger marketing budgets and other advantages over Diginex.</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DSL believes its products, services and pricing differentiates it from many such competitors, the business has relatively low barriers to entry and DSL anticipates that such barriers to entry will become lower in the future. This could lead to fee compression or require DSL to spend more to modify or adapt its offerings to attract and retain customers and remain competitive with the products and services offered by new competitors in the industry. Increased competition on the basis of any of these factors, including competition leading to fee reductions, could materially and negatively impact DSL’s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DSL’s business lines rely on vendors and third-party service providers.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DSL’s operations could be interrupted or disrupted if DSL’s vendors and third-party service providers, or even the vendors of such vendors and third-party service providers, experience operational or other systems difficulties, terminate their service, fail to comply with regulations, raise their prices or dispute key intellectual property rights sold or licensed to, or developed for, DSL. DSL may also suffer the consequences of such vendors and third-party providers’ mistakes. DSL outsources some of its operational and development activities and accordingly depends on key relationships with vendors. For example, DSL relies on vendors and third parties for certain services, including systems development and maintenance and hosting servers. The failure or capacity restraints of vendors and third-party services, a cybersecurity breach involving any third-party service providers or the termination or change in terms or price of a vendors and third-party software license or service agreement on which DSL relies could interrupt DSL’s operations. Replacing vendors and third-party service providers or addressing other issues with DSL’s vendors and third-party service providers could entail significant delay, expense and disruption of service. As a result, if these vendors and third-party service providers experience difficulties, are subject to cybersecurity breaches, terminate their services, dispute the terms intellectual property agreements, or raise their prices, and DSL is unable to replace them with other vendors and service providers, particularly on a timely basis, DSL’s operations could be interrupted. If an interruption were to continue for a significant period, DSL’s business, financial condition and results of operations could be adversely affected. Even if DSL can replace vendors and third-party providers, it may be at a higher cost to DSL, which could also adversely affect DSL’s business, financial condition and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notwithstanding DSL’s efforts to implement and enforce strong policies and practices regarding third-party service providers, DSL may not successfully detect and prevent fraud, incompetence or theft by its third-party service providers, which could adversely affect DSL’s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DSL could be the victim of employee misconduct.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have been a number of highly publicized cases involving fraud, conflicts of interest, or other misconduct by employees, and there is a risk that an employee of, or contractor to, DSL or any of its affiliates could engage in misconduct that adversely affects DSL’s business. It is not always possible to deter such misconduct, and the precautions DSL takes to detect and prevent such misconduct may not be effective in all cases. Misconduct by an employee of, or contractor to, DSL or any of its affiliates, or even unsubstantiated allegations of such misconduct, could result in direct financial harm to DSL.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DSL may not be able to effectively manage its growth.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DSL grows its business, its employee headcount and the scope and complexity of its business lines may increase dramatically. Consequently, if DSL’s business grows at a rapid pace, it may experience difficulties maintaining this growth and building the appropriate processes and controls. Growth may increase the strain on resources, cause operating difficulties, including difficulties in sourcing, logistics, maintaining internal controls, marketing, designing products and services and meeting customer needs.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DSL currently operates and is seeking to run many business lines and, while these business lines are anticipated to be complimentary, there can be no assurance that DSL will be able to effectively deliver internal or external resources effectively to each business line as and when needed, particularly when multiple business lines are experiencing high levels of need at the same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DSL does not adapt to meet these challenges, it could have a material adverse effect on its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 may materially and adversely affect DSL’s performance and results.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Operational risk is the risk of an adverse outcome resulting from inadequate or failed internal processes, people, systems or external events. DSL’s exposure to operational risk arises from routine processing errors, as well as extraordinary incidents, such as major systems failures or legal matters. Because DSL’s business lines are reliant on both technology and human expertise and execution, DSL is exposed to material operational risk arising from a number of factors, including, but not limited to, human error, processing and communication errors, errors of third-party service providers, counterparties or other third parties, failed or inadequate processes, design flaws and technology or system failures and malfunctions.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Operational errors or significant operational delays could have a materially negative impact on DSL’s ability to conduct its business or service its clients, which could adversely affect results of operations due to potentially higher expenses and lower revenues, create liability for DSL or its clients or negatively impact its reputation.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DSL may not be effective in mitigating risk.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DSL continues to develop, risk management and oversight policies and procedures to provide a sound operational environment for the types of risk to which it is subject, including operational risk, credit risk, market risk and liquidity risk. However, as with any risk management framework, there are inherent limitations to DSL’s current and future risk management strategies, including risks that it has not appropriately anticipated or identified and that certain policies may be insufficient. Accurate and timely enterprise-wide risk information is necessary to enhance management’s decision-making in times of crisis. If DSL’s risk management framework proves ineffective or if DSL’s enterprise-wide management information is incomplete or inaccurate, it could suffer unexpected losses or fail to generate the expected revenue, which could materially and adversely affect its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Diginex Limited was incorporated as an exempted company with limited liability under the laws of the Cayman Islands on January 26, 2024. Prior to our initial public offering, Diginex Limited and DSL will undergo the Restructuring pursuant to the planned Share Exchange Agreement, whereby the then existing shareholders of DSL (the “</w:t>
      </w:r>
      <w:r>
        <w:rPr>
          <w:rFonts w:ascii="Times New Roman" w:cs="Times New Roman" w:eastAsia="Times New Roman" w:hAnsi="Times New Roman"/>
          <w:sz w:val="18"/>
          <w:szCs w:val="18"/>
          <w:b w:val="1"/>
          <w:bCs w:val="1"/>
          <w:color w:val="auto"/>
        </w:rPr>
        <w:t>Original Shareholders</w:t>
      </w:r>
      <w:r>
        <w:rPr>
          <w:rFonts w:ascii="Times New Roman" w:cs="Times New Roman" w:eastAsia="Times New Roman" w:hAnsi="Times New Roman"/>
          <w:sz w:val="18"/>
          <w:szCs w:val="18"/>
          <w:color w:val="auto"/>
        </w:rPr>
        <w:t>”) will transfer all of their respective shares in DSL to Diginex Limited, in exchange for Diginex Limited’s issuance of its new shares to the Original Shareholders in proportion to their existing shareholdings in DSL. Upon consummation of the Share Exchange Agreement, DSL will be a wholly owned subsidiary of Diginex Limited, and the existing shareholders of DSL will become shareholders of Diginex Limited.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Share Exchange Agreement, prior to our initial public offering, Diginex Limited will also (i) issue new convertible loan notes to certain Original Shareholders in consideration for the cancellation of the then existing convertible loan notes issued by DSL held by such Original Shareholders; (ii) grant certain share options under the new share option plan expected to be adopted by Diginex Limited to the holders of the unexercised share options granted by DSL (the “</w:t>
      </w:r>
      <w:r>
        <w:rPr>
          <w:rFonts w:ascii="Times New Roman" w:cs="Times New Roman" w:eastAsia="Times New Roman" w:hAnsi="Times New Roman"/>
          <w:sz w:val="18"/>
          <w:szCs w:val="18"/>
          <w:b w:val="1"/>
          <w:bCs w:val="1"/>
          <w:color w:val="auto"/>
        </w:rPr>
        <w:t>Original Share Options</w:t>
      </w:r>
      <w:r>
        <w:rPr>
          <w:rFonts w:ascii="Times New Roman" w:cs="Times New Roman" w:eastAsia="Times New Roman" w:hAnsi="Times New Roman"/>
          <w:sz w:val="18"/>
          <w:szCs w:val="18"/>
          <w:color w:val="auto"/>
        </w:rPr>
        <w:t>”), in consideration for the cancellation of the Original Share Options held by such holders and</w:t>
      </w:r>
    </w:p>
    <w:p>
      <w:pPr>
        <w:spacing w:after="0" w:line="3" w:lineRule="exact"/>
        <w:rPr>
          <w:sz w:val="20"/>
          <w:szCs w:val="20"/>
          <w:color w:val="auto"/>
        </w:rPr>
      </w:pPr>
    </w:p>
    <w:p>
      <w:pPr>
        <w:ind w:firstLine="8"/>
        <w:spacing w:after="0" w:line="260"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grant certain warrants to purchase Ordinary Shares of Diginex Limited to the holders of the then existing warrants to purchase ordinary shares of DSL (the “</w:t>
      </w:r>
      <w:r>
        <w:rPr>
          <w:rFonts w:ascii="Times New Roman" w:cs="Times New Roman" w:eastAsia="Times New Roman" w:hAnsi="Times New Roman"/>
          <w:sz w:val="18"/>
          <w:szCs w:val="18"/>
          <w:b w:val="1"/>
          <w:bCs w:val="1"/>
          <w:color w:val="auto"/>
        </w:rPr>
        <w:t>Original Warrants</w:t>
      </w:r>
      <w:r>
        <w:rPr>
          <w:rFonts w:ascii="Times New Roman" w:cs="Times New Roman" w:eastAsia="Times New Roman" w:hAnsi="Times New Roman"/>
          <w:sz w:val="18"/>
          <w:szCs w:val="18"/>
          <w:color w:val="auto"/>
        </w:rPr>
        <w:t>”), in consideration for the cancellation of the Original Warrants held by such 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“ESG” is the most recent evolution in corporate sustainability thinking, and it encapsulates a series of Environmental, Social, and Governance-related criteria to measure and evaluate both business impacts as well as risks and opportunities.</w:t>
      </w:r>
    </w:p>
    <w:p>
      <w:pPr>
        <w:spacing w:after="0" w:line="162" w:lineRule="exact"/>
        <w:rPr>
          <w:sz w:val="20"/>
          <w:szCs w:val="20"/>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(E): This pillar focuses on a company’s impact on the natural environment as well as how it manages environmental risks and opportunities. It includes considerations like carbon emissions, energy use, waste management, water conservation, biodiversity loss, and compliance with environmental regulations.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(S): This dimension focuses on a company’s impact on society and how it treats different groups of people, including employees, suppliers, customers, and 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(G): This component refers to the structures, processes and internal controls a company uses to guide its operations. Internally, it encompasses leadership structures, executive pay, ethical and corporate guidelines, and decision-making processes. Externally, it involves stakeholder engagement, compliance with regulations, and transparent disclosure practices.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factors has soared. Key stakeholders, including consumers, investors, and regulators, now increasingly demand transparency and accountability on these fronts.</w:t>
      </w:r>
    </w:p>
    <w:p>
      <w:pPr>
        <w:spacing w:after="0" w:line="180" w:lineRule="exact"/>
        <w:rPr>
          <w:sz w:val="20"/>
          <w:szCs w:val="20"/>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disclosure and ESG-related regulations are on the rise globally, with regulators increasingly mandating standardized and transparent reporting of companies’ ESG performance to ensure stakeholders, particularly investors, have access to comprehensive, comparable, and reliable information. The European Union and the US currently lead in regulatory developments, starting with a focus on financial market participants, large corporations and climate-related disclosures.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interest in ESG is rising exponentially, reshaping the financial landscape and putting increased pressure on corporates to disclose ESG performance data. ESG-oriented assets under management (AUM) are likely to significantly grow in the EU, more than double in the United States, and triple in the Asia-Pacific (APAC) region by 2026. In turn, the global sustainable lending and bond market size has multiplied in the last years and is expected to keep its pace.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demands are putting additional pressure on transparency and ESG performance. Growing concerns about environmental challenges as well as greater expectations around societal issues have brought sustainability into the mainstream. As a result, consumers increasingly prioritize environmental and social responsibility in their purchasing decisions with a growing demand for sustainable products and companies.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key characteristic of the ESG movement is its reliance on data and measurable metrics. In contrast to previous corporate sustainability movements (e.g., CSR) which often involved self-regulated practices and policies, ESG is grounded on quantifiable and comparable data based on specific metrics to validate outcomes and performance. As such, regulatory pressures, investor interest and changing consumer demands are putting significant pressure on corporates to produce, manage and disclosure ESG performance data, relating to both their own business as well as their supply chain.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83" w:lineRule="exact"/>
        <w:rPr>
          <w:sz w:val="20"/>
          <w:szCs w:val="20"/>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reporting and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ESG software is already experiencing rapid growth and is expected to keep its pace over the coming years.</w:t>
      </w:r>
    </w:p>
    <w:p>
      <w:pPr>
        <w:spacing w:after="0" w:line="225" w:lineRule="exact"/>
        <w:rPr>
          <w:sz w:val="20"/>
          <w:szCs w:val="20"/>
          <w:color w:val="auto"/>
        </w:rPr>
      </w:pPr>
    </w:p>
    <w:p>
      <w:pPr>
        <w:jc w:val="both"/>
        <w:ind w:left="660" w:right="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ESG reporting &amp; data management software market was estimated to be worth USD 0.7 billion in 2022. Estimates for its projected growth vary from USD 1.5 billion to USD 4.35 billion by 2027, showcasing robust compound annual growth rates of anywhere between 15.9% and 30% over the next 5 years.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carbon management software market reached a size of USD 343 million in 2021, with growth at a CAGR of 28% to reach USD 1.4 billion in 2027, influenced by upcoming mandatory climate-related regulations from 2024 to 2026, as well as macroeconomic and voluntary drivers.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chain sustainability software market was worth over USD 991 million in 2021 and will grow to nearly USD 4.3 billion in 2027, at a CAGR of 28%.</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&amp; sustainability corporate strategy, digital transformation, corporate reporting and disclosures, operational transformation, product stewardship and supply chain sustainability, among others. In par with the software market, investment in ESG and sustainability consulting reached USD 6 billion in 2021 and forecasts a global CAGR of 17% to reach USD 16 billion by 2027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78308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13" w:lineRule="exact"/>
        <w:rPr>
          <w:sz w:val="20"/>
          <w:szCs w:val="20"/>
          <w:color w:val="auto"/>
        </w:rPr>
      </w:pPr>
    </w:p>
    <w:p>
      <w:pPr>
        <w:ind w:left="5540" w:right="4680" w:hanging="5532"/>
        <w:spacing w:after="0" w:line="374" w:lineRule="auto"/>
        <w:tabs>
          <w:tab w:leader="none" w:pos="126"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Verdantix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2022 ESG and Sustainability Consulting: Market Size and Forecast 2021-2027</w:t>
      </w:r>
      <w:r>
        <w:rPr>
          <w:rFonts w:ascii="Times New Roman" w:cs="Times New Roman" w:eastAsia="Times New Roman" w:hAnsi="Times New Roman"/>
          <w:sz w:val="18"/>
          <w:szCs w:val="18"/>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DSL’s cash and cash equivalents, short term investments, indebtedness, and capitalization as of September 30, 2023 on an actual basis and on a pro forma basis after giving effect to the exchange of all outstanding Preferred Shares and Convertible Notes into ordinary shares, assuming the exchange was consummated as of September 30, 2023. This table should be read in conjunction with “Management’s Discussion and Analysis of Financial Condition and Results of Operations” and our audited consolidated financial statements and the related notes included elsewhere in this prospectus.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6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 September 30, 2023</w:t>
            </w:r>
          </w:p>
        </w:tc>
      </w:tr>
      <w:tr>
        <w:trPr>
          <w:trHeight w:val="236"/>
        </w:trPr>
        <w:tc>
          <w:tcPr>
            <w:tcW w:w="4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gridSpan w:val="2"/>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20" w:type="dxa"/>
            <w:vAlign w:val="bottom"/>
            <w:tcBorders>
              <w:top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20"/>
                <w:szCs w:val="20"/>
                <w:color w:val="auto"/>
              </w:rPr>
            </w:pPr>
          </w:p>
        </w:tc>
      </w:tr>
      <w:tr>
        <w:trPr>
          <w:trHeight w:val="238"/>
        </w:trPr>
        <w:tc>
          <w:tcPr>
            <w:tcW w:w="40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w:t>
            </w:r>
          </w:p>
        </w:tc>
        <w:tc>
          <w:tcPr>
            <w:tcW w:w="100" w:type="dxa"/>
            <w:vAlign w:val="bottom"/>
          </w:tcPr>
          <w:p>
            <w:pPr>
              <w:spacing w:after="0"/>
              <w:rPr>
                <w:sz w:val="20"/>
                <w:szCs w:val="20"/>
                <w:color w:val="auto"/>
              </w:rPr>
            </w:pPr>
          </w:p>
        </w:tc>
      </w:tr>
      <w:tr>
        <w:trPr>
          <w:trHeight w:val="194"/>
        </w:trPr>
        <w:tc>
          <w:tcPr>
            <w:tcW w:w="40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41,903</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debt</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3,229,165</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1,100,822</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1,148,835</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 – non current</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2,559,140</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8,416,000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3,725,301</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(23,374,241)</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equity/(deficit)</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(17,382,015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capitalization</w:t>
            </w:r>
          </w:p>
        </w:tc>
        <w:tc>
          <w:tcPr>
            <w:tcW w:w="3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(33,835,977)</w:t>
            </w:r>
          </w:p>
        </w:tc>
        <w:tc>
          <w:tcPr>
            <w:tcW w:w="204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2"/>
        </w:trPr>
        <w:tc>
          <w:tcPr>
            <w:tcW w:w="4000" w:type="dxa"/>
            <w:vAlign w:val="bottom"/>
          </w:tcPr>
          <w:p>
            <w:pPr>
              <w:spacing w:after="0"/>
              <w:rPr>
                <w:sz w:val="24"/>
                <w:szCs w:val="24"/>
                <w:color w:val="auto"/>
              </w:rPr>
            </w:pPr>
          </w:p>
        </w:tc>
        <w:tc>
          <w:tcPr>
            <w:tcW w:w="338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DILUTION</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you invest in our Ordinary Shares, your interest will be diluted for each Ordinary Share you purchase to the extent of the difference between the initial public offering price per Ordinary Share and our net tangible book value per Ordinary Share after this offering. Dilution results from the fact that the initial public offering price per Ordinary Share is substantially in excess of the net tangible book value per Ordinary Share attributable to the existing shareholders for our presently outstanding Ordinary Shares.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authorized share capital of the Company is 500,000,000 shares of US$0.0001 par value. Our net tangible book value as of [December 31, 2023]</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was approximately $[ ], or $[ ] per Ordinary Share. Net tangible book value represents the amount of our total consolidated tangible assets, less the amount of our total consolidated liabilities. Dilution is determined by subtracting the as adjusted net tangible book value per Ordinary Share from the initial public offering price per Ordinary Share and after deducting the estimated discounts to the underwriters and the estimated offering expenses payable by us.</w:t>
      </w:r>
    </w:p>
    <w:p>
      <w:pPr>
        <w:spacing w:after="0" w:line="18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After giving further effect to the sale of Ordinary Shares in this offering at an initial public offering price of $[ ] per Ordinary Share, and after deducting estimated underwriting discounts, advisory fee and estimated offering expenses payable by us, our as adjusted net tangible book value as of</w:t>
      </w:r>
    </w:p>
    <w:p>
      <w:pPr>
        <w:ind w:right="20"/>
        <w:spacing w:after="0" w:line="250" w:lineRule="auto"/>
        <w:rPr>
          <w:sz w:val="20"/>
          <w:szCs w:val="20"/>
          <w:color w:val="auto"/>
        </w:rPr>
      </w:pPr>
      <w:r>
        <w:rPr>
          <w:rFonts w:ascii="Times New Roman" w:cs="Times New Roman" w:eastAsia="Times New Roman" w:hAnsi="Times New Roman"/>
          <w:sz w:val="18"/>
          <w:szCs w:val="18"/>
          <w:color w:val="auto"/>
        </w:rPr>
        <w:t>[December 31, 2023] is approximately $[ ], or approximately $[ ] per Ordinary Share. This represents an immediate increase in as adjusted net tangible book value per Ordinary Share of $[ ] to our existing shareholders and an immediate dilution in as adjusted net tangible book value per Ordinary Share of approximately $[ ] to new investors purchasing Ordinary Shares in this offering. The following table illustrates this dilution on a per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 basis:</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 Exercise of</w:t>
            </w:r>
          </w:p>
        </w:tc>
        <w:tc>
          <w:tcPr>
            <w:tcW w:w="32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Full Exercise</w:t>
            </w:r>
          </w:p>
        </w:tc>
      </w:tr>
      <w:tr>
        <w:trPr>
          <w:trHeight w:val="216"/>
        </w:trPr>
        <w:tc>
          <w:tcPr>
            <w:tcW w:w="6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Over-allotment</w:t>
            </w: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Over-allotment</w:t>
            </w:r>
          </w:p>
        </w:tc>
      </w:tr>
      <w:tr>
        <w:trPr>
          <w:trHeight w:val="245"/>
        </w:trPr>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320" w:type="dxa"/>
            <w:vAlign w:val="bottom"/>
          </w:tcPr>
          <w:p>
            <w:pPr>
              <w:spacing w:after="0"/>
              <w:rPr>
                <w:sz w:val="21"/>
                <w:szCs w:val="21"/>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 per ordinary share</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Ordinary Share as of December 31, 2023</w:t>
            </w:r>
          </w:p>
        </w:tc>
        <w:tc>
          <w:tcPr>
            <w:tcW w:w="212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198"/>
        </w:trPr>
        <w:tc>
          <w:tcPr>
            <w:tcW w:w="67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Ordinary Share attributable</w:t>
            </w:r>
          </w:p>
        </w:tc>
        <w:tc>
          <w:tcPr>
            <w:tcW w:w="2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new investors purchasing Ordinary Shares in this offering</w:t>
            </w:r>
          </w:p>
        </w:tc>
        <w:tc>
          <w:tcPr>
            <w:tcW w:w="212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Ordinary Share after this offering</w:t>
            </w:r>
          </w:p>
        </w:tc>
        <w:tc>
          <w:tcPr>
            <w:tcW w:w="212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new investors in this offering</w:t>
            </w:r>
          </w:p>
        </w:tc>
        <w:tc>
          <w:tcPr>
            <w:tcW w:w="212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If the underwriters exercise their over-allotment option in full, the pro forma as adjusted net tangible book value per Ordinary Share after the offering would be $[ ], the increase in net tangible book value per Ordinary Share to existing shareholders would be $[ ], and the immediate dilution in net tangible book value per Ordinary Share to new investors in this offering would be $[ ].</w:t>
      </w:r>
    </w:p>
    <w:p>
      <w:pPr>
        <w:spacing w:after="0" w:line="176" w:lineRule="exact"/>
        <w:rPr>
          <w:sz w:val="20"/>
          <w:szCs w:val="20"/>
          <w:color w:val="auto"/>
        </w:rPr>
      </w:pPr>
    </w:p>
    <w:p>
      <w:pPr>
        <w:ind w:left="440"/>
        <w:spacing w:after="0"/>
        <w:tabs>
          <w:tab w:leader="none" w:pos="3980" w:val="left"/>
        </w:tabs>
        <w:rPr>
          <w:sz w:val="20"/>
          <w:szCs w:val="20"/>
          <w:color w:val="auto"/>
        </w:rPr>
      </w:pPr>
      <w:r>
        <w:rPr>
          <w:rFonts w:ascii="Times New Roman" w:cs="Times New Roman" w:eastAsia="Times New Roman" w:hAnsi="Times New Roman"/>
          <w:sz w:val="18"/>
          <w:szCs w:val="18"/>
          <w:color w:val="auto"/>
        </w:rPr>
        <w:t>The table and discussion above are based on [</w:t>
        <w:tab/>
        <w:t>] Ordinary Shares outstanding as of December 31, 2023.</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To the extent that we issue additional Ordinary Shares in the future, there will be further dilution to new investors participating in this offering.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estimate that we will receive net proceeds from this offering, after deducting the estimated underwriting discounts, advisory fee, non-accountable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allowance and the estimated offering expenses payable by us and based upon the initial public offering price of $[</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per Ordinary Share and that</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underwriters have introduced 100% of the investors and the underwriting discounts are [6.0]%, of approximately $[</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If the underwriters exercise their</w:t>
            </w:r>
          </w:p>
        </w:tc>
      </w:tr>
      <w:tr>
        <w:trPr>
          <w:trHeight w:val="216"/>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over-allotment option in full, we estimate that the net proceeds to us from this offering will be approximately $[</w:t>
            </w: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after deducting the underwriting</w:t>
            </w:r>
          </w:p>
        </w:tc>
      </w:tr>
      <w:tr>
        <w:trPr>
          <w:trHeight w:val="23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 advisory fee, non-accountable expense allowance and estimated offering expenses payable by us.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694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Use of</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6940" w:type="dxa"/>
            <w:vAlign w:val="bottom"/>
          </w:tcPr>
          <w:p>
            <w:pPr>
              <w:spacing w:after="0"/>
              <w:rPr>
                <w:sz w:val="21"/>
                <w:szCs w:val="21"/>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6"/>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1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160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2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General working capital</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 the event that the underwriters’ over-allotment option is exercised in full, we intend to use such proceeds (approximately $[ ] million) for the same purposes in the same proportions specified above.</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To the extent that the net proceeds we receive from this offering are not immediately used for the above purposes, we intend to invest our net proceeds in short-term, interest-bearing bank deposits or debt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intend to keep all future earnings to finance the expansion of our business, and we do not anticipate that any cash dividends will be paid in the foreseeable future. As a holding company, our ability to pay and declare dividends will depend on a number of factors, including our receipt of funds from our subsidiaries. Cash dividends, if any, on our Ordinary Shares will be paid in U.S. dollars.</w:t>
      </w:r>
    </w:p>
    <w:p>
      <w:pPr>
        <w:spacing w:after="0" w:line="17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Our board of directors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current practice of the Inland Revenue Department of Hong Kong, no tax is payable in Hong Kong in respect of dividends paid by us.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Any dividends to be paid by us are not subject to taxation in the Cayman Islands under current laws and regulations. See “Taxation — Cayman Islands Taxation.”</w:t>
      </w:r>
    </w:p>
    <w:p>
      <w:pPr>
        <w:spacing w:after="0" w:line="158"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SIX MONTHS ENDED SEPTEMBER 30, 2023 AND 2022</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DSL and its subsidiaries (the “Group”) financial condition and results of operation should be read in conjunction with the interim condensed consolidated financial statements and the notes thereto contained elsewhere in this prospectus. This discussion contains forward-looking statements reflecting DSL’s current expectations, estimates and assumptions concerning events and financial trends that may affect its future operating results or financial position. Actual results and the timing of events may differ materially from those contained in these forward-looking statements due to a number of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 is an impact technology business helping organizations to address the world’s most pressing ESG, climate and sustainability issues, utilizing blockchain and other technologies to lead the change and increase transparency.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DSL was acquired from its former parent, Eqonex Limited, in May 2020 by Rhino Ventures Limited for consideration of $6 million. At the time of acquisition, DSL were engaged in delivering meaningful ESG focused technology to [power organizations such as the U.S. State Department, U.S. Department of Labor, United Nations International Organization for Migration, Mekong Club and Winrock International]. Such projects were generally focused on enhancing transparency in global supply chains with a specific lens around forced labor due diligence and assisting in the safe inter-jurisdictional migration of workers through the employment value chain.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2021, DSL launched its first SaaS product, diginexESG, which lowered the barriers to ESG reporting by providing businesses an accessible, affordable and intelligent products to help companies become transparent with regards to ESG reporting.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March 2022 DSL launched diginexLUMEN, another SaaS product. diginexLUMEN focuses on the ‘social’ aspect of ESG and sets a new standard for supply chain due diligence.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2022, DSL acquired what is branded as diginexApprise. This platform was originally developed by the United Nations University Institute in Macau along with the Mekong Club. This product allows workers to have a voice in the workplace and forms a component of our supply chain product suite.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lifecycle of the product releases, the business has engaged and partnered with some large name clients such as Coca Cola, Unilever and in June 2023 announced a Sustainability Business Accelerator with HSBC which will see HSBC offer Diginex products to their client base to help them</w:t>
      </w:r>
    </w:p>
    <w:p>
      <w:pPr>
        <w:sectPr>
          <w:pgSz w:w="11900" w:h="16927" w:orient="portrait"/>
          <w:cols w:equalWidth="0" w:num="1">
            <w:col w:w="11240"/>
          </w:cols>
          <w:pgMar w:left="320" w:top="657"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with their ESG disclosures and ultimately reduce risk.</w:t>
      </w:r>
    </w:p>
    <w:p>
      <w:pPr>
        <w:spacing w:after="0" w:line="225"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Diginex Limited was incorporated as an exempted company with limited liability under the laws of the Cayman Islands on January 26, 2024. Prior to our initial public offering, Diginex Limited and DSL will undergo the Restructuring pursuant to the planned Share Exchange Agreement, whereby the then existing shareholders of DSL (the “</w:t>
      </w:r>
      <w:r>
        <w:rPr>
          <w:rFonts w:ascii="Times New Roman" w:cs="Times New Roman" w:eastAsia="Times New Roman" w:hAnsi="Times New Roman"/>
          <w:sz w:val="18"/>
          <w:szCs w:val="18"/>
          <w:b w:val="1"/>
          <w:bCs w:val="1"/>
          <w:color w:val="auto"/>
        </w:rPr>
        <w:t>Original Shareholders</w:t>
      </w:r>
      <w:r>
        <w:rPr>
          <w:rFonts w:ascii="Times New Roman" w:cs="Times New Roman" w:eastAsia="Times New Roman" w:hAnsi="Times New Roman"/>
          <w:sz w:val="18"/>
          <w:szCs w:val="18"/>
          <w:color w:val="auto"/>
        </w:rPr>
        <w:t>”) will transfer all of their respective shares in DSL to Diginex Limited, in exchange for Diginex Limited’s issuance of its new shares to the Original Shareholders in proportion to their existing shareholdings in DSL. Immediately after the consummation of the Share Exchange Agreement, the Original Shareholders will be shareholders of Diginex Limited and DSL will be a wholly owned subsidiary of Diginex Limited.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 Result of Operations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6280" w:type="dxa"/>
            <w:vAlign w:val="bottom"/>
          </w:tcPr>
          <w:p>
            <w:pPr>
              <w:spacing w:after="0"/>
              <w:rPr>
                <w:sz w:val="24"/>
                <w:szCs w:val="24"/>
                <w:color w:val="auto"/>
              </w:rPr>
            </w:pPr>
          </w:p>
        </w:tc>
        <w:tc>
          <w:tcPr>
            <w:tcW w:w="38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w:t>
            </w:r>
          </w:p>
        </w:tc>
      </w:tr>
      <w:tr>
        <w:trPr>
          <w:trHeight w:val="23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2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(3.8)</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gains or (losses)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0.9</w:t>
            </w: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3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6"/>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(loss) for the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41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6280" w:type="dxa"/>
            <w:vAlign w:val="bottom"/>
          </w:tcPr>
          <w:p>
            <w:pPr>
              <w:spacing w:after="0"/>
              <w:rPr>
                <w:sz w:val="24"/>
                <w:szCs w:val="24"/>
                <w:color w:val="auto"/>
              </w:rPr>
            </w:pPr>
          </w:p>
        </w:tc>
        <w:tc>
          <w:tcPr>
            <w:tcW w:w="38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w:t>
            </w:r>
          </w:p>
        </w:tc>
      </w:tr>
      <w:tr>
        <w:trPr>
          <w:trHeight w:val="23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Products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Advisory</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r>
      <w:tr>
        <w:trPr>
          <w:trHeight w:val="24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21"/>
                <w:szCs w:val="21"/>
                <w:color w:val="auto"/>
              </w:rPr>
            </w:pPr>
          </w:p>
        </w:tc>
      </w:tr>
      <w:tr>
        <w:trPr>
          <w:trHeight w:val="217"/>
        </w:trPr>
        <w:tc>
          <w:tcPr>
            <w:tcW w:w="6280" w:type="dxa"/>
            <w:vAlign w:val="bottom"/>
            <w:tcBorders>
              <w:top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32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for the six months ended September 30, 2023 decreased by $0.4 million to $0.6 million compared to the revenue generated during the six months ended September 30, 2022. The revenue during the six months ended September 30, 2023 was lower when compared to 2022 primarily due a reduction in revenue generated from customization projects in the six months ended September 30, 2022. Customization revenue relates to developing customized features with diginexESG or dignexLUMEN to tailor the products for client specific needs.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an increase in revenue from licensed products during the six months ended September 30,2023 to $0.2 million from $0.1 million for the six months ended September 30, 2022, as both diginexESG and diginexLUMEN gained additional clients. Revenue from license products is a result of clients subscribing for diginexESG or diginexLUMEN.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Advisory revenue, which was $0.1 million for both the six months ended September 30, 2023 and September 30, 2022 is generated by providing services such as developing ESG strategies, conducting ESG materiality assessments and conducting training sessions on a range of ESG topics.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2"/>
        </w:trPr>
        <w:tc>
          <w:tcPr>
            <w:tcW w:w="6280" w:type="dxa"/>
            <w:vAlign w:val="bottom"/>
          </w:tcPr>
          <w:p>
            <w:pPr>
              <w:spacing w:after="0"/>
              <w:rPr>
                <w:sz w:val="24"/>
                <w:szCs w:val="24"/>
                <w:color w:val="auto"/>
              </w:rPr>
            </w:pPr>
          </w:p>
        </w:tc>
        <w:tc>
          <w:tcPr>
            <w:tcW w:w="38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w:t>
            </w:r>
          </w:p>
        </w:tc>
      </w:tr>
      <w:tr>
        <w:trPr>
          <w:trHeight w:val="237"/>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fees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r>
      <w:tr>
        <w:trPr>
          <w:trHeight w:val="25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21"/>
                <w:szCs w:val="21"/>
                <w:color w:val="auto"/>
              </w:rPr>
            </w:pPr>
          </w:p>
        </w:tc>
      </w:tr>
      <w:tr>
        <w:trPr>
          <w:trHeight w:val="216"/>
        </w:trPr>
        <w:tc>
          <w:tcPr>
            <w:tcW w:w="6280" w:type="dxa"/>
            <w:vAlign w:val="bottom"/>
            <w:tcBorders>
              <w:top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32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$0.4 million to $4.4 million during the six months ended September 30, 2023 when compared to the six months ended September 30, 2022. This decrease was primarily driven by a reduction in IT development and maintenance support costs plus a reduction in advertising and marketing spend which has been partially offset by an increase in employee related costs.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 benefits increased by $0.6 million to $3.0 million for the six months ended September 30, 2023 compared to the six months ended September 30, 2022. The period-on-period increase was driven, in the most part, by incremental employee share options being awarded, and the fair value accounting required to reflect the value of the employee share option scheme. The fair value of employee share options awards increased by $1.0 million to $1.2 million during the six months ended September 30, 2023 compared to $0.2 million for the six months ended September 30,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salaries and associated employee allowances decreased by $0.4 million to $1.7 million when compared to the six months period ended September 30, 2022. This cost reduction was driven by a decrease in employee headcount from 29 at September 30, 2022 to 21 at September 30, 2023. The Company also hired contractors that are included in these numbers. At September 30, 2023 DSL engaged 10 contractors compared to 11 at September 30,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IT Development and maintenance support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development and maintenance support costs decreased to $1.1 million for the six ended September 30, 2023 compared to $1.6 million for the six months ended September 30, 2022. This decrease was the result of an internal cost review, resulting in a reduced number of IT developers engaged via a third party. This reduction in cost aligns with the decrease in revenues from customization projects.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paused advertising and marketing related costs during the six months ended September 30, 2023 compared to a spend of $0.3 million in the six months ended September 30, 2022. During the six months ended September 30, 2023 the company spent time analyzing the going forward marketing strategy for DSL.</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DSL incurred professional fees of $0.1 million for the six months ended September 30, 2023 which remained flat when compared to fees for the six months ended September 30, 2022. Professional fees relate primarily to the outsourced accounting function.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Consultancy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Consultancy fees decreased by $0.1 million during the six months ended September 30, 2022 to a minimum spend. Consultancy fees relate, in part, to the engagement with an HR consultant who assisted in the payroll process amongst other HR tasks during the period.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lease expenses were minimal for the six months ended September 30, 2023 and slightly below the expenses for the six months ended September 30, 2022 and relates to the Hong Kong office rent.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expenses of $0.2 million for the six months ended September 30, 2023 were in line with the $0.2 million expensed in the six months ended September 30, 2022. Other expenses include costs such as audit, insurance and travel.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Other income, gains or (losses)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USD millions</w:t>
      </w:r>
    </w:p>
    <w:p>
      <w:pPr>
        <w:spacing w:after="0" w:line="2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fair value gains (losses) of financial liabilities at fair value through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6412230"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223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19685</wp:posOffset>
            </wp:positionV>
            <wp:extent cx="2434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34590" cy="1714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23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19685</wp:posOffset>
            </wp:positionV>
            <wp:extent cx="23742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ind w:right="1160"/>
        <w:spacing w:after="0"/>
        <w:tabs>
          <w:tab w:leader="none" w:pos="34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(0.8)</w:t>
      </w:r>
    </w:p>
    <w:p>
      <w:pPr>
        <w:spacing w:after="0" w:line="41" w:lineRule="exact"/>
        <w:rPr>
          <w:sz w:val="20"/>
          <w:szCs w:val="20"/>
          <w:color w:val="auto"/>
        </w:rPr>
      </w:pPr>
    </w:p>
    <w:p>
      <w:pPr>
        <w:jc w:val="right"/>
        <w:ind w:right="11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8"/>
          <w:szCs w:val="18"/>
          <w:b w:val="1"/>
          <w:bCs w:val="1"/>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31750</wp:posOffset>
            </wp:positionV>
            <wp:extent cx="23742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742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600"/>
          </w:cols>
          <w:pgMar w:left="320" w:top="657" w:right="339" w:bottom="1440" w:gutter="0" w:footer="0" w:header="0"/>
        </w:sectPr>
      </w:pPr>
    </w:p>
    <w:p>
      <w:pPr>
        <w:spacing w:after="0" w:line="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September 30, 2023, Diginex recognized other gains of $4.9 million compared to other losses of $0.8 million for the six months ended September 30, 2022. The other gains and losses were the result of changes in the fair value of preferred shares and convertible loan notes.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Fair Value losses of Financial Liabilities at Fair Value Through Profit and Loss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2021, the Company raised $6.0 million capital via the issuance of redeemable preferred shares. At September 30, 2022, the preferred shares were fair valued using an equity allocation model at $12.5 million. This resulted in a loss of $0.8 million being recognized in the interim condensed consolidated statement of profit or loss for the six months ended September 30, 2022. At September 30, 2023, the preferred shares were, again, fair valued for reporting purposes using the same model. The resulting valuation was $8.4 million, which concluded in a $5.0 million gain being recognized in the interim condensed consolidated statement of profit or loss for the six months ended September 30, 2023.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2023, Diginex had issued $3.35 million of 8% convertible loan notes which were fair valued using a binomials model at $3.8 million which resulted in a fair value loss of $0.1 million being recognized in the six months ended September 30, 2023, after taking into account accrued interest of $0.3 million. There was an immaterial fair value loss during the six months ended September 30, 2022.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DSL incurred finance costs for the six months ended September 30, 2023 of $0.3 million compared to minimal financing costs for the six months ended September 30,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2023 $0.2 million of the finance cost related to the 8% convertible loan notes with $0.1 million on a shareholder loan from Rhino Ventures Limited and a lessor amount of finance charge relating to a loan with a related company. Both the shareholder and related company loan charged 8% interest. There was also a minimal amount of interest charge in relation to the right of use asset lease that was entered into in June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Whilst DSL reported a profit for the six months ended September 30, 2023, there was no income tax charge for DSL following the utilization of brought forward losses. Due to losses reported in the six months ended September 30, 2022, there is no income tax charge for DSL.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incorporation, DSL has not been materially impacted by changes in inflation.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Impact of Foreign Currency Fluctuations on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DSL’s main operating currencies have historically been the US Dollar and Hong Kong Dollar. As the Hong Kong Dollar is pegged to the US Dollar, DSL has not been overly exposed to foreign currency fluctuations in prior years. As the business grows, DSL has exposure to more foreign currencies and their fluctuations, such as the British Pound, Euro.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Judgements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DSL’s interim condensed consolidated financial statements requires management to make judgements, estimates and assumptions that affect the reported amounts of revenues, expenses, assets and liabilities, and the disclosure of contingent liabilities, at the reporting date. However, uncertainty about these assumptions and estimates could result in outcomes that could require a material adjustment to the carrying amount of the asset or liability affected in the future.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other than additional accounting policy resulting from application of IFRS 16 “Leases” in connection with a rental agreement entered into by DSL during the six months ended 30 September 2023 as set out below, the accounting policies and methods of computation used in the interim condensed consolidated financial statements for the six months ended 30 September 2023 are the same as those applied to the audited consolidated financial statements as at and for the year ended 31 March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inception of a contract, DSL assesses whether the contract is, or contains, a lease.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DSL as lessee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 contract that contains a lease component and one or more additional lease or non-lease components, DSL allocates the consideration in the contract to each lease component on the basis of the relative stand-alone price of the lease component and the aggregate stand-alone price of the non-lease components. DSL applies practical expedient not to separate non-lease components from lease component, and instead account for the lease component and any associated non-lease components as a single lease component.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applying IFRS 16, DSL elected a simplified approach for leases with a lease term of 12 months or less from the commencement date and do not contain a purchase option. Lease payments on short-term leases are recognized as expense on a straight-line basis.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assessing whether a lessee is reasonably certain to exercise an option to extend a lease, or not to exercise an option to terminate a lease, DSL considers all relevant facts and circumstances that create an economic incentive for the lessee to exercise the option to extend the lease, or not to exercise the option to terminate the lease. DSL revises the lease term if there is a change in the non-cancellable period of a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 use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right-of-use asset is initially recognized at cost comprising of:</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the initial measurement of the lease liability;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 incurred by DSL; and</w:t>
      </w:r>
    </w:p>
    <w:p>
      <w:pPr>
        <w:spacing w:after="0" w:line="20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costs to be incurred by DSL in dismantling and removing the underlying asset, restoring the site on which it is located or restoring the underlying asset to the condition required by the terms and conditions of the lease.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Right-of-use assets are measured at cost, less any accumulated depreciation and impairment losses, and adjusted for any remeasurement of lease liabilities.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Right-of-use assets in which DSL is reasonably certain to obtain ownership of the underlying leased assets at the end of the lease term are depreciated from commencement date to the end of the useful life. Otherwise, right-of-use assets are depreciated on a straight-line basis over the shorter of its estimated useful life and the lease term.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DSL presents right-of-use assets as a separate line item on the consolidated statement of financial position.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commencement date of a lease, DSL recognizes and measures the lease liability at the present value of lease payments that are unpaid at that date. In calculating the present value of lease payments, DSL uses the incremental borrowing rate at the lease commencement date if the interest rate implicit in the lease is not readily determinable.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payments include:</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by DSL under residual value guarantees;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DSL is reasonably certain to exercise the option;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penalties for terminating a lease, if the lease term reflects DSL exercising an option to terminate the lease.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the commencement date, lease liabilities are adjusted by interest accretion and lease payments. DSL remeasures lease liabilities (and makes a corresponding adjustment to the related right-of-use assets) whenever:</w:t>
      </w:r>
    </w:p>
    <w:p>
      <w:pPr>
        <w:spacing w:after="0" w:line="162" w:lineRule="exact"/>
        <w:rPr>
          <w:sz w:val="20"/>
          <w:szCs w:val="20"/>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ind w:left="66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DSL presents lease liabilities as a separate line item on the interim condensed consolidated statement of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Estimation uncertainties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preparing these interim condensed consolidated financial statements, other than additional estimation resulting from application of IFRS 16 “Leases” and a change in estimations used in the fair value measure of the preferred shares, DSL’s key sources of judgements and estimation uncertainty are the same as those applied to the audited consolidated financial statements as at and for the year ended 31 March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 used for initial measurement of lease liability</w:t>
      </w:r>
    </w:p>
    <w:p>
      <w:pPr>
        <w:spacing w:after="0" w:line="22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DSL, as a lessee, measures the lease liability at the present value of the unpaid lease payments at the commencement date. The lease payments are discounted using the interest rate implicit in the lease, if that rate can be readily determined. If that rate cannot be readily determined, DSL on initial recognition of the lease uses its incremental borrowing rate. Incremental borrowing rate is the rate of interest that DSL would have to pay to borrow over a similar term, and with a similar security, the funds necessary to obtain an asset of a similar value to the right-of-use assets in similar economic environment.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Estimations used in the fair value measure of the preferred shares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DSL recognized a gain on change in fair value of preferred shares of $5.0 million for the six months ended September 30, 2023 based on significant unobservable inputs using the discounted cash flows and equity allocation model. Given a decline in revenues for the six months ended 30 September 2023, management revised the projected revenues, expenses and cash flows, which resulted in a decrease in fair value of the preferred shares at September 30, 2023 when compared to that of March 31, 2023 and a gain is recognized in the interim condensed consolidated statement of profit or loss accordingly.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Released Accounting Standards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DSL’s annual financial statements for the year ended 31 March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DSL’s ability to fund its operations has historically been based on generating revenue, raising capital from investors and borrowing funds on reasonable economic terms. During the six months ended September 30, 2023, DSL has been funded primarily by the shareholder loans, together with the preference shares and convertible loans issued in prior periods and from revenues generated during the period. DSL also issued an additional $0.1 million of 8% convertible loan note during the six months ended September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is of the opinion that the capital of the Company is not sufficient to meet present requirements without the continued support from the shareholder loan. At September 30, 2023 the Company had net current liabilities and without any actions would be unable to meet liquidity requirements over the twelve months following the submission of this registration statement. In order to reduce the liquidity risk, Rhino Ventures Limited has agreed to fund the business until the earlier of the next twelve months from the issue date of the financial statements for the years ended March 31, 2023 and 2022 or this registration statement being declared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aware of any legal or economic restrictions on the ability of its subsidiaries to transfer funds to the Company in the form of cash dividends, loans or advances. The Company is also not aware of any material restrictions that impact the transfer of funds between subsidiaries to enable the operating of the business in various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33"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2023, DSL had cash and cash equivalents of $0.1 million and at September 30, 2022 it had cash and cash equivalents of $1.2 million, as detailed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37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six months ended September 30,</w:t>
            </w:r>
          </w:p>
        </w:tc>
        <w:tc>
          <w:tcPr>
            <w:tcW w:w="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6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 USD millions</w:t>
            </w:r>
          </w:p>
        </w:tc>
        <w:tc>
          <w:tcPr>
            <w:tcW w:w="1400" w:type="dxa"/>
            <w:vAlign w:val="bottom"/>
          </w:tcPr>
          <w:p>
            <w:pPr>
              <w:ind w:left="7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ind w:left="76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698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0" w:type="dxa"/>
            <w:vAlign w:val="bottom"/>
          </w:tcPr>
          <w:p>
            <w:pPr>
              <w:spacing w:after="0"/>
              <w:rPr>
                <w:sz w:val="18"/>
                <w:szCs w:val="18"/>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0.9</w:t>
            </w:r>
          </w:p>
        </w:tc>
        <w:tc>
          <w:tcPr>
            <w:tcW w:w="1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0" w:type="dxa"/>
            <w:vAlign w:val="bottom"/>
          </w:tcPr>
          <w:p>
            <w:pPr>
              <w:spacing w:after="0"/>
              <w:rPr>
                <w:sz w:val="18"/>
                <w:szCs w:val="18"/>
                <w:color w:val="auto"/>
              </w:rPr>
            </w:pPr>
          </w:p>
        </w:tc>
        <w:tc>
          <w:tcPr>
            <w:tcW w:w="8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b w:val="1"/>
                <w:bCs w:val="1"/>
                <w:color w:val="auto"/>
              </w:rPr>
              <w:t>)</w:t>
            </w:r>
          </w:p>
        </w:tc>
        <w:tc>
          <w:tcPr>
            <w:tcW w:w="15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4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six months</w:t>
            </w: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32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cash outflows from operating activities were $2.0 million in the six months ended September 30, 2023, compared to an outflow of $3.4 million for the six months ended September 30,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operating expenditure incurred in the six months ended September 30, 2023, $1.8 million related to employees and contractors and $1.1 million on third party IT engineers, such expense being partially offset by revenues of $0.6 million and other working capital adjustments. In the six months ended September 30, 2022, $2.2 million of outflow related to employees and contractors and $1.6 million on third party IT engineers, such expense being partially offset by revenues of $1.0 million and other working capital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cash flows from investing activities in the six months ended September 30, 2023 and for the six months ended September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cash inflows from financing activities were $0.9 million in the six months ended September 30, 2023, compared to an inflow of $3.3 million for the six months ended September 30,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six months ended September 30, 2023, DSL raised an additional $0.1 million from the issuance of a fixed rate of 8% convertible loan note which has a maturity upon listing or on the second anniversary of the effective date. The notes convert at the lower of a 20% discount to listing share price or $60 million valuation. In the six months ended September 30, 2022 DSL raised $1 million from the issuance of an 8% convertible loan note on the same terms.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also has a fixed rate of 8% shareholder loan from Rhino Ventures Limited. During the six months ended September 30, 2023, Rhino Ventures Limited advanced an incremental $0.6 million plus an interest free $0.2 million in lieu of an equity subscription in the Company. During the six months ended September 30, 2022 DSL increased its loan with Rhino Ventures by $1.3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six months ended September 30, 2022 DSL borrowed $1.0 million from a related company at a fixed rate of 8% with a repayment date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2023, DSL had a loan balance of $3.0 million outstanding with Rhino Ventures Limited which is repayable by March 31, 2024 which compared to $2.3 million outstanding at March 31, 2023. Also outstanding at both September 30, 2023 and March 31, 2023 was a $1.1 million loan with a related company which is repayable by December 31, 2024. In addition, there are convertible loan notes of $3.35 million issued at September 30, 2023 which was $0.1 million higher than at March 31,2023 with repayable terms as noted above. There are also redeemable preferred shares with an initial subscription value of $6 million, with a five year maturity. The preferred shares were fair valued at $8.4 million at September 2023 and $13.5 million at March 31, 2023 using an equity allocation model. Convertible loan notes and preferred shares have auto conversion features into ordinary shares upon the registration statement on Form F-1 being declared effective.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payables outstanding relate primarily to accounts payable and accruals that have accumulated in the ordinary course of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customers subscribe for a licensed product they typically pay for an annual subscription in advance. For advisory and customizations projects, the clients will typically pay during the course of the project with revenue being recognized upon completion. As such DSL accounts for deferred revenues which relates to the balances of invoices raised that have yet to be recognized as revenue. At September 30, 2023 DSL accounted for $0.2 million of deferred revenue and $0.3 million at March 31,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30, 2023 DSL had contracted to the following long and short-term office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 term:</w:t>
      </w:r>
    </w:p>
    <w:p>
      <w:pPr>
        <w:spacing w:after="0" w:line="225" w:lineRule="exact"/>
        <w:rPr>
          <w:sz w:val="20"/>
          <w:szCs w:val="20"/>
          <w:color w:val="auto"/>
        </w:rPr>
      </w:pPr>
    </w:p>
    <w:p>
      <w:pPr>
        <w:ind w:left="660" w:right="820" w:hanging="328"/>
        <w:spacing w:after="0" w:line="50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Monaco, France: lease with an annual break clause that expires on January 31, 2027. The quarterly rent is Euro 33,565 (c.USD 37,065). Short term:</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12 month lease at a monthly rent of HKD 26,680 (c.USD 3,420)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illustrates the indebtedness at September 30, 2023 and March 31, 2023:</w:t>
      </w:r>
    </w:p>
    <w:p>
      <w:pPr>
        <w:sectPr>
          <w:pgSz w:w="11900" w:h="16838" w:orient="portrait"/>
          <w:cols w:equalWidth="0" w:num="1">
            <w:col w:w="11240"/>
          </w:cols>
          <w:pgMar w:left="320" w:top="661" w:right="33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9"/>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w:t>
            </w:r>
          </w:p>
        </w:tc>
        <w:tc>
          <w:tcPr>
            <w:tcW w:w="40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company</w:t>
            </w:r>
          </w:p>
        </w:tc>
        <w:tc>
          <w:tcPr>
            <w:tcW w:w="4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40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4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40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04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w:t>
            </w:r>
          </w:p>
        </w:tc>
        <w:tc>
          <w:tcPr>
            <w:tcW w:w="2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40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2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vMerge w:val="continue"/>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 Research, Development, Patents and Licenses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own and control a variety of intellectual property, including but not limited to trademarks, know-how and proprietary software and applications that, in the aggregate, are material to our business. Costs in relation to intellectual property have been expensed to the consolidated statements of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the trends that affect DSL’s business, financial condition and results of operations, see “Overview,” “—Results of Operations” and “— 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Off 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off balance sheet arrangements at the time of approving the interim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Contractual Obligation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illustrates a summary of DSL’s contractual obligations and commitments at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3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less than</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860" w:type="dxa"/>
            <w:vAlign w:val="bottom"/>
            <w:vMerge w:val="continue"/>
          </w:tcPr>
          <w:p>
            <w:pPr>
              <w:spacing w:after="0"/>
              <w:rPr>
                <w:sz w:val="21"/>
                <w:szCs w:val="21"/>
                <w:color w:val="auto"/>
              </w:rPr>
            </w:pPr>
          </w:p>
        </w:tc>
        <w:tc>
          <w:tcPr>
            <w:tcW w:w="16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 obligations</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 obligations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lease obligations</w:t>
            </w:r>
          </w:p>
        </w:tc>
        <w:tc>
          <w:tcPr>
            <w:tcW w:w="1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0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Borders>
              <w:top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 FOR THE YEARS ENDED MARCH 31, 2023 AND 2022</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its consolidated financial statements and the related notes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in these forward-looking statements. Factors that could cause or contribute to these differences include those discussed below and elsewhere in this prospectus, particularly those set forth in the section entitled “Risk Factors.”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Operating Results</w:t>
            </w: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8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2080" w:type="dxa"/>
            <w:vAlign w:val="bottom"/>
            <w:gridSpan w:val="2"/>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6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color w:val="auto"/>
              </w:rPr>
              <w:t>(8.9)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86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gains or (losses)</w:t>
            </w:r>
          </w:p>
        </w:tc>
        <w:tc>
          <w:tcPr>
            <w:tcW w:w="386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color w:val="auto"/>
              </w:rPr>
              <w:t>(1.8)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net</w:t>
            </w:r>
          </w:p>
        </w:tc>
        <w:tc>
          <w:tcPr>
            <w:tcW w:w="386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386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8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Products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Customization</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for the year ended March 31, 2023 increased to $1.6 million from $1.1 million for the year ended March 31, 2022.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revenues year on year can primarily be attributed to an uplift in revenues from diginexESG, and the launch of diginexLUMEN in April 2022. The launch of diginexLUMEN resulted in DSL contracting with new customers and generating incremental revenues. Revenue from license products is a result of clients subscribing for diginexESG or diginexLUMEN and increased to $0.4 million for the year ended March 31, 2023 compared to $0.1 million of the year ended March 31, 2022.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revenue growth was further supported by increased demand for the products being customized for specific clients’ needs as well as clients’ needing support, to define their ESG strategies and roll out.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Customization revenue relates to developing customized features with diginexESG or diginexLUMEN for clients. Customization revenue grew marginally to $1.0 million for the for year ended March 31, 2023 compared to $0.9 million for the year ended March 31, 2022.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Advisory revenue is generated by providing services such as developing ESG strategies, conducting ESG materiality assessments and conducting training sessions on a range of ESG topics. Advisory revenue grew marginally to $0.2 million for the for year ended March 31, 2023 compared to $0.1 million for the year ended March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 from Continuing Operations</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3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fees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6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$04 million to $8.9 million for the year ended March 31, 2023. This increase was due, in part, increased employee benefits and IT developments and maintenance support costs.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Employee related expenses increased by $0.4 million to $5.0 million for the year ended March 31, 2023 when compared to the year ended March 31,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Salaries and employee benefits increased by $0.3 million to $4.4 million for the year ended March 31, 2023 when compared to the year ended March 31, 2022. At both March 31, 2023 and March 31, 2022, the employee headcount for DSL was 26 and peaked at 30 during October 2022 before DSL reduced headcount back to March 2022 levels The average headcount for the year ended March 31, 2023 was 28 compared to 25 compared to the year ended March 31,2022. During the year ended March 31, 2023 DSL hired some senior employees to drive the product and business growth.</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 also hired contractors during both periods. DSL hired 11 contractors at March 31, 2022 and 9 at March 31, 2023. Costs associated contractors are included within the salaries and benefits numbers.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Employee Shares Option Plan(“ESOP”) that allows for the allocation of 15% of the share capital of the Company on a fully diluted basis to employees/contractors. The ESOP is fair valued at each reporting period using an equity allocation model and at March 31,2023 resulted in an expense of $0.6 million compared to $0.4 million for the year ended March 31, 2022.</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IT Development and maintenance support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development and maintenance support costs increased to $2.7 million for the year ended March 31, 2023 compared to $2.1 for the year ended March 31, 2022. The increase consists primarily of costs associated with the engagement of third party IT engineers to drive the performance of the diginexESG and diginexLUMEN platforms. At March 31, 2023 the Company engaged 47 engineers compared to 62 as at March 31, 2022 however the average number of engineers engaged during the year ended March 31, 2023 was higher than for the year ended March 31, 2022.</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marketing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 advertising and marketing related costs of $0.5 million for the year ended March 31, 2023 decreased by $0.2 million when compared to March 31, 2022. This reduction was primarily associated with a change in strategy for brand building and client outreach.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incurred professional fees of $0.3 million during the year ended March 31, 2023 which remained flat when compared to fees for the year ended March 31, 2022. Professional fees relate to costs associated with the outsourced accounting function, legal and advisory fees on corporate and capital structures.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Consultancy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Consultancy fees decreased by $0.1 million during the year ended March 31, 2023 when compared to the year ended March 31, 2022. Consultancy fees relate, in part, to the engagement with an HR consultant to support DSL.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expense of $0.1 million for the year ended March 31, 2023 was $0.2 million lower than the expenses for the year ended March 31, 2022. The reduction is due to the relocation in Hong Kong to a smaller and cheaper office space following the change in working patterns post the COVID-</w:t>
      </w:r>
    </w:p>
    <w:p>
      <w:pPr>
        <w:ind w:left="240" w:hanging="232"/>
        <w:spacing w:after="0"/>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w:t>
      </w:r>
    </w:p>
    <w:p>
      <w:pPr>
        <w:spacing w:after="0" w:line="20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expenses of $0.2 million for the year end March 31, 2023, was marginally below the other expenses for the year ended March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include costs such as audit, insurance and travel.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losses and expenses, net</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year ended March 31,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55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fair value losses of financial liabilities at fair value through profit and</w:t>
            </w: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8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0.1</w:t>
            </w: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0.0</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5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losses and expenses, net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0" w:type="dxa"/>
            <w:vAlign w:val="bottom"/>
            <w:vMerge w:val="restart"/>
          </w:tcPr>
          <w:p>
            <w:pPr>
              <w:ind w:left="5200"/>
              <w:spacing w:after="0"/>
              <w:rPr>
                <w:sz w:val="20"/>
                <w:szCs w:val="20"/>
                <w:color w:val="auto"/>
              </w:rPr>
            </w:pPr>
            <w:r>
              <w:rPr>
                <w:rFonts w:ascii="Times New Roman" w:cs="Times New Roman" w:eastAsia="Times New Roman" w:hAnsi="Times New Roman"/>
                <w:sz w:val="18"/>
                <w:szCs w:val="18"/>
                <w:color w:val="auto"/>
                <w:w w:val="99"/>
              </w:rPr>
              <w:t>42</w:t>
            </w: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56" w:name="page57"/>
    <w:bookmarkEnd w:id="5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 recognized total other losses of $1.8 million for the year ended March 31, 2023 which compared to total other losses of $5.6 million for the year ended March 31, 2022. The losses incurred in both the years ended March 31, 2023 and 2022 were primarily due to the fair value measurement of preferred shares.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Fair Value losses of Financial Liabilities at Fair Value Through Profit and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the Company raised $6.0 million capital via the issuance of redeemable preferred shares. At March 31, 2022, the preferred shares were fair valued using an equity allocation model at $11.6 million. This resulted in a loss of $5.6 million being recognized in the consolidated statement of profit or loss. At March 31, 2023, the preferred shares were, again, fair valued for reporting purposes using the same model. The resulting valuation was $13.5 million, which concluded in a $1.9 million loss being recognized in the consolidated statement of profit or loss.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2023, DSL raised $3.25 million via the issuance of an 8% convertible loan note. At March 31, 2023, the convertible loan note was fair valued using a binomials model at $3.35 million resulting in a minimal loss being recognized in the consolidated statement of profit or loss.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Finance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DSL incurred finance costs for the year ended March 31, 2023 of $0.2 million compared to zero financing costs for the year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2023, $0.1 million of the finance cost related to the 8% convertible loan notes and $0.1 million on a loan from shareholders. There was also a finance charge on a loan from a related party for a lessor amount. Both the shareholder and related company loan charged 8%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operating activities of DSL in the years ended March 31, 2023 and 2022 did not generate a taxable charge due to operating losses incurred.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DSL had operations in United Kingdom and USA during the reporting periods, the majority of its operations have been in 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DSL’s entities in Hong Kong are subject to Hong Kong profits tax at 16.5%.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incorporation, DSL has not been materially impacted by changes in inflation.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Currency Fluctuations on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DSL’s main operating currencies have historically been the US Dollar and Hong Kong Dollar. As the Hong Kong Dollar is pegged to the US Dollar, DSL has not been overly exposed to foreign currency fluctuations in prior years. As the business grows, DSL will be exposed to more foreign currencies and their fluctuations, such as the British Pound and Euro.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Judgments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except for certain financial instruments that are measured at fair values at the end of each reporting period, as explained in the accounting policies set out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Historical cost is generally based on the fair value of the consideration given in exchange for goods and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DSL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Share-based Payment.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 where the highest level of inputs available are used in the valuation.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6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entity can access at the measurement date;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 directly or indirectly; and</w:t>
      </w:r>
    </w:p>
    <w:p>
      <w:pPr>
        <w:spacing w:after="0" w:line="20"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the Company and entities controlled by the Company. Control is achieved when the Company:</w:t>
      </w:r>
    </w:p>
    <w:p>
      <w:pPr>
        <w:spacing w:after="0" w:line="162"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DSL reassesses whether or not it controls an investee if facts and circumstances indicate that there are changes to one or more of the three elements of control listed above.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Consolidation of a subsidiary begins when DSL obtains control over the subsidiary and ceases when DSL loses control of the subsidiary. Specifically, income and expenses of a subsidiary acquired or disposed of during the year are included in the consolidated statement of profit or loss and other comprehensive income from the date DSL gains control until the date when DSL ceases to control the subsidiary.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Profit or loss and each item of other comprehensive income are attributed to the owners of the Company and to the non-controlling interests. Total comprehensive income or loss of subsidiaries is attributed to the owners of the Company and to the non-controlling interests even if this results in the non-controlling interests having a deficit balance.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bring their accounting policies in line with DSL’s accounting policies.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DSL are eliminated in full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recognizes revenue when (or as) a performance obligation is satisfied, i.e. when “control” of the services underlying the particular performance obligation is transferred to the customer. A performance obligation represents a service (or a bundle of goods or services) that is distinct or a series of distinct services that are substantially the same.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for granting of a license that is distinct from other promised services, control is transferred over time and revenue is recognized over time by reference to the progress towards complete satisfaction of the relevant performance obligation if one of the following criteria is met:</w:t>
      </w:r>
    </w:p>
    <w:p>
      <w:pPr>
        <w:spacing w:after="0" w:line="162"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provided by DSL’s performance as DSL performs;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DSL’s performance creates or enhances an asset that the customer controls as DSL performs; or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DSL’s performance does not create an asset with an alternative use to DSL and DSL has an enforceable right to payment for performance completed to date.</w:t>
      </w:r>
    </w:p>
    <w:p>
      <w:pPr>
        <w:spacing w:after="0" w:line="18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revenue is recognized at a point in time when the customer obtains control of the distinct service.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granting of a license that is distinct from other promised services, the nature of DSL’s promise in granting a license is a promise to provide a right to access DSL’s intellectual property if all of the following criteria are met:</w:t>
      </w:r>
    </w:p>
    <w:p>
      <w:pPr>
        <w:spacing w:after="0" w:line="162" w:lineRule="exact"/>
        <w:rPr>
          <w:sz w:val="20"/>
          <w:szCs w:val="20"/>
          <w:color w:val="auto"/>
        </w:rPr>
      </w:pPr>
    </w:p>
    <w:p>
      <w:pPr>
        <w:ind w:left="340" w:right="2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requires, or the customer reasonably expects, that DSL will undertake activities that significantly affect the intellectual property to which the customer has rights;</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the license directly expose the customer to any positive or negative effects of DSL’s activities;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activities do not result in the transfer of a good or a service to the customer as those activities occur.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criteria above are met, DSL accounts for the promise to grant a license as a performance obligation satisfied over time. Otherwise, DSL considers the grant of license as providing the customers the right to use DSL’s intellectual property and the performance obligation is satisfied at a point in time at which the license is granted.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contract asset represents DSL’s right to consideration in exchange for goods or services that DSL has transferred to a customer that is not yet unconditional. It is assessed for impairment in accordance with IFRS 9. In contrast, a receivable represents DSL’s unconditional right to consideration, i.e. only the passage of time is required before payment of that consideration is due.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contract liability represents DSL’s obligation to transfer services to a customer for which DSL has received consideration (or an amount of consideration is due) from the customer.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contract asset and a contract liability relating to the same contract are accounted for and presented on a net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Input method</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progress towards complete satisfaction of a performance obligation is measured based on input method, which is to recognize revenue on the basis of DSL’s efforts or inputs to the satisfaction of a performance obligation relative to the total expected inputs to the satisfaction of that performance obligation, that best depict DSL’s performance in transferring control of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Expenditure on research activities is recognized as an expense in the period in which it is incurred.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internally-generated intangible asset arising from development activities (or from the development phase of an internal project) is recognized if, and only if, all of the following have been demonstrated:</w:t>
      </w:r>
    </w:p>
    <w:p>
      <w:pPr>
        <w:spacing w:after="0" w:line="162"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feasibility of completing the intangible asset so that it will be available for use 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to complete the intangible asset and use or sell 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use or sell the intangible asset;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intangible asset will generate probable future economic benefits;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technical, financial and other resources to complete the development and to use or sell the intangible asset;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measure reliably the expenditure attributable to the intangible asset during its development.</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 initially recognized for internally-generated intangible asset is the sum of the expenditure incurred from the date when the intangible asset first meets the recognition criteria listed above. Where no internally-generated intangible asset can be recognized, development expenditure is recognized in profit or loss in the period in which it is incurred.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31 March 2023 and 2022, no research and development expenditure is recognized as internally-generated intangible asset. DSL expensed all development and maintenance costs as DSL could not reliably measure those costs associated with the development of DSL’s internally developed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preparing the financial statements of each individual group entity, transactions in currencies other than the functional currency of that entity (foreign currencies) are recognized at the rates of exchange prevailing on the dates of the transactions. At the end of the reporting period, monetary items denominated in foreign currencies are retranslated at the rates prevailing at that date. Non-monetary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Exchange differences arising on the settlement of monetary items, and on the retranslation of monetary items, are recognized in profit or loss in the period in which they arise.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purposes of presenting the consolidated financial statements, the assets and liabilities of DSL’s operations are translated into the presentation currency of DSL (i.e. USD)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exchange reserve (attributed to non-controlling interests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 costs are recognized in the statement of profit or loss in the period in which they are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 costs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Payments made by DSL to defined contribution retirement benefit plans are recognized as an expense when employees have rendered service entitling them to the contributions.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Short-term employee benefits are recognized at the undiscounted amount of the benefits expected to be paid as and when employees rendered the services. All short-term employee benefits are recognized as an expense unless another IFRSs requires or permits the inclusion of the benefit in the cost of an asset.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liability is recognized for benefits accruing to employees (such as salaries and annual leave) after deducting any amount already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equity-settled share-based payments determined at the grant date without taking into consideration all non-market vesting conditions is expensed on a straight-line basis over the vesting period, based on DSL’s estimate of equity instruments that will eventually vest, with a corresponding increase in equity (share option reserve). At the end of each reporting period, DSL revises its estimate of the number of equity instruments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that vest immediately at the date of grant, the fair value of the share options granted is expensed immediately to the statement of profit or loss.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share options are exercised, the amount previously recognized in share option reserve will be transferred to share capital. When the share options are forfeited after the vesting date or are still not exercised at the expiry date, the amount previously recognized in share option reserve will be transferred to accumulated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represents the sum of the current tax and deferred tax.</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tax currently payable is based on taxable profit for the year. Taxable profit differs from profit recognized in the consolidated statement of profit or loss because of items of income or expense that are taxable or deductible in other years and items that are never taxable or deductible. DSL’s liability for current tax is calculated using tax rates that have been enacted or substantively enacted by the end of the reporting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tax is recognized on differences between the carrying amounts of assets and liabilities in the consolidated financial statements and the corresponding tax bases used in the computation of taxable profit. Deferred tax liabilities are generally recognized for all taxable temporary differences and deferred tax assets are recognized to the extent that it is probable that taxable profits will be available against deductible temporary differences, unused tax losses or unused tax credits. Such assets and liabilities are not recognized if the temporary difference arises from goodwill or from the initial recognition (other than in a business combination) of other assets and liabilities in a transaction that affects neither the taxable profit nor the accounting profit.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tax liabilities are recognized for taxable temporary differences arising on investments in subsidiaries, except where DSL is able to control the reversal of the temporary difference and it is probable that the temporary difference will not reverse in the foreseeable future.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period when the deferred liability is settled or the deferred asset is realized, based on tax rates that have been enacted or substantively enacted by the end of the reporting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measurement of deferred tax assets and liabilities reflects the tax consequences that would follow from the manner in which DSL expects, at the end of the reporting period, to recover or settle the carrying amount of its assets and liabilities.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offset current tax assets against current tax liabilities and when they relate to income taxes levied by the same taxation authority and DSL intends to settle its current tax assets and liabilities on a net basis.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and deferred tax are recognized in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Plant and equipment are tangible assets that are held for use in the production or supply of goods or services, or for administrative purposes. Plant and equipment are stated in the consolidated statement of financial position at cost less subsequent accumulated depreciation and subsequent accumulated impairment losses, if 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 Estimated useful lives of plant and equipment are as follows:</w:t>
      </w:r>
    </w:p>
    <w:p>
      <w:pPr>
        <w:spacing w:after="0" w:line="176" w:lineRule="exact"/>
        <w:rPr>
          <w:sz w:val="20"/>
          <w:szCs w:val="20"/>
          <w:color w:val="auto"/>
        </w:rPr>
      </w:pPr>
    </w:p>
    <w:p>
      <w:pPr>
        <w:spacing w:after="0"/>
        <w:tabs>
          <w:tab w:leader="none" w:pos="7860" w:val="left"/>
        </w:tabs>
        <w:rPr>
          <w:sz w:val="20"/>
          <w:szCs w:val="20"/>
          <w:color w:val="auto"/>
        </w:rPr>
      </w:pPr>
      <w:r>
        <w:rPr>
          <w:rFonts w:ascii="Times New Roman" w:cs="Times New Roman" w:eastAsia="Times New Roman" w:hAnsi="Times New Roman"/>
          <w:sz w:val="18"/>
          <w:szCs w:val="18"/>
          <w:color w:val="auto"/>
        </w:rPr>
        <w:t>Office equipment</w:t>
      </w:r>
      <w:r>
        <w:rPr>
          <w:sz w:val="20"/>
          <w:szCs w:val="20"/>
          <w:color w:val="auto"/>
        </w:rPr>
        <w:tab/>
      </w:r>
      <w:r>
        <w:rPr>
          <w:rFonts w:ascii="Times New Roman" w:cs="Times New Roman" w:eastAsia="Times New Roman" w:hAnsi="Times New Roman"/>
          <w:sz w:val="18"/>
          <w:szCs w:val="18"/>
          <w:color w:val="auto"/>
        </w:rPr>
        <w:t>5 years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item of plant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profit or loss in the year the asset is derecognized.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each reporting date, DSL reviews the carrying amounts of its tangible assets with finite useful lives to determine whether there is any indication that those assets have suffered an impairment loss. If any such indication exists, the recoverable amount of the relevant asset is estimated in order to determine the extent of the impairment loss (if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recoverable amounts of relevant assets are estimated individually. When it is not possible to estimate the recoverable amount individually, DSL estimates the recoverable amount of the cash generating unit to which the asset belongs.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DSL compares the carrying amount of a group of cash-generating units, including the carrying amounts of the corporate assets or portion of corporate assets allocated to that group of cash-generating units, with the recoverable amount of DSL of cash-generating units. In allocating the impairment loss, the impairment loss is allocated first to reduce the carrying amount of any goodwill (if applicable) and then to the other assets on a pro-rata basis based on the carrying amount of each asset in the unit or DSL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DSL of cash-generating units. An impairment loss is recognized immediately in profit or loss.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mainly comprised of cash at different banks. The Company considers all short-term investments with an original maturity of three months or less when purchased as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recognized when a group entity becomes a party to the contractual provisions of the instrument. All regular way purchases or sales of financial assets are recognized and derecognized on a settlement date basis. Regular way purchases or sales are purchases or sales of financial assets that require delivery of assets within the time frame established by regulation or convention in the market place.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except for trade receivables arising from contracts with customers which are initially measured in accordance with IFRS 15. Transaction costs that are directly attributable to the acquisition or issue of 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and subsequent measurement of financial assets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that meet the following conditions are subsequently measured at amortized cost:</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collect contractual cash flows;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give rise on specified dates to cash flows that are solely payments of principal and interest on the principal amount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assets are subsequently measured at FVTPL.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Amortized cost and interest income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 At the end of the reporting period, trade and other receivables are measured at amortized cost.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assets that do not meet the criteria for being measured at amortized cost or Fair Value Through Other Comprehensive Income (“FVTOCI”) or designated as FVTOCI are measured at FVTPL.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financial assets subject to impairment assessment under IFRS 9</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DSL performs impairment assessment under expected credit loss (“ECL”) model on financial assets (including trade and other receivables and amounts due from an associate/shareholders/related companies) which are subject to impairment assessment under IFRS 9. The amount of ECL is updated at each reporting date to reflect changes in credit risk since initial recognition.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DSL’s historical credit loss experience, adjusted for factors that are specific to the debtors, general economic conditions and an assessment of both the current conditions at the reporting date as well as the forecast of future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DSL always recognizes lifetime ECL for trade receivables.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all other instruments, DSL measures the loss allowance equal to 12-month expected credit loss (“ECL”), unless there has been a significant increase in credit risk since initial recognition, in which case DSL recognizes lifetime ECL. The assessment of whether lifetime ECL should be recognized is based on significant increases in the likelihood or risk of a default occurring since initial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DSL derecognizes a financial asset only when the contractual rights to the cash flows from the asset expire, or when it transfers the financial asset and substantially all the risks and rewards of ownership of the asset to another entity. If DSL neither transfers nor retains substantially all the risks and rewards of ownership and continues to control the transferred asset, DSL recognizes its retained interest in the asset and an associated liability for amounts it may have to pay. If DSL retains substantially all the risks and rewards of ownership of a transferred financial asset, DSL continues to recognize the financial asset and also recognizes a collateralized borrowing for the proceeds received.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measured at amortized cost, the difference between the asset’s carrying amount and the sum of the consideration received and receivable is recognized in profit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liabilities and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as debt or equity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assets of an entity after deducting all of its liabilities. Equity instruments issued by the Company are recognized at the proceeds received, net of direct issue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FVTPL</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liabilities are classified as at FVTPL when the financial liability is (i) contingent consideration of an acquirer in a business combination to which IFRS 3 applies, (ii) held for trading or (iii) it is designated as at FVTPL.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financial liability is held for trading if:</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acquired principally for the purpose of repurchasing it in the near term; or</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initial recognition it is part of a portfolio of identified financial instruments that DSL manages together and has a recent actual pattern of short-term profit-taking; or</w:t>
      </w: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derivative, except for a derivative that is a financial guarantee contract or a designated and effective hedging instrument.</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 financial liability other than a financial liability held for trading or contingent consideration of an acquirer in a business combination may be designated as at FVTPL upon initial recognition if:</w:t>
      </w:r>
    </w:p>
    <w:p>
      <w:pPr>
        <w:spacing w:after="0" w:line="162"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eliminates or significantly reduces a measurement or recognition inconsistency that would otherwise arise; or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liability forms part of a group of financial assets or financial liabilities or both, which is managed and its performance is evaluated on a fair value basis, in accordance with DSL’s documented risk management or investment strategy, and information about DSLing is provided internally on that basis; or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forms part of a contract containing one or more embedded derivatives, and HKFRS 9 permits the entire combined contract to be designated as at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FVTPL.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financial liabilities that are designated as at FVTPL, the amount of changes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Financial liabilities including other payables and amounts due to an associate/related parties/directors are subsequently measured at amortized cost, using the effective interest method.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 convertible loan notes/redeemable ordinary shares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date of issue, the series A preferred shares, convertible loan notes and redeemable ordinary shares are designated as at FVTPL with both the debt component and derivative components recognized at fair value. In subsequent period, changes in fair value are recognized in profit or loss as fair value gain or loss except for changes in the fair value that is attributable to changes in the credit risk (excluding changes in fair value of the derivatives component) is recognized in other comprehensive income, unless the recognition of the effects of changes in the credit risk in other comprehensive income would create or enlarge an accounting mismatch in profit or loss. Changes in fair value attributable to the credit risk that are recognized in other comprehensive income are not subsequently reclassified to profit or loss, they are transferred to retained profits upon derecognition.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Transaction costs relating to the issue of all these instruments are charged to profit or loss immediately.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 derecognizes financial liabilities when, and only when, DSL’s obligations are discharged, cancelled or have expired. The difference between the carrying amount of the financial liability derecognized and the consideration paid and payable is recognized in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related party is a person or entity that is related to DSL.</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DSL if that person: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DSL;</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DSL;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key management personnel of DSL or DSL’s parent.</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DSL if any of the following conditions apply: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DSL are members of the same group (which means that each parent, subsidiary and fellow subsidiary is related to the others).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the employees of DSL or an entity related to DSL.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key management personnel of the entity (or of a parent of the entity).</w:t>
      </w: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DSL or to the parent of DSL.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Current versus non-current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DSL presents assets and liabilities in the consolidated statement of financial position based on current/non-current classification. An asset is current when:</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realized or intended to be sold or consumed in normal operating cycle;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realized within twelve months after the reporting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cash or cash equivalent unless restricted from being exchanged or used to settle a liability for at least twelve months after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assets are classified as non-current.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liability is current when:</w:t>
      </w:r>
    </w:p>
    <w:p>
      <w:pPr>
        <w:spacing w:after="0" w:line="225"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settled in normal operating cycle;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to be settled within twelve months after the reporting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unconditional right to defer the settlement of the liability for at least twelve months after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liabilities are classified as non-current.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application of DSL’s accounting policies, which are described in note 3,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process of applying DSL’s accounting policies, management has made the following judgements which have the most significant effect on the amounts recognized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currency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revenue contracts, operating expenses and borrowing are primarily in USD, and are expected to remain principally denominated in USD in the future. Management has determined USD as the Company’s functional currency and presented the consolidated financial statements in USD to meet the requirements of users.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process of classifying a financial instrument, management has made various judgments. Judgment is needed to determine whether a financial instrument, or its component parts, on initial recognition is classified as a financial liability, a financial asset or an equity instrument in accordance with the substance of the contractual arrangement and the definitions of a financial liability, a financial asset and an equity instrument. In making its judgment, management considered the detailed criteria and related guidance for the classification of financial instruments as set out in IFRS 9, in particular, whether the instrument includes a contractual obligation to deliver cash or another financial asset to another entity.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Segmental reporting</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DSL’s management is considered DSL’s CODM. The CODM reviews financial information presented on a consolidated basis for purposes of making operating decisions, allocating resources, and evaluating financial performance. While DSL has revenue from multiple services and geographies, the balance sheet and cash flow of DSL is considered by the CODM on a consolidated basis, so discrete financial information is not available for each such component. The overall financial performance of DSL is also considered as a whole.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such, DSL has determined that it operates as one operating segment and one reportable segment. DSL will continue to assess the operating segments reviewed by the CODM and the associated reportable segments per IAS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Estimation uncertainties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may have a significant risk of causing a material adjustment to the carrying amounts of assets and liabilities within the next financial year,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end of each reporting period, certain of DSL’s financial liabilities, including preferred shares and convertible loan notes, are measured at fair value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of ECL for trade receivables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Trade receivables with significant balances and credit-impaired are assessed for ECL individually. In addition, for trade receivables which are individually insignificant or when DSL does not have reasonable and supportable information that is available without undue cost or effort to measure ECL on individual basis, collective assessment is performed by grouping debtors based on DSL’s internal credit ratings.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of ECL is sensitive to changes in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DSL is subject to income taxes in several jurisdictions. Significant estimates are required in determining the provision for income taxes. There are many transactions and calculations for which the ultimate tax determination is uncertain during the ordinary course of business. Where the final tax outcome of these matters is different from the amounts that were initially recorded, such differences will impact the current and deferred tax exposure in the period in which such determination is made.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 expenses – share options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share option awards granted that is determined at the date of grant of the respective share options is expensed over the vesting period, with a corresponding adjustment to DSL’s share option reserve. In assessing the fair value of the share option award, discounted cash flows and the equity allocation model were used to calculate the fair value of the share options. The discounted cash flows and the equity allocation model require the input of subjective assumptions, including discount rate, volatility of the Company’s ordinary shares and the expected life of options. Any changes in these assumptions can significantly affect the estimate of the fair value of the share option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Recently Released Accounting Standards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the financial statements included elsewhere in this Form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DSL’s ability to fund its operations is based on its ability to generate revenue, its ability to attract investors and its ability to borrow funds on reasonable economic terms. During the year ended March 31, 2023, DSL raised capital via the issuance of a convertible loan note bearing an 8% coupon for $3.25 million which converts into equity upon listing. Diginex also borrowed $1 million from a related company and $2.25 million from Rhino Ventures Limited, both loans also bearing an 8% coupon. In the year ended 31 March 2022, DSL raised $3.7 million from the issuance of ordinary shares, $6 million from the issuance of preferred shares whilst repaying a $2.6 million loan from Rhino Ventures Limited, after receiving and advance of $0.4 million during the same period.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of the opinion that the capital of the Company is not sufficient to meet present requirements without the continued support from the shareholder loan. At March 31, 2023 the Company had net current liabilities and without any actions would be unable to meet liquidity requirements over the twelve months following the submission of this registration statement. In order to reduce the liquidity risk, Rhino Ventures Limited has agreed to fund the business until the earlier of the next twelve months or this registration statement being declared effective.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not aware of any legal or economic restrictions on the ability of its subsidiaries to transfer funds to the Company in the form of cash dividends, loans or advances. The Company is also not aware of any material restrictions that impact the transfer of funds between subsidiaries to enable the operating of the business in various jurisdictions.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2023, DSL held cash and cash equivalents of $1.2 million. $1.1 million was held in USD with residual balances primarily held in Hong Kong Dollars and British Pounds. Diginex held all balances in bank accounts and had not hedged any foreign exchange exposures give the dominate use of USD and Hong Kong dollars. However, given the increased use of British Pounds for salaries, DSL is looking to implement a Treasury Policy to manage foreign exchange requirements going forward.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2023 and 2022, Diginex has cash and cash equivalents of $1.2 million and $1.3 million, as detailed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March 31, 2022</w:t>
            </w:r>
          </w:p>
        </w:tc>
      </w:tr>
      <w:tr>
        <w:trPr>
          <w:trHeight w:val="223"/>
        </w:trPr>
        <w:tc>
          <w:tcPr>
            <w:tcW w:w="476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in USD Millions</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7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4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42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9"/>
        </w:trPr>
        <w:tc>
          <w:tcPr>
            <w:tcW w:w="47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outflows from operating activities were $6.6 million in the year ended March 31, 2023, compared to an outflow of $6.5 million for the year ended March 31, 2022. Of the operating expenditure incurred in the year ended March 31, 2023, $4.4 million related to employees and contractors and $2.7 million on third party IT engineers. In the year ended March 31, 2022, $4.2 million of spend related to employees and contractors and $2.1 million on third party IT engineers.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cash flow from investing activities during the years ended March 31, 2023 and 2022.</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cash inflows from financing activities were $6.5 million in the year ended March 31, 2023, compared to an inflow of $7.5 million for the year ended March 31, 2022.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March 31, 2023, DSL raised $3.25 million from the issuance of a fixed rate 8% convertible loan note. The convertible loan notes have a maturity date on the second anniversary of the effective date. The notes convert at the lower of a 20% discount to listing share price or $60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year ended March 31, 2023, DSL borrowed $1 million from a related company, Diginex Holdings Limited. The loan carries an interest charge at a fixed rate of 8%. Diginex Holdings Limited, is also owed by Rhino Ventures Limited but is not a subsidiary of Diginex Limited.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also had a fixed rate 8% shareholder loan from Rhino Ventures Limited. During the year ended March 31, 2023, Rhino Ventures Limited advanced $2.85 million and during the same period DSL repaid $0.6 million resulting in a net increase of $2.25 million. During the year ended March 31, 2022 DSL repaid $2.6 million to Rhino Ventures and Rhino advanced $0.4 million resulting in a net outflow of $2.2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year ended March 31, 2022 DSL issued ordinary share capital for a cash inflow of $3.7 million and redeemable preferred shares for $6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2023, DSL had a loan balance of $2.3 million outstanding with Rhino Ventures Limited which is repayable by March 31, 2024, $1 million loan with a related company which is repayable by December 31, 2024, outstanding convertible loan notes of $3.25 million with repayable terms as noted above and redeemable preference shares of $6 million, with a five year maturity. The preferred shares were fair valued at $13.5 million using an equity allocation model at March 31, 2023. Convertible loan notes and preferred shares have an auto conversion feature upon listing.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at March 31, 2022, DSL had a minimal balance outstanding with Rhino Ventures Limited and had issued $6 million redeemable preferred shares. The preferred shares were fair valued at $11.6 million using an equity allocation model at March 31,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payables outstanding relate primarily to accounts payable and accruals that have accumulated in the ordinary course of business.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customers subscribe for a licensed product they typically pay for an annual subscription in advance. For advisory and customizations projects, the clients will typically pay during the course of the project with revenue being recognized upon completion. As such DSL accounts for deferred revenues which relates to the balances of invoices raised that have yet to be recognized as revenue. At March 31, 2023 DSL accounted for $0.3 million of deferred revenue and $0.5 million at March 31,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At March 31, 2023 the DSL had contracted to the below short term office lease, the company has no long term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 term:</w:t>
      </w:r>
    </w:p>
    <w:p>
      <w:pPr>
        <w:spacing w:after="0" w:line="225" w:lineRule="exact"/>
        <w:rPr>
          <w:sz w:val="20"/>
          <w:szCs w:val="20"/>
          <w:color w:val="auto"/>
        </w:rPr>
      </w:pPr>
    </w:p>
    <w:p>
      <w:pPr>
        <w:ind w:left="660" w:right="4920" w:hanging="423"/>
        <w:spacing w:after="0" w:line="536" w:lineRule="auto"/>
        <w:tabs>
          <w:tab w:leader="none" w:pos="6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 12 month lease at a monthly rent of HKD 26,680 (c. USD 3,420) The table below illustrates the indebtedness as at March 31, 2023 and 2022:</w:t>
      </w:r>
    </w:p>
    <w:tbl>
      <w:tblPr>
        <w:tblLayout w:type="fixed"/>
        <w:tblInd w:w="660" w:type="dxa"/>
        <w:tblCellMar>
          <w:top w:w="0" w:type="dxa"/>
          <w:left w:w="0" w:type="dxa"/>
          <w:bottom w:w="0" w:type="dxa"/>
          <w:right w:w="0" w:type="dxa"/>
        </w:tblCellMar>
      </w:tblPr>
      <w:tr>
        <w:trPr>
          <w:trHeight w:val="245"/>
        </w:trPr>
        <w:tc>
          <w:tcPr>
            <w:tcW w:w="6260" w:type="dxa"/>
            <w:vAlign w:val="bottom"/>
          </w:tcPr>
          <w:p>
            <w:pPr>
              <w:spacing w:after="0"/>
              <w:rPr>
                <w:sz w:val="21"/>
                <w:szCs w:val="21"/>
                <w:color w:val="auto"/>
              </w:rPr>
            </w:pPr>
          </w:p>
        </w:tc>
        <w:tc>
          <w:tcPr>
            <w:tcW w:w="260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USD millions</w:t>
            </w: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 loans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company</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Preference shares</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5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Research and Developments, Patents and Licenses, Etc.</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own and control a variety of intellectual property, including but not limited to trademarks, know-how and proprietary software and applications that, in the aggregate, are material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DSL has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Contractual Obligation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illustrates a summary of DSL’s contractual obligations and commitments as at March 31, 2023:</w:t>
      </w:r>
    </w:p>
    <w:p>
      <w:pPr>
        <w:sectPr>
          <w:pgSz w:w="11900" w:h="16838" w:orient="portrait"/>
          <w:cols w:equalWidth="0" w:num="1">
            <w:col w:w="11220"/>
          </w:cols>
          <w:pgMar w:left="320" w:top="6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Debt Obligations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term debt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debt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shares obligation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Payments due by period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20" w:type="dxa"/>
            <w:vAlign w:val="bottom"/>
          </w:tcPr>
          <w:p>
            <w:pPr>
              <w:spacing w:after="0"/>
              <w:rPr>
                <w:sz w:val="21"/>
                <w:szCs w:val="21"/>
                <w:color w:val="auto"/>
              </w:rPr>
            </w:pPr>
          </w:p>
        </w:tc>
      </w:tr>
      <w:tr>
        <w:trPr>
          <w:trHeight w:val="198"/>
        </w:trPr>
        <w:tc>
          <w:tcPr>
            <w:tcW w:w="13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7"/>
                <w:szCs w:val="17"/>
                <w:color w:val="auto"/>
              </w:rPr>
            </w:pPr>
          </w:p>
        </w:tc>
        <w:tc>
          <w:tcPr>
            <w:tcW w:w="13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3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16"/>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34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32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-1028065</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-745490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-454025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20" w:space="720"/>
            <w:col w:w="6480"/>
          </w:cols>
          <w:pgMar w:left="320" w:top="661" w:right="35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DSL is a Hong Kong domiciled technology company that builds end to end SaaS solutions for the future of ESG reporting and supply chain due diligence. The demands for companies to report on ESG components of their business and perform extensive due diligence on their supply chain is increasing at pace. DSL has built products to address those demands. As well as offering SaaS solution, DSL also offers advisory services to support overall ESG strategies. Such advisory services can range from advising on credible reporting solutions to training plus providing a managed service to, for example, help collate and consolidate data throughout a supply chain. Managed Services will be expanded into a separate business line in 2024.</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15, 2020, Diginex Limited, a company incorporated in Hong Kong, an entity related to the Company (“Diginex HK”), together with Diginex Solutions Limited, sold the legal entities of Diginex Solutions (HK) Limited (referred to herein as “DSL”) and Diginex USA LLC, together with the trademarks associated with the “Diginex” name, to a related party, Rhino Ventures Limited, an entity controlled by Miles Pelham, the founder and former chairman of Diginex HK. The consideration of $6,000,000, that was paid by Rhino Ventures Limited (“RVL”) for Diginex Solutions (HK) Limited and Diginex USA LLC, was netted against the shareholder loan between Diginex HK and Pelham Limited, another entity controlled by Miles Pelham. In addition, Diginex HK agreed to fund the business of DSL for six months following the sale at a 25% discount to the projected costs.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of DSL included a 100% owned subsidiary, Diginex USA, a company incorporated in Delaware. In September 2021, DSL acquired, Diginex Services Limited, a company incorporated in the United Kingdom for zero consideration from RVL. Diginex Services Limited is a 100% owned subsidiary of DSL.</w:t>
      </w:r>
    </w:p>
    <w:p>
      <w:pPr>
        <w:spacing w:after="0" w:line="176"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Diginex Limited was incorporated as an exempted company with limited liability under the laws of the Cayman Islands on January 26, 2024. Prior to our initial public offering, Diginex Limited and DSL will undergo the Restructuring pursuant to the planned Share Exchange Agreement, whereby the then existing shareholders of DSL (the “</w:t>
      </w:r>
      <w:r>
        <w:rPr>
          <w:rFonts w:ascii="Times New Roman" w:cs="Times New Roman" w:eastAsia="Times New Roman" w:hAnsi="Times New Roman"/>
          <w:sz w:val="18"/>
          <w:szCs w:val="18"/>
          <w:b w:val="1"/>
          <w:bCs w:val="1"/>
          <w:color w:val="auto"/>
        </w:rPr>
        <w:t>Original Shareholders</w:t>
      </w:r>
      <w:r>
        <w:rPr>
          <w:rFonts w:ascii="Times New Roman" w:cs="Times New Roman" w:eastAsia="Times New Roman" w:hAnsi="Times New Roman"/>
          <w:sz w:val="18"/>
          <w:szCs w:val="18"/>
          <w:color w:val="auto"/>
        </w:rPr>
        <w:t>”) will transfer all of their respective shares in DSL to Diginex Limited, in exchange for Diginex Limited’s issuance of its new shares to the Original Shareholders in proportion to their existing shareholdings in DSL. Immediately after the consummation of the Share Exchange Agreement, the Original Shareholders will be shareholders of Diginex Limited and DSL will be a wholly owned subsidiary of Diginex Limited.</w:t>
      </w:r>
    </w:p>
    <w:p>
      <w:pPr>
        <w:spacing w:after="0" w:line="187"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In connection with the Share Exchange Agreement, prior to our initial public offering, Diginex Limited will also (i) issue new convertible loan notes to certain Original Shareholders in consideration for the cancellation of the then existing convertible loan notes issued by DSL held by such Original Shareholders; (ii) grant certain share options under the new equity incentive plan expected to be adopted by Diginex Limited to the holders of the unexercised share options granted by DSL (the “Original Share Options”), in consideration for the cancellation of the Original Share Options held by such holders and (iii) ) grant certain warrants to purchase Ordinary Shares of Diginex Limited to the holders of the similar warrants to purchase ordinary shares of DSL (the “Original Warrants”), in consideration for the cancellation of the Original Warrants held by such 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business side, DSL launched diginexESG in 2020 and diginexLumen in 2022, Over the same period DSL has engaged with multiple clients for both advisory and customization work, including offering the product as a white label solution. DSL has engaged and retained some high profile clients such as Coca Cola, HSBC and Unilever.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“ESG” is the most recent evolution in corporate sustainability thinking, and it encapsulates a series of Environmental, Social, and Governance-related criteria to measure and evaluate both business impacts as well as risks and opportunities.</w:t>
      </w:r>
    </w:p>
    <w:p>
      <w:pPr>
        <w:spacing w:after="0" w:line="158" w:lineRule="exact"/>
        <w:rPr>
          <w:sz w:val="20"/>
          <w:szCs w:val="20"/>
          <w:color w:val="auto"/>
        </w:rPr>
      </w:pPr>
    </w:p>
    <w:p>
      <w:pPr>
        <w:jc w:val="both"/>
        <w:ind w:left="980"/>
        <w:spacing w:after="0" w:line="268" w:lineRule="auto"/>
        <w:tabs>
          <w:tab w:leader="none" w:pos="11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w:t>
      </w:r>
      <w:r>
        <w:rPr>
          <w:rFonts w:ascii="Times New Roman" w:cs="Times New Roman" w:eastAsia="Times New Roman" w:hAnsi="Times New Roman"/>
          <w:sz w:val="18"/>
          <w:szCs w:val="18"/>
          <w:color w:val="auto"/>
        </w:rPr>
        <w:t>(E): This pillar focuses on a company’s impact on the natural environment as well as how it manages environmental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opportunities. It includes considerations like carbon emissions, energy use, waste management, water conservation, biodiversity loss, and compliance with environmental regulations.</w:t>
      </w:r>
    </w:p>
    <w:p>
      <w:pPr>
        <w:spacing w:after="0" w:line="170" w:lineRule="exact"/>
        <w:rPr>
          <w:rFonts w:ascii="Times New Roman" w:cs="Times New Roman" w:eastAsia="Times New Roman" w:hAnsi="Times New Roman"/>
          <w:sz w:val="18"/>
          <w:szCs w:val="18"/>
          <w:color w:val="auto"/>
        </w:rPr>
      </w:pPr>
    </w:p>
    <w:p>
      <w:pPr>
        <w:jc w:val="both"/>
        <w:ind w:left="980"/>
        <w:spacing w:after="0" w:line="268" w:lineRule="auto"/>
        <w:tabs>
          <w:tab w:leader="none" w:pos="11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Social </w:t>
      </w:r>
      <w:r>
        <w:rPr>
          <w:rFonts w:ascii="Times New Roman" w:cs="Times New Roman" w:eastAsia="Times New Roman" w:hAnsi="Times New Roman"/>
          <w:sz w:val="18"/>
          <w:szCs w:val="18"/>
          <w:color w:val="auto"/>
        </w:rPr>
        <w:t>(S): This dimension focuses on a company’s impact on society and how it treats different groups of people, including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customers, and 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70" w:lineRule="exact"/>
        <w:rPr>
          <w:rFonts w:ascii="Times New Roman" w:cs="Times New Roman" w:eastAsia="Times New Roman" w:hAnsi="Times New Roman"/>
          <w:sz w:val="18"/>
          <w:szCs w:val="18"/>
          <w:color w:val="auto"/>
        </w:rPr>
      </w:pPr>
    </w:p>
    <w:p>
      <w:pPr>
        <w:jc w:val="both"/>
        <w:ind w:left="980"/>
        <w:spacing w:after="0" w:line="268" w:lineRule="auto"/>
        <w:tabs>
          <w:tab w:leader="none" w:pos="11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Governance </w:t>
      </w:r>
      <w:r>
        <w:rPr>
          <w:rFonts w:ascii="Times New Roman" w:cs="Times New Roman" w:eastAsia="Times New Roman" w:hAnsi="Times New Roman"/>
          <w:sz w:val="18"/>
          <w:szCs w:val="18"/>
          <w:color w:val="auto"/>
        </w:rPr>
        <w:t>(G): This component refers to the structures, processes and internal controls a company uses to guide its operations. Internally,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encompasses leadership structures, executive pay, ethical and corporate guidelines, and decision-making processes. Externally, it involves stakeholder engagement, compliance with regulations, and transparent disclosure practices.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factors has soared. Key stakeholders, including regulators, investors, and customers, now increasingly demand transparency and accountability on these fronts.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regulatory side, corporate disclosure and ESG-related disclosure mandates are on the rise globally, with regulators increasingly mandating standardized and transparent reporting of companies’ ESG performance to ensure stakeholders, particularly investors, have access to comprehensive, comparable, and reliable information. The European Union and the US currently lead in regulatory developments, starting with a focus on financial market participants, large corporations and climate-related disclosures. Some of the most relevant regulatory developments around the world are:</w:t>
      </w:r>
    </w:p>
    <w:p>
      <w:pPr>
        <w:spacing w:after="0" w:line="176" w:lineRule="exact"/>
        <w:rPr>
          <w:sz w:val="20"/>
          <w:szCs w:val="20"/>
          <w:color w:val="auto"/>
        </w:rPr>
      </w:pPr>
    </w:p>
    <w:p>
      <w:pPr>
        <w:jc w:val="both"/>
        <w:ind w:left="980"/>
        <w:spacing w:after="0" w:line="254" w:lineRule="auto"/>
        <w:tabs>
          <w:tab w:leader="none" w:pos="11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EU CSRD/ESRS: </w:t>
      </w:r>
      <w:r>
        <w:rPr>
          <w:rFonts w:ascii="Times New Roman" w:cs="Times New Roman" w:eastAsia="Times New Roman" w:hAnsi="Times New Roman"/>
          <w:sz w:val="18"/>
          <w:szCs w:val="18"/>
          <w:color w:val="auto"/>
        </w:rPr>
        <w:t>Adopted in January 2023, the European Union’s Corporate Sustainability Reporting Directive (CSRD)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expands and strengthens the corporate disclosure requirements compared to its predecessor, the Non-Financial Reporting Directive (NFRD). Under the CSRD, a broader range of companies, including all large companies and all companies listed on regulated markets (except listed micro-enterprises), are required to disclose detailed information on how they manage social and environmental challenges through the EU Sustainability Reporting Standards (ESRS). Among its key requirements, the directive mandates a “double materiality” assessment, meaning companies must report not only on how sustainability issues affect their business, but also on the impact their business has on people and the environment. The information must be provided in the management report as part of the company’s regular financial reporting, ensuring a consistent and comparable format. The directive also requires that the reported information be third-party audited and be digitally tagged, increasing the credibility, accessibility and usability of sustainability information. The largest 50,000 companies in the EU as well as certain companies outside the EU with subsidiaries or operations in the region must begin reporting in 2025. Reporting obligations are planned to extend to other large companies, listed SMEs, and other international corporates over the next 5 years.</w:t>
      </w:r>
    </w:p>
    <w:p>
      <w:pPr>
        <w:spacing w:after="0" w:line="182" w:lineRule="exact"/>
        <w:rPr>
          <w:rFonts w:ascii="Times New Roman" w:cs="Times New Roman" w:eastAsia="Times New Roman" w:hAnsi="Times New Roman"/>
          <w:sz w:val="18"/>
          <w:szCs w:val="18"/>
          <w:color w:val="auto"/>
        </w:rPr>
      </w:pPr>
    </w:p>
    <w:p>
      <w:pPr>
        <w:jc w:val="both"/>
        <w:ind w:left="980"/>
        <w:spacing w:after="0" w:line="254" w:lineRule="auto"/>
        <w:tabs>
          <w:tab w:leader="none" w:pos="11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EU CSDDD</w:t>
      </w:r>
      <w:r>
        <w:rPr>
          <w:rFonts w:ascii="Times New Roman" w:cs="Times New Roman" w:eastAsia="Times New Roman" w:hAnsi="Times New Roman"/>
          <w:sz w:val="18"/>
          <w:szCs w:val="18"/>
          <w:color w:val="auto"/>
        </w:rPr>
        <w:t>: The Corporate Sustainability Due Diligence Directive (CSDDD), proposed in February 2022 and currently moving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European Union legislative process, establishes a corporate due diligence duty with the aim of preventing adverse Human Rights and environmental impacts in the company’s own operations and across their value chains. The proposed directive would oblige companies to conduct due diligence not just on their own operations, but also on the activities of their subsidiaries and other entities in their value chains with which they have direct and indirect established business relationships. They would need to develop and implement “prevention action plans”, obtain contractual assurances from their direct business partners that they will comply with the plans, and subsequently verify compliance. This act would enforce compliance through fines, sanctions, and orders, and requires annual disclosure of risk procedures, preventive measures, and remediation actions. The directive would apply to approximately 12,800 EU-based and 4,000 non-EU large companies, including financial services companies and those in high-impact industries such as textiles, agriculture, or extraction of minerals. SMEs would not be directly in scope, but they could be affected in their capacity as contractors or subcontractors to any of the above companies. The Directive is unlikely to come into force until 2025 at the earliest.</w:t>
      </w:r>
    </w:p>
    <w:p>
      <w:pPr>
        <w:spacing w:after="0" w:line="182" w:lineRule="exact"/>
        <w:rPr>
          <w:rFonts w:ascii="Times New Roman" w:cs="Times New Roman" w:eastAsia="Times New Roman" w:hAnsi="Times New Roman"/>
          <w:sz w:val="18"/>
          <w:szCs w:val="18"/>
          <w:color w:val="auto"/>
        </w:rPr>
      </w:pPr>
    </w:p>
    <w:p>
      <w:pPr>
        <w:jc w:val="both"/>
        <w:ind w:left="980"/>
        <w:spacing w:after="0" w:line="256" w:lineRule="auto"/>
        <w:tabs>
          <w:tab w:leader="none" w:pos="116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EU SFDR: </w:t>
      </w:r>
      <w:r>
        <w:rPr>
          <w:rFonts w:ascii="Times New Roman" w:cs="Times New Roman" w:eastAsia="Times New Roman" w:hAnsi="Times New Roman"/>
          <w:sz w:val="18"/>
          <w:szCs w:val="18"/>
          <w:color w:val="auto"/>
        </w:rPr>
        <w:t>In place since March 2021, the EU Sustainable Finance Disclosure Regulation (SFDR) requires ESG disclosure by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participants with the objective to re-orient capital flows towards sustainable investments by increasing transparency on sustainability risks, whilst ensuring a more uniform protection of end investors. The SFDR was introduced by the European Commission alongside the Taxonomy Regulation and the Low Carbon Benchmarks Regulation as part of a package of legislative measures arising from the European Commission’s Action Plan on Sustainable Finance. The SFDR requires asset managers such as AIFMs and UCITS managers to provide prescript and standardized disclosures on how ESG factors are integrated at both an entity and product level. A significant portion of the SFDR applies to all asset managers, whether or not they have an express ESG or sustainability focus.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spacing w:after="0" w:line="257" w:lineRule="auto"/>
        <w:tabs>
          <w:tab w:leader="none" w:pos="1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Exchange ESG disclosure mandates: </w:t>
      </w:r>
      <w:r>
        <w:rPr>
          <w:rFonts w:ascii="Times New Roman" w:cs="Times New Roman" w:eastAsia="Times New Roman" w:hAnsi="Times New Roman"/>
          <w:sz w:val="18"/>
          <w:szCs w:val="18"/>
          <w:color w:val="auto"/>
        </w:rPr>
        <w:t>Globally, 38 stock exchanges currently mandate ESG disclosure as a listing requirement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72 provide guidance on ESG reporting, with a clear trend towards growing mandatory requirements. As of January 2024, countries with stock exchanges requiring ESG disclosure as a listing rule currently include Argentina, Austria, Belgium, Hong Kong, Croatia, Egypt, France, Greece, India, Indonesia, Ireland, Italy, Jordan, Kazakhstan, Kenya, Kyrgyzstan, Luxembourg, Malaysia, Morocco, Namibia, Netherlands, Nigeria, Peru, Philippines, Portugal, Singapore, South Africa, Spain, Switzerland, Thailand, Turkey, United Arab Emirates, United Kingdom, United State, Vietnam and Zimbabwe. To illustrate with an example:</w:t>
      </w:r>
    </w:p>
    <w:p>
      <w:pPr>
        <w:spacing w:after="0" w:line="186" w:lineRule="exact"/>
        <w:rPr>
          <w:rFonts w:ascii="Times New Roman" w:cs="Times New Roman" w:eastAsia="Times New Roman" w:hAnsi="Times New Roman"/>
          <w:sz w:val="18"/>
          <w:szCs w:val="18"/>
          <w:color w:val="auto"/>
        </w:rPr>
      </w:pPr>
    </w:p>
    <w:p>
      <w:pPr>
        <w:jc w:val="both"/>
        <w:ind w:left="320" w:firstLine="4"/>
        <w:spacing w:after="0" w:line="254" w:lineRule="auto"/>
        <w:tabs>
          <w:tab w:leader="none" w:pos="5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Stock Exchange: In 2016, the Hong Kong Stock Exchange (HKEX) introduced a requirement for listed companies to publish annual ESG reports including specified mandatory disclosures and requiring other disclosures on a comply or explain basis. These requirements were upgraded in 2020 and 2022, partly to steer issuers and reporting toward more Task Force on Climate Related Financial Disclosures (“TCFD”)-aligned climate risk disclosure. As part of the current requirements, companies must report on their approach to ESG management, including the board’s oversight of ESG matters, the company’s progress towards ESG-related targets, and in particular the impact of significant climate-related issues, risks, and opportunities on their operations. In 2023, the HKEX started preparing an update to their ESG Reporting Code to be implemented in 2025. This latest update seeks to enhance and tighten climate disclosure requirements as well as align those with the IFRS International Sustainability Standards Board (ISSB) S2 climate-focused standard.</w:t>
      </w:r>
    </w:p>
    <w:p>
      <w:pPr>
        <w:spacing w:after="0" w:line="184" w:lineRule="exact"/>
        <w:rPr>
          <w:rFonts w:ascii="Times New Roman" w:cs="Times New Roman" w:eastAsia="Times New Roman" w:hAnsi="Times New Roman"/>
          <w:sz w:val="18"/>
          <w:szCs w:val="18"/>
          <w:color w:val="auto"/>
        </w:rPr>
      </w:pPr>
    </w:p>
    <w:p>
      <w:pPr>
        <w:jc w:val="both"/>
        <w:spacing w:after="0" w:line="256" w:lineRule="auto"/>
        <w:tabs>
          <w:tab w:leader="none" w:pos="1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ISSB</w:t>
      </w:r>
      <w:r>
        <w:rPr>
          <w:rFonts w:ascii="Times New Roman" w:cs="Times New Roman" w:eastAsia="Times New Roman" w:hAnsi="Times New Roman"/>
          <w:sz w:val="18"/>
          <w:szCs w:val="18"/>
          <w:color w:val="auto"/>
        </w:rPr>
        <w:t>: In November 2021, the International Financial Reporting Standards Foundation (IFRS) —which administers the IFRS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standards that are used in most jurisdictions other than the United States –established the International Sustainability Standards Board (ISSB) to become the global standard-setter for sustainability disclosures for the financial markets. The ISSB brings together an alphabet soup of organizations under one roof, consolidating the work of earlier initiatives into a single entity. With the endorsement of the G7, G20, and the International Organization of Securities Commissions (IOSCO), regulatory bodies globally are already adopting and aligning with the ISSB/IFRS standards. This development is set to impact and influence the ongoing development and increase in disclosure mandates by stock exchanges globally.</w:t>
      </w:r>
    </w:p>
    <w:p>
      <w:pPr>
        <w:spacing w:after="0" w:line="182" w:lineRule="exact"/>
        <w:rPr>
          <w:rFonts w:ascii="Times New Roman" w:cs="Times New Roman" w:eastAsia="Times New Roman" w:hAnsi="Times New Roman"/>
          <w:sz w:val="18"/>
          <w:szCs w:val="18"/>
          <w:color w:val="auto"/>
        </w:rPr>
      </w:pPr>
    </w:p>
    <w:p>
      <w:pPr>
        <w:jc w:val="both"/>
        <w:spacing w:after="0" w:line="272" w:lineRule="auto"/>
        <w:tabs>
          <w:tab w:leader="none" w:pos="16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 Climate Disclosure proposal</w:t>
      </w:r>
      <w:r>
        <w:rPr>
          <w:rFonts w:ascii="Times New Roman" w:cs="Times New Roman" w:eastAsia="Times New Roman" w:hAnsi="Times New Roman"/>
          <w:sz w:val="17"/>
          <w:szCs w:val="17"/>
          <w:color w:val="auto"/>
        </w:rPr>
        <w:t>: The U.S. Securities and Exchange Commission has proposed regulations that would require rigorous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reporting on climate-related information. The proposed rule would require a domestic or foreign registrant to include certain climate-related information in its registration statements and periodic reports, such as on Form 10-K, including: Climate-related risks and their actual or likely material impacts on the registrant’s business, strategy, and outlook; The registrant’s governance of climate-related risks and relevant risk management processes; The registrant’s greenhouse gas (“GHG”) emissions (Scopes 1, 2 and in some cases 3), which, for accelerated and large accelerated filers and with respect to certain emissions, would be subject to assurance; certain climate-related financial statement metrics and related disclosures in a note to its audited financial statements; and information about climate-related targets and goals, and transition plan, if any. Progress on the proposed climate disclosure rule is currently delayed and the form and date of its implementation is still unclear.</w:t>
      </w:r>
    </w:p>
    <w:p>
      <w:pPr>
        <w:spacing w:after="0" w:line="171" w:lineRule="exact"/>
        <w:rPr>
          <w:rFonts w:ascii="Times New Roman" w:cs="Times New Roman" w:eastAsia="Times New Roman" w:hAnsi="Times New Roman"/>
          <w:sz w:val="17"/>
          <w:szCs w:val="17"/>
          <w:color w:val="auto"/>
        </w:rPr>
      </w:pPr>
    </w:p>
    <w:p>
      <w:pPr>
        <w:jc w:val="both"/>
        <w:spacing w:after="0" w:line="255" w:lineRule="auto"/>
        <w:tabs>
          <w:tab w:leader="none" w:pos="1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UFLPA: </w:t>
      </w:r>
      <w:r>
        <w:rPr>
          <w:rFonts w:ascii="Times New Roman" w:cs="Times New Roman" w:eastAsia="Times New Roman" w:hAnsi="Times New Roman"/>
          <w:sz w:val="18"/>
          <w:szCs w:val="18"/>
          <w:color w:val="auto"/>
        </w:rPr>
        <w:t>The Uyghur Forced Labor Prevention Act (UFLPA), directs the Forced Labor Enforcement Task Force to develop a strategy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supporting enforcement of the prohibition on the importation of goods into the United States manufactured wholly or in part with forced labor in the People’s Republic of China, especially from the Xinjiang Uyghur Autonomous Region, or Xinjiang. The UFLPA is effective since June 2022, and requires importers to review their supply chains, instate reliable measures to ensure compliance with the UFLPA, and be prepared to respond to inquiries from US Customs and Border Protection (CBP) with sufficient evidence to demonstrate that their goods were not mined, produced, or manufactured wholly or in part by forced labor. This can include documentation showing a due diligence system or process, evidence of tracing the supply chain from raw materials to the imported good, and other credentials demonstrating supply chain management measures.</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57" w:right="3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same time, on the investors side, interest in ESG is rising exponentially, reshaping the financial landscape and putting increased pressure on corporates to disclose ESG performance data. ESG-oriented assets under management (AUM) are likely to significantly grow in the EU, more than double in the United States, and triple in the Asia-Pacific (APAC) region by 2026. In turn, the global sustainable lending and bond market size is has multiplied in the last years and is expected to keep its pace.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demands are also putting additional pressure on transparency and ESG performance. Growing concerns about environmental challenges as well as greater expectations around societal issues have brought sustainability into the mainstream. As a result, consumers increasingly prioritize environmental and social responsibility in their purchasing decisions with a growing demand for sustainable products and companies.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key characteristic of the ESG movement is its reliance on data and measurable metrics. In contrast to previous corporate sustainability movements (e.g., CSR) which often involved self-regulated practices and policies, ESG is grounded on quantifiable and comparable data based on specific metrics to validate outcomes and performance. As such, regulatory pressures, investor interest and changing consumer demands are putting significant pressure on corporates to produce, manage and disclosure ESG performance data, relating to both their own business as well as their supply chain.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83" w:lineRule="exact"/>
        <w:rPr>
          <w:sz w:val="20"/>
          <w:szCs w:val="20"/>
          <w:color w:val="auto"/>
        </w:rPr>
      </w:pPr>
    </w:p>
    <w:p>
      <w:pPr>
        <w:jc w:val="both"/>
        <w:ind w:left="980"/>
        <w:spacing w:after="0" w:line="261" w:lineRule="auto"/>
        <w:tabs>
          <w:tab w:leader="none" w:pos="11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reporting &amp;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79" w:lineRule="exact"/>
        <w:rPr>
          <w:rFonts w:ascii="Times New Roman" w:cs="Times New Roman" w:eastAsia="Times New Roman" w:hAnsi="Times New Roman"/>
          <w:sz w:val="18"/>
          <w:szCs w:val="18"/>
          <w:color w:val="auto"/>
        </w:rPr>
      </w:pPr>
    </w:p>
    <w:p>
      <w:pPr>
        <w:jc w:val="both"/>
        <w:ind w:left="980"/>
        <w:spacing w:after="0" w:line="261" w:lineRule="auto"/>
        <w:tabs>
          <w:tab w:leader="none" w:pos="11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79" w:lineRule="exact"/>
        <w:rPr>
          <w:rFonts w:ascii="Times New Roman" w:cs="Times New Roman" w:eastAsia="Times New Roman" w:hAnsi="Times New Roman"/>
          <w:sz w:val="18"/>
          <w:szCs w:val="18"/>
          <w:color w:val="auto"/>
        </w:rPr>
      </w:pPr>
    </w:p>
    <w:p>
      <w:pPr>
        <w:jc w:val="both"/>
        <w:ind w:left="980"/>
        <w:spacing w:after="0" w:line="261" w:lineRule="auto"/>
        <w:tabs>
          <w:tab w:leader="none" w:pos="11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for ESG software is already experiencing rapid growth and is expected to keep its pace over the coming years.</w:t>
      </w:r>
    </w:p>
    <w:p>
      <w:pPr>
        <w:spacing w:after="0" w:line="225" w:lineRule="exact"/>
        <w:rPr>
          <w:sz w:val="20"/>
          <w:szCs w:val="20"/>
          <w:color w:val="auto"/>
        </w:rPr>
      </w:pPr>
    </w:p>
    <w:p>
      <w:pPr>
        <w:jc w:val="both"/>
        <w:ind w:left="980"/>
        <w:spacing w:after="0" w:line="266" w:lineRule="auto"/>
        <w:tabs>
          <w:tab w:leader="none" w:pos="11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ESG reporting &amp; data management software market was estimated to be worth USD 0.7 billion in 2022. Estimates for its projected growth vary from USD 1.5 billion to 4.35 billion by 2027, showcasing robust compound annual growth rates of anywhere between 15.9% and 30% over the next 5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ind w:left="980" w:right="20"/>
        <w:spacing w:after="0" w:line="282" w:lineRule="auto"/>
        <w:tabs>
          <w:tab w:leader="none" w:pos="11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carbon management software market reached a size of $343 million in 2021, with growth at a CAGR of 28% to reach $1.4 billion in 2027, influenced by upcoming mandatory climate-related regulations from 2024 to 2026, as well as macroeconomic and voluntary drivers.</w:t>
      </w:r>
    </w:p>
    <w:p>
      <w:pPr>
        <w:spacing w:after="0" w:line="161" w:lineRule="exact"/>
        <w:rPr>
          <w:rFonts w:ascii="Times New Roman" w:cs="Times New Roman" w:eastAsia="Times New Roman" w:hAnsi="Times New Roman"/>
          <w:sz w:val="18"/>
          <w:szCs w:val="18"/>
          <w:color w:val="auto"/>
        </w:rPr>
      </w:pPr>
    </w:p>
    <w:p>
      <w:pPr>
        <w:ind w:left="980"/>
        <w:spacing w:after="0" w:line="282" w:lineRule="auto"/>
        <w:tabs>
          <w:tab w:leader="none" w:pos="116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chain sustainability software market was worth over $991 million in 2021 and will grow to nearly $4.3 billion in 2027, at a CAGR of 28%.</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&amp; sustainability corporate strategy, digital transformation, corporate reporting and disclosures, operational transformation, product stewardship and supply chain sustainability, among others. In par with the software market, investment in ESG and sustainability consulting reached $6 billion in 2021 and forecasts a global CAGR of 17% to reach $16 billion by 2027.</w:t>
      </w:r>
    </w:p>
    <w:p>
      <w:pPr>
        <w:spacing w:after="0" w:line="187"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In 2022, the market was estimated to be worth USD 0.7 billion. Estimates for its projected growth vary from USD 1.5 billion to 4.35 billion by 2027, showcasing robust compound annual growth rates of anywhere between 15.9% and 30% over the next 5 years</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By some estimates, Europe is expected to become the leading market for ESG reporting and data management digital tools, expanding at a 34% CAGR from 2021 to 2027</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This is largely due to the leading role that the EU is playing in passing detailed disclosure regulations. That said, the highlighted trends are global, and markets such as the USA, Canada and Singapore are expected to follow closely. In fact, a 2023 market research study finds that adoption of ESG reporting and data management solutions has so far been strongest in the USA</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Going forward, technological innovations like AI and IoT are expected to keep driving market growth, making data collection and analysis more nuanced. Additionally, as ESG becomes a global standard, emerging markets will also substantially contribute to the growth, requiring businesses there to adopt ESG reporting tools.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 Competitive landscape and pricing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authorities worldwide write new corporate sustainability regulations, the market for ESG services and software that helps companies with ESG data management and disclosure compliance efforts has blossomed. These solutions typically offer the features and resources required to gather, examine, and report on ESG data, assisting businesses in adhering to regulations and effectively promoting their sustainability initiatives. This ensures that businesses can effectively meet regulatory obligations while also monitoring their progress toward ESG goals.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ESG reporting and data management software landscape today is somewhat fragmented and quickly evolving. Three key factors provide a useful lens through which to segment and understand the current landscape.</w:t>
      </w:r>
    </w:p>
    <w:p>
      <w:pPr>
        <w:spacing w:after="0" w:line="162" w:lineRule="exact"/>
        <w:rPr>
          <w:sz w:val="20"/>
          <w:szCs w:val="20"/>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positioning or heritage perspective, the market features a mix of legacy enterprise software companies, dedicated ESG tech start-ups, and consulting companies with ESG tech capabilities.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Across these companies, ESG providers will typically offer various horizontal functionalities relevant to ESG (e.g. data management, reporting and disclosure, operational performance, etc.) and then apply these vertically across the three E, S, and G verticals, or focus clearly on a sub-area (e.g. waste management).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ESG solution providers can be split according to their target audience, with a clear distinction between solutions targeted at financial institutions and regular corporates, and between those aimed at large and complex enterprises or rather small and medium sized enterprises (SMEs).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6" w:lineRule="exact"/>
        <w:rPr>
          <w:sz w:val="20"/>
          <w:szCs w:val="20"/>
          <w:color w:val="auto"/>
        </w:rPr>
      </w:pPr>
    </w:p>
    <w:p>
      <w:pPr>
        <w:ind w:left="120" w:hanging="112"/>
        <w:spacing w:after="0"/>
        <w:tabs>
          <w:tab w:leader="none" w:pos="120" w:val="left"/>
        </w:tabs>
        <w:numPr>
          <w:ilvl w:val="0"/>
          <w:numId w:val="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Markets &amp; Markets, </w:t>
      </w:r>
      <w:r>
        <w:rPr>
          <w:rFonts w:ascii="Times New Roman" w:cs="Times New Roman" w:eastAsia="Times New Roman" w:hAnsi="Times New Roman"/>
          <w:sz w:val="18"/>
          <w:szCs w:val="18"/>
          <w:i w:val="1"/>
          <w:iCs w:val="1"/>
          <w:color w:val="auto"/>
        </w:rPr>
        <w:t>2022 ESG Reporting Software Market</w:t>
      </w:r>
    </w:p>
    <w:p>
      <w:pPr>
        <w:ind w:left="120" w:hanging="112"/>
        <w:spacing w:after="0" w:line="184" w:lineRule="auto"/>
        <w:tabs>
          <w:tab w:leader="none" w:pos="120" w:val="left"/>
        </w:tabs>
        <w:numPr>
          <w:ilvl w:val="0"/>
          <w:numId w:val="5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Verdantix, </w:t>
      </w:r>
      <w:r>
        <w:rPr>
          <w:rFonts w:ascii="Times New Roman" w:cs="Times New Roman" w:eastAsia="Times New Roman" w:hAnsi="Times New Roman"/>
          <w:sz w:val="17"/>
          <w:szCs w:val="17"/>
          <w:i w:val="1"/>
          <w:iCs w:val="1"/>
          <w:color w:val="auto"/>
        </w:rPr>
        <w:t>2023 Get Ready to Report: The ESG Reporting Software Market Will Reach $4.5 Billion by 2027</w:t>
      </w:r>
    </w:p>
    <w:p>
      <w:pPr>
        <w:spacing w:after="0" w:line="42" w:lineRule="exact"/>
        <w:rPr>
          <w:rFonts w:ascii="Times New Roman" w:cs="Times New Roman" w:eastAsia="Times New Roman" w:hAnsi="Times New Roman"/>
          <w:sz w:val="29"/>
          <w:szCs w:val="29"/>
          <w:color w:val="auto"/>
          <w:vertAlign w:val="superscript"/>
        </w:rPr>
      </w:pPr>
    </w:p>
    <w:p>
      <w:pPr>
        <w:ind w:right="3360"/>
        <w:spacing w:after="0" w:line="213"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Verdantix, </w:t>
      </w:r>
      <w:r>
        <w:rPr>
          <w:rFonts w:ascii="Times New Roman" w:cs="Times New Roman" w:eastAsia="Times New Roman" w:hAnsi="Times New Roman"/>
          <w:sz w:val="18"/>
          <w:szCs w:val="18"/>
          <w:i w:val="1"/>
          <w:iCs w:val="1"/>
          <w:color w:val="auto"/>
        </w:rPr>
        <w:t>2023 Get Ready to Report: The ESG Reporting Software Market Will Reach $4.5 Billion by 2027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Research &amp; Markets, </w:t>
      </w:r>
      <w:r>
        <w:rPr>
          <w:rFonts w:ascii="Times New Roman" w:cs="Times New Roman" w:eastAsia="Times New Roman" w:hAnsi="Times New Roman"/>
          <w:sz w:val="18"/>
          <w:szCs w:val="18"/>
          <w:i w:val="1"/>
          <w:iCs w:val="1"/>
          <w:color w:val="auto"/>
        </w:rPr>
        <w:t>2023. ESG Reporting Software Market Size and Share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Legacy software: </w:t>
      </w:r>
      <w:r>
        <w:rPr>
          <w:rFonts w:ascii="Times New Roman" w:cs="Times New Roman" w:eastAsia="Times New Roman" w:hAnsi="Times New Roman"/>
          <w:sz w:val="18"/>
          <w:szCs w:val="18"/>
          <w:color w:val="auto"/>
        </w:rPr>
        <w:t>Traditional and typically large software titans emerging from either the environment, health, safety, and quality (EHS&amp;Q),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or enterprise resource planning (ERP) software markets, who are now venturing into ESG realms. They generally offer intricate and comprehensive solutions cutting across several horizontal functionalities, specializing in select ESG verticals, aimed at large enterprise customers across industries, with complex structures and needs. The annual cost for these solutions ranges widely, as offerings tend to be highly customizable, but given the target audience it often goes up to the hundreds of thousands dollars a year.</w:t>
      </w:r>
    </w:p>
    <w:p>
      <w:pPr>
        <w:spacing w:after="0" w:line="179" w:lineRule="exact"/>
        <w:rPr>
          <w:sz w:val="20"/>
          <w:szCs w:val="20"/>
          <w:color w:val="auto"/>
        </w:rPr>
      </w:pPr>
    </w:p>
    <w:p>
      <w:pPr>
        <w:jc w:val="both"/>
        <w:ind w:left="660" w:hanging="328"/>
        <w:spacing w:after="0" w:line="259"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EHS&amp;Q software </w:t>
      </w:r>
      <w:r>
        <w:rPr>
          <w:rFonts w:ascii="Times New Roman" w:cs="Times New Roman" w:eastAsia="Times New Roman" w:hAnsi="Times New Roman"/>
          <w:sz w:val="18"/>
          <w:szCs w:val="18"/>
          <w:color w:val="auto"/>
        </w:rPr>
        <w:t>generally focuses on risk management, workplace health and safety, and quality control within daily operations,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catering to industries with significant operational and regulatory risks. Wolters Kluwer’s Enablon, Sphera, Quentic, Intelex, Cority, or VelocityEHS, are traditional EHS&amp;Q solution providers strategically repositioning themselves to partially rebrand to focus more broadly on ESG as a material revenue opportunity This segment typically has in-depth knowledge of specific ESG issues (e.g., Health &amp; Safety) but may lack know-how and capabilities across the broad spectrum of ESG and are typically focused on risk management and compliance rather than reporting.</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Enterprise Resource Planning (ERP) software </w:t>
      </w:r>
      <w:r>
        <w:rPr>
          <w:rFonts w:ascii="Times New Roman" w:cs="Times New Roman" w:eastAsia="Times New Roman" w:hAnsi="Times New Roman"/>
          <w:sz w:val="18"/>
          <w:szCs w:val="18"/>
          <w:color w:val="auto"/>
        </w:rPr>
        <w:t>solutions are generally comprehensive, integrated systems designed to manage a business’s core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functions and processes, such as finance, human resources, supply chain, manufacturing, and customer relations. Traditional ERP vendors like SAP, Salesforce, Oracle and even Microsoft are adding ESG data modules to their enterprise solutions. These types of solutions typically shine in capabilities like complex data management and integrations but lack experience and ESG-specific know-how.</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reporting software</w:t>
      </w:r>
      <w:r>
        <w:rPr>
          <w:rFonts w:ascii="Times New Roman" w:cs="Times New Roman" w:eastAsia="Times New Roman" w:hAnsi="Times New Roman"/>
          <w:sz w:val="18"/>
          <w:szCs w:val="18"/>
          <w:color w:val="auto"/>
        </w:rPr>
        <w:t>, distinct yet sometimes integrated into ERPs, specifically caters to the generation, analysis, and presentation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data and statements, ensuring compliance with accounting standards and regulations. These firms are actively increasing the depth and breadth of non-financial KPIs on offer, integrating ESG into their core product suite (E.g. Cube, Insight Software, or Workiva). Already recognized in their core area, they are now also slowly establishing themselves in the sustainability field.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Legacy consulting and audit firms: </w:t>
      </w:r>
      <w:r>
        <w:rPr>
          <w:rFonts w:ascii="Times New Roman" w:cs="Times New Roman" w:eastAsia="Times New Roman" w:hAnsi="Times New Roman"/>
          <w:sz w:val="18"/>
          <w:szCs w:val="18"/>
          <w:color w:val="auto"/>
        </w:rPr>
        <w:t>This group captures traditional and often large consulting and audit companies that are quickly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ESG capabilities both in terms of services (E.g., ESG advisory and assurance) and software capabilities. As ESG consulting projects increasingly require granular sustainability data and sophisticated software to amalgamate these data for strategic monitoring and compliance, consultancy firms increasingly need expertise and technical ability to create a suitable offering. As such, many of the major players have partnered with existing, typically legacy solutions to fill the need. These companies tend to offer a large variety of consulting services now in combination with ESG software tools, generally aimed at large multinationals and naturally at high costs.</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EY has partnered with Enablon, a legacy global leader in integrated risk, operational risk and EHS management software, to use their technology to help provide organizations with end-to-end management and reporting of ESG data. Bain and Company recently announced</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the backing of a new venture and ESG data management solution that aims to help industrial and manufacturing companies better achieve their sustainability goals. PwC is working with legacy ESG performance and risk management software provider Sphera, providing PwC’s clients with access to Sphera’s ESG software solutions. Deloitte has partnered with Workiva to support clients in establishing or enhanced accounting, financial and ESG regulatory reporting</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this group we could also include companies like IBM, a global technology and digital consultancy, which acquired ESG reporting and data management Envizi in January 2022, and is expanding its range of ESG services. As well as ESG specialized consultancies like ERM, which have been acquiring dedicated consultancies and technology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26" w:lineRule="exact"/>
        <w:rPr>
          <w:sz w:val="20"/>
          <w:szCs w:val="20"/>
          <w:color w:val="auto"/>
        </w:rPr>
      </w:pPr>
    </w:p>
    <w:p>
      <w:pPr>
        <w:ind w:left="120" w:hanging="112"/>
        <w:spacing w:after="0"/>
        <w:tabs>
          <w:tab w:leader="none" w:pos="120" w:val="left"/>
        </w:tabs>
        <w:numPr>
          <w:ilvl w:val="0"/>
          <w:numId w:val="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Bain &amp; Co, </w:t>
      </w:r>
      <w:r>
        <w:rPr>
          <w:rFonts w:ascii="Times New Roman" w:cs="Times New Roman" w:eastAsia="Times New Roman" w:hAnsi="Times New Roman"/>
          <w:sz w:val="18"/>
          <w:szCs w:val="18"/>
          <w:i w:val="1"/>
          <w:iCs w:val="1"/>
          <w:color w:val="auto"/>
        </w:rPr>
        <w:t>2023 New Bain &amp; Company-Backed Venture Aims to Help Companies Better Trace Data, Achieve Sustainability Goals</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Deloitte, </w:t>
      </w:r>
      <w:r>
        <w:rPr>
          <w:rFonts w:ascii="Times New Roman" w:cs="Times New Roman" w:eastAsia="Times New Roman" w:hAnsi="Times New Roman"/>
          <w:sz w:val="18"/>
          <w:szCs w:val="18"/>
          <w:i w:val="1"/>
          <w:iCs w:val="1"/>
          <w:color w:val="auto"/>
        </w:rPr>
        <w:t>2022 Deloitte Launches New ESG Accelerators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Agile start-ups and niche solutions. </w:t>
      </w:r>
      <w:r>
        <w:rPr>
          <w:rFonts w:ascii="Times New Roman" w:cs="Times New Roman" w:eastAsia="Times New Roman" w:hAnsi="Times New Roman"/>
          <w:sz w:val="18"/>
          <w:szCs w:val="18"/>
          <w:color w:val="auto"/>
        </w:rPr>
        <w:t>This group captures a variety of relatively new ESG pure-play companies that are coming into the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specialized as point solutions. DSL belongs to this group in the market, which now makes up the large proportion of firms in this space. Many of these solutions are currently still specializing in customer groups, in particular industries, and are gradually expanding their offerings horizontally and vertically. Pricing for these solutions is highly dependent on the target audience, but our subscriptions are generally less expensive than those offered by legacy software, ranging from under US$5, 000 to over US$25,000 annually.</w:t>
      </w:r>
    </w:p>
    <w:p>
      <w:pPr>
        <w:spacing w:after="0" w:line="179" w:lineRule="exact"/>
        <w:rPr>
          <w:sz w:val="20"/>
          <w:szCs w:val="20"/>
          <w:color w:val="auto"/>
        </w:rPr>
      </w:pPr>
    </w:p>
    <w:p>
      <w:pPr>
        <w:jc w:val="both"/>
        <w:ind w:left="660" w:hanging="328"/>
        <w:spacing w:after="0" w:line="259"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Specialized thematic solutions: </w:t>
      </w:r>
      <w:r>
        <w:rPr>
          <w:rFonts w:ascii="Times New Roman" w:cs="Times New Roman" w:eastAsia="Times New Roman" w:hAnsi="Times New Roman"/>
          <w:sz w:val="18"/>
          <w:szCs w:val="18"/>
          <w:color w:val="auto"/>
        </w:rPr>
        <w:t>These solutions focus on a particular area of ESG. The environmental area and, in particular, point solutions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carbon management (e.g. measurement, reduction, offsetting) have attracted the most attention in the market. Other notable players in this space are PlanA, Planetly, Normative, Watershed or Greenly. Carbon management platforms are very likely to continue to grow, as firms will increasingly need to deliver on their net-zero pledges and comply with upcoming regulations (e.g., SEC). Our diginexClimate module fits within this group, although we are not a specialized climate or carbon platform as the module is an integrated component of diginexESG.</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DiginexLUMEN product fits in this category as well, with a strong focus on the social part of ESG.</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Functionality-oriented ESG generalists: </w:t>
      </w:r>
      <w:r>
        <w:rPr>
          <w:rFonts w:ascii="Times New Roman" w:cs="Times New Roman" w:eastAsia="Times New Roman" w:hAnsi="Times New Roman"/>
          <w:sz w:val="18"/>
          <w:szCs w:val="18"/>
          <w:color w:val="auto"/>
        </w:rPr>
        <w:t>These solutions tend to cover a broad spectrum of ESG topics but focus and differentiate themselves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key horizontal functionality applicable to ESG reporting and data management processes, including:</w:t>
      </w:r>
    </w:p>
    <w:p>
      <w:pPr>
        <w:spacing w:after="0" w:line="15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 mainly includes tools that help to collect, aggregate and manage sustainability and ESG performance metrics within the enterprise, and generate valuable insights.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and disclosure: mostly designed to meet regulatory requirements and is therefore closely aligned with predefined frameworks standards. A number of solutions expand beyond this horizontal into the analytics segment, offering data analytics capabilities that go beyond regulatory requirements.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performance &amp; analytics: enables progress towards KPIs and targets by identifying, tracking, and supporting the optimization of key operational metrics of a company and its supply chain. Two prominent aspects to be tracked are emissions and activities along the supply chain.</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key processes, including, as a notable example, materiality assessments. These tools help companies identify the key material topics for their business and industry based on various data sources and may include capabilities to engage key stakeholders.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disclosure regulations grow and evolve, the demand for ESG reporting software solutions is gaining momentum. Corporates need solutions that help them comply with complex and specific disclosure requirements of different standards and regulatory frameworks while cutting down on time-consuming processes. Most “new” players in the ESG reporting and data management landscape fit in this category, including diginexESG. Within DSL of new players, there is a clear difference between those targeting financial institutions and regular corporates, and those targeting large multinationals and SMEs.</w:t>
      </w:r>
    </w:p>
    <w:p>
      <w:pPr>
        <w:spacing w:after="0" w:line="183" w:lineRule="exact"/>
        <w:rPr>
          <w:sz w:val="20"/>
          <w:szCs w:val="20"/>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financial institutions: Novata, ClarityAI, Arabesque S-ray, Apiday</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non-financial corporates (mostly large multinationals): Greenstone+, Worldfavor, Accuvio (now Diligent ESG), Novisto, Nasdaq’s Metrio, Envoria, Celsia, Position Green, ESG Playbook, Brightest, Greenomy.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non-financial corporates (mostly SMEs): diginexESG</w:t>
      </w:r>
    </w:p>
    <w:p>
      <w:pPr>
        <w:spacing w:after="0" w:line="22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trajectory of ESG reporting software is clear — it is moving from a niche to a necessity. The future is likely to witness tighter software integrations across business functions, refined AI-driven analytics, and an ever-increasing emphasis on user experience. As SMEs continue to play a pivotal role in global economies, software solutions tailored to their needs, both functional and financial, will take center stage in the ESG narrative.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Our Business Lines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DiginexESG &amp; DiginexClimate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maintains a core hypothesis that companies should spend more time improving their sustainability performance than reporting on it. That is one of the main reasons that we have created an intuitive, fast, and affordable ESG reporting tool that facilitates the entire process and supports companies regardless of their size, industry, or sustainability experience.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diginexESG is an ESG reporting platform that facilitates the key processes involved in corporate ESG reporting journeys through a 5 -step journey. The platform leverages deep data analytics to automate the generation of a “materiality assessment”; the topics which each company should consider reporting on based on their profile This process can be expensive and lengthy if conducted through traditional consultants. It is typical then to engage in a process of “stakeholder engagement” to collect feedback from different groups inside and outside the company on which topics are important to them. These groups could include employees, investors, board members and customers. diginexESG helps facilitate large scale outreach to and data collection from these groups of stakeholders. Within the platform there are up to 17 frameworks and reporting standards from which companies can choose to report against (as of January 2024). The platform then breaks down the reporting process by “indicator” and allows for direct data entry or the assignment of indicators to different data contributors from both inside and outside the company (for example, indicators relating to diversity metrics may be assigned to the company’s HR team. This transparent digital workflow process drives efficiency and allows companies to move away from email and excel data collection. Once the data collection process is finalized, companies can seamlessly generate an output from within the platform by leveraging a report generation engine. The last step prior to report finalization and publishing is to seek approval from the appropriate people (i.e. CEO, Board, CFO, external auditor). The blockchain-enabled audit files helps with this sign-off process by allowing approvers to see full data provenance around each indicator. The report is then ready to be issued and shared through PDF, Word or Excel.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diginexCLIMATE, a module of diginexESG, supports a company’s broader ESG efforts by allowing businesses to calculate, track and improve their carbon footprint. Companies can also use the platform to collect, benchmark and get a portfolio view on the carbon footprint of their clients, suppliers, or assets.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Commercial efforts are driven by combination of i) inbound leads generated by social media activity primarily on LinkedIn, ii) targeted outbound activity by leveraging lead generation tools focused on specific industries, countries and lead profile (for example, Chief Financial Officers in mid-sized UK based Industrials companies), and iii) referrals through our channel partners such as HSBC. We also actively attend events and conferences both as speakers and also as conference exhibitors, which generates inbound interest. Our social media is mostly concentrated through our company LinkedIn channel with regular postings.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Sales team is currently growing, and we expect to increase in the number of sales professionals in multiple locations around the world.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rely on active account management of existing customers by our customer success teams through both cross-selling and upselling.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diginexESG was initially created with a specific client demographic in mind; small to mid-sized enterprises who are new to ESG and climate reporting and with limited budgets or bandwidth to engage in a complex and new process. This continues today, with our core focus on helping to democratize sustainability reporting for companies of all sizes no matter the budget or sophistication. Sustainability reporting encompasses a broad range of economic, environmental, and social disclosures, traditionally with a focus on how a business impacts the world and key stakeholders. ESG reporting, influenced primarily by investor demands, is a subset of sustainability reporting that specifically hones in on how Environmental, Social and Governance aspects impact a company or investment. ESG reporting provides a standardized framework and metrics to assess a company’s non-financial performance and risk management, often with a more direct link to financial outcomes. This approach then appealed to much larger organizations such as commercial banks (HSBC), ratings agencies (Fitch Ratings), and insurance companies who increasingly needed to not only report on their own activities but also collect sustainability data from the many SMEs that they worked with, for sustainability linked loans, responsible underwriting, or to better understand regulatory risk. The ability to scale diginexESG easily and affordability by disintermediating potentially expensive consultants from the process continues to be a compelling unique selling point as demonstrated by HSBC’s decision to partner with us in order to engage their SME customer base.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diginexESG launched in 2020, we have continued to add features which have also appealed to large caps with more complex hierarchical structures and data reporting requirements. This has included private equity funds with multiple portfolio companies and the need to aggregate data reporting up to an LP, as well as conglomerates with separate business units across different industries. Prior to the launch of diginexESG the Company focused primarily on customization projects.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Also included in diginexESG is access to diginexCLIMATE our proprietary carbon footprint calculator based on GHG protocols which is similarly targeted at companies who are new to ESG reporting.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diginexESG is deliberately priced to be accessible to companies of all sizes. Originally starting at US$99/user/month in December 2020, the product now starts from US$5,000 / year, and includes licenses for up to 3 users. This increase reflects the maturation and growing feature sophistication that we are able to offer. Whilst we expect diginexESG pricing to continue to evolve, we will likely maintain a focus on affordable software.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contrast, many ESG reporting platforms in the markets are characterized by relatively high-cost software designed more for large companies who have both the required budget and also in-house sustainability consultants with the expertise to be able to operate complex sustainability software products.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further point of differentiation, we currently offer a self-guided 7-day free trial to diginexESG for prospective clients to try the diginexESG software prior to subscribing for access to the platform whilst most comparable offerings in the market require engagement with a sales representative first.</w:t>
      </w:r>
    </w:p>
    <w:p>
      <w:pPr>
        <w:sectPr>
          <w:pgSz w:w="11900" w:h="16838" w:orient="portrait"/>
          <w:cols w:equalWidth="0" w:num="1">
            <w:col w:w="11240"/>
          </w:cols>
          <w:pgMar w:left="320" w:top="657" w:right="339" w:bottom="6"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being an intuitive and accessible B2B SaaS platform, our underlying ISO-certified infrastructure and architecture means diginexESG can also pass rigorous and time consuming bank-grade technology security review processes, which adds a competitive advantage for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products themselves are not currently regulated but rather DSL offers software solutions so that companies can track and report on the ever-growing sustainability disclosure requirements put in place by many global regulators i.e. stock exchanges;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example, diginexESG offers several reporting frameworks that allow companies to generate reports that align to either mandatory or recommended public company listing requirements.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diginexLUMEN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diginexLUMEN helps companies to undertake human rights due diligence in complex supply chains at scale. Supplier information is validated against worker feedback and automated risk calculations enables companies to prioritize issues for mitigation and prevention of adverse impacts and improvement efforts.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Traditionally, technologies used by global brands, consultancies, and international organizations to understand, identify, and manage business and human rights have mainly been standalone worker voice (e.g. grievance mechanism case handling), supply chain management or supplier management, or research surveys software. diginexLUMEN Pro is strongly positioned within the market in that it has the capability to bring together these standalone technologies, in order, to map tiers (supply chain management software) identified through a self-assessment questionnaire completed by suppliers (deployed as a survey), which is triangulated against data collected through an interactive, application-based worker voice technology. In addition, diginexLUMEN Pro is powerful in that it highlights human rights risks due to business practices: firstly, through assigning risk-based scoring to responses, and secondly, by triangulating business and worker responses to demonstrate inconsistencies. Suppliers complete a pre-created questionnaire set which typically incorporates scoring, weighting and conditional logic. Answers often require the upload of supporting documentation. diginexLUMEN customers can also create their own customized questionnaires. At the same time, workers are being asked similar questions via diginexAPPRISE which are designed to validate the answers given by the suppliers. Leveraging a proprietary scoring methodology, risk scores are then assigned to suppliers based on their answers as well as the discrepancies, if any, between their answers and the answers of the workers. Lastly, improvement plans are automatically generated which diginexLUMEN customers then deploy to suppliers and can observe the subsequent corrective action. A high level example may be; a supplier declares that they conduct mandatory safety training for all new hires, however data collected via diginexAPPRISE directly from workers indicates that new hires often do not receive any safety training during their onboarding. A high risk score is assigned to this specific indicator and an improvement plan is automatically generated for the supplier to follow and demonstrate corrective action.</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diginexAPPRISE as a standalone worker voice technology product is distinct from other survey software as it has been developed to reach informal workers (often seasonal worker without formal employment contracts in place) in complex and opaque supply chains primarily through the use of QR codes which workers scan on their mobile phones. QR codes also help protect worker anonymity which we have observed to be important to encourage broad participation. The lack of anonymity can give rise to a fear of appraisals if workers give negative feedback. It differs from other worker voice technology as it is auditory and visually represented in workers own language, ensuring accessibility for illiterate workers to respond to questions about their employment practices. Similar competitors use telephone-based services for workers to report issues which could result in mobile charges, as diginexAPPRISE is web/application based and can be accessed either through QR codes or mobile messaging (e.g. WhatsApp) so that workers are not charged to access the survey.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Officially launched in April 2022 and given the content-deep nature of diginexLUMEN the sales process typically requires a more targeted commercial approach to specific relevant professionals in a company; these can be procurement or risk professionals as well as sustainability experts. diginexLUMEN’s core modules focus on “Conditions at Work” or “Forced Labor” risk, workplace gender risk, and ESG risk This therefore requires specialized DSL professionals who are able to engage with clients on deep content issues around these modules and the regulations that affect them. The sales cycle is also often longer than diginexESG, and can range from 2 months to 6 months.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given the high levels of engagement with diginexLUMEN clients this can lead to on-going up-sale opportunities as clients request custom feature development and platform content creation.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Marketing tends to be through attendance and speaking at industry-relevant conferences.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help promote adoption and utilization of our software products, DSL will also increasingly be offering “managed services” to our customers to support their operationalization and roll out needs. This will include services actions such as onboarding, training, learning &amp; development, adoption tracking, and analysis This is expected to increase both revenues and customer stickiness.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diginexLUMEN was developed together with input from Coca Cola and Reckitt as a software tool to help identify and mitigate cases of forced and child labor in complex global interjurisdictional supply chains. It later expanded to also include gender risk. diginexLUMEN is therefore designed specifically for large multi-national companies with high supply chains and importantly large numbers of people working at those suppliers who no longer want to rely solely on the traditional in-person audits which have tended to be slow and expensive with relatively static data. These companies are also increasingly subject to regulations mandating greater supply chain disclosure with regards to forced labor / modern slavery due diligence.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Initial clients have focused primarily on companies in FMCG (Fast Moving Consumer Goods) and have now expanded to sectors such as agricultural commodities as well as professional services firms working on behalf of their clients.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diginexLUMEN as a software product is unique in having a specific focus on social governance issues (including but not limited to forced labor risk, modern slavery due diligence, child labor risk and gender risk), and leveraging worker voice data to simultaneously validate corporate disclosures.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pricing for a diginexLUMEN license has been increased recently to a US$40,000 per annum flat fee due to the additional features and functionality that has previously been added to the product. There are no limitations on the number or location of suppliers that a diginexLUMEN customer can onboard In addition to the software license, there are often incremental fees for items such as additional question set design and translation.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diginexADVISORY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Sustainability is a complex topic, and it increasingly requires company-wide, multifaceted approaches. DSL provide a range of services that, in combination with our premium software tools, help companies address their unique ESG challenges.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diginexADVISORY provides strategy and advisory support at every stage of the sustainability journey often alongside a software sale. Our advisory services typically include:</w:t>
      </w:r>
    </w:p>
    <w:p>
      <w:pPr>
        <w:spacing w:after="0" w:line="16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ESG (reporting) strategies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ESG materiality assessments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Conducing ESG data gap analyses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custom ESG reporting frameworks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tailored carbon footprints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Drafting and designing sustainability reports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workshops and training sessions on a range of ESG topics and processes</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diginexADVISORY services are typically tied to an extension of a software license to either diginexESG or diginexLUMEN.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there has been relatively little marketing of diginexADVISORY as a standalone service and sales tend to be organic from existing clients or as part of the onboarding for a new diginexESG or diginexLUMEN client. Given market demand that we have observed, we do expect this to change in 2024 and beyond, with more proactive measures to market diginexADVISORY to a broader base of clients. As of January 2024, DSL is currently hiring for additional members of the advisory team to provide more bandwidth for project execution.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diginexADVISORY stretches across both diginexESG and diginexLUMEN clients and is offered to companies of all sizes and expertize levels to help them with their sustainability reporting or supply chain disclosures. Contracts are predominantly for a fixed scope and time period and are typically associated alongside a software license sale with additional fees charged.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Whilst there are many players in this market ranging from large global consultancies (i.e. EY, PwC) to specialist and/or low-cost boutique advisory companies, our observation is that there is still a material market supply / demand in balance given a) the ever-increasing number of companies who are newly subjected to regulated or industry disclosure requirements (for example, CRSD) and b) the number of professionals with the required skill sets to meet this growing demand.</w:t>
      </w:r>
    </w:p>
    <w:p>
      <w:pPr>
        <w:sectPr>
          <w:pgSz w:w="11900" w:h="16882" w:orient="portrait"/>
          <w:cols w:equalWidth="0" w:num="1">
            <w:col w:w="11240"/>
          </w:cols>
          <w:pgMar w:left="320" w:top="657" w:right="339"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Barriers to entry for potential competition to our advisory business are largely dependent on the availability of specialist knowledge.</w:t>
      </w:r>
    </w:p>
    <w:p>
      <w:pPr>
        <w:sectPr>
          <w:pgSz w:w="11900" w:h="16838" w:orient="portrait"/>
          <w:cols w:equalWidth="0" w:num="1">
            <w:col w:w="9520"/>
          </w:cols>
          <w:pgMar w:left="980" w:top="337" w:right="1399" w:bottom="1440" w:gutter="0" w:footer="0" w:header="0"/>
        </w:sectPr>
      </w:pPr>
    </w:p>
    <w:p>
      <w:pPr>
        <w:spacing w:after="0" w:line="23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520"/>
          </w:cols>
          <w:pgMar w:left="980" w:top="337" w:right="13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diginexPARTNERS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diginexPARTNERS also known as Customization is a service whereby DSL develops white label versions of both diginexESG and diginexLUMEN for companies who want to run the product as an extension of their own service offering. This service often requires custom technology work up front which generates one-off lump sum revenue as well as ongoing service and maintenance licenses which generates recurring revenue.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DSL develops custom software platforms as part of project consortiums for organizations like the United States Department of State, United States Department of Labor, and the United Nations.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DSL provides both off-the-shelf white label products with standard customizable features as well as completely bespoke tech builds. We will be focusing on expanding our white label client base, in addition to our original business to business (B2B) software clients, across both diginexESG and diginexLUMEN as the underlying technology infrastructure has already been built and is ready to deploy.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the nature of the product, White Label sales require targeted outreach to specific client types (i.e. professional services firms, ratings agencies, banks, insurance companies) who will leverage the product to engage with their own customer base.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diginexPARTNERS includes the technology customization work that we typically do for some of our larger clients. This can include white labels of either our diginexESG or diginexLUMEN software platforms or entirely bespoke multi-year technology projects for large government agencies (such as the United States Department of Labor) or inter-governmental agencies (such as the United Nations).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Pricing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a large number of custom development solutions in the marketplace covering a full price range and sophistication level. DSL is able to combine both significant technical expertise with deep subject matter experts, which sets us apart from the majority of the market. For this reason, DSL has been chosen as a specialist technology partner for a number of government and inter-governmental sponsored projects looking at both modern slavery and child labor issues across Asia and the Middle East. DSL’s research and development into technology-enabled solutions helps to create a competitive advantage to our offering. The pricing of customization is based on the scope of the project.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Diginex Limited was incorporated as an exempted company with limited liability under the laws of the Cayman Islands on January 26, 2024. Prior to our initial public offering, Diginex Limited and DSL will undergo the Restructuring pursuant to the Share Exchange Agreement, whereby the then existing shareholders of DSL (the “</w:t>
      </w:r>
      <w:r>
        <w:rPr>
          <w:rFonts w:ascii="Times New Roman" w:cs="Times New Roman" w:eastAsia="Times New Roman" w:hAnsi="Times New Roman"/>
          <w:sz w:val="18"/>
          <w:szCs w:val="18"/>
          <w:b w:val="1"/>
          <w:bCs w:val="1"/>
          <w:color w:val="auto"/>
        </w:rPr>
        <w:t>Original Shareholders</w:t>
      </w:r>
      <w:r>
        <w:rPr>
          <w:rFonts w:ascii="Times New Roman" w:cs="Times New Roman" w:eastAsia="Times New Roman" w:hAnsi="Times New Roman"/>
          <w:sz w:val="18"/>
          <w:szCs w:val="18"/>
          <w:color w:val="auto"/>
        </w:rPr>
        <w:t>”) will transfer all of their respective shares in DSL to Diginex Limited, in exchange for Diginex Limited’s issuance of its new shares to the Original Shareholders in proportion to their existing shareholdings in DSL. Immediately after the consummation of the Share Exchange Agreement, the Original Shareholders will be shareholders of Diginex Limited and DSL will be a wholly owned subsidiary of Diginex Limited.</w:t>
      </w:r>
    </w:p>
    <w:p>
      <w:pPr>
        <w:spacing w:after="0" w:line="187"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In connection with the Share Exchange Agreement, prior to our initial public offering, Diginex Limited will also (i) issue new convertible loan notes to certain Original Shareholders in consideration for the cancellation of the then existing convertible loan notes issued by DSL held by such Original Shareholders; (ii) grant certain share options under the new equity incentive plan expected to be adopted by Diginex Limited to the holders of the unexercised share options granted by DSL (the “</w:t>
      </w:r>
      <w:r>
        <w:rPr>
          <w:rFonts w:ascii="Times New Roman" w:cs="Times New Roman" w:eastAsia="Times New Roman" w:hAnsi="Times New Roman"/>
          <w:sz w:val="18"/>
          <w:szCs w:val="18"/>
          <w:b w:val="1"/>
          <w:bCs w:val="1"/>
          <w:color w:val="auto"/>
        </w:rPr>
        <w:t>Original Share Options</w:t>
      </w:r>
      <w:r>
        <w:rPr>
          <w:rFonts w:ascii="Times New Roman" w:cs="Times New Roman" w:eastAsia="Times New Roman" w:hAnsi="Times New Roman"/>
          <w:sz w:val="18"/>
          <w:szCs w:val="18"/>
          <w:color w:val="auto"/>
        </w:rPr>
        <w:t>”), in consideration for the cancellation of the Original Share Options held by such holders and (iii) ) grant certain warrants to purchase Ordinary Shares of Diginex Limited to the holders of the similar warrants to purchase ordinary shares of DSL (the “</w:t>
      </w:r>
      <w:r>
        <w:rPr>
          <w:rFonts w:ascii="Times New Roman" w:cs="Times New Roman" w:eastAsia="Times New Roman" w:hAnsi="Times New Roman"/>
          <w:sz w:val="18"/>
          <w:szCs w:val="18"/>
          <w:b w:val="1"/>
          <w:bCs w:val="1"/>
          <w:color w:val="auto"/>
        </w:rPr>
        <w:t>Original Warrants</w:t>
      </w:r>
      <w:r>
        <w:rPr>
          <w:rFonts w:ascii="Times New Roman" w:cs="Times New Roman" w:eastAsia="Times New Roman" w:hAnsi="Times New Roman"/>
          <w:sz w:val="18"/>
          <w:szCs w:val="18"/>
          <w:color w:val="auto"/>
        </w:rPr>
        <w:t>”), in consideration for the cancellation of the Original Warrants held by such holders.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Prior to the incorporation of Diginex Limited in January 2024, the parent company was Diginex Solutions (HK) Limited, a company incorporated in Hong Kong.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list of our significant subsidiaries as of February 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Country of Incorporation</w:t>
            </w:r>
          </w:p>
        </w:tc>
        <w:tc>
          <w:tcPr>
            <w:tcW w:w="20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of Equity Interest</w:t>
            </w:r>
          </w:p>
        </w:tc>
      </w:tr>
      <w:tr>
        <w:trPr>
          <w:trHeight w:val="41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 Solutions (HK) limited</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 Kong</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 Services Limited</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Diginex USA LLC</w:t>
            </w: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of America</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r>
      <w:tr>
        <w:trPr>
          <w:trHeight w:val="43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Plants, and Equipment</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96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is a list of our principal facilities as of September 30, 2023:</w:t>
            </w:r>
          </w:p>
        </w:tc>
        <w:tc>
          <w:tcPr>
            <w:tcW w:w="1560" w:type="dxa"/>
            <w:vAlign w:val="bottom"/>
          </w:tcPr>
          <w:p>
            <w:pPr>
              <w:spacing w:after="0"/>
              <w:rPr>
                <w:sz w:val="24"/>
                <w:szCs w:val="24"/>
                <w:color w:val="auto"/>
              </w:rPr>
            </w:pPr>
          </w:p>
        </w:tc>
      </w:tr>
      <w:tr>
        <w:trPr>
          <w:trHeight w:val="43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160" w:type="dxa"/>
            <w:vAlign w:val="bottom"/>
          </w:tcPr>
          <w:p>
            <w:pPr>
              <w:spacing w:after="0"/>
              <w:rPr>
                <w:sz w:val="24"/>
                <w:szCs w:val="24"/>
                <w:color w:val="auto"/>
              </w:rPr>
            </w:pPr>
          </w:p>
        </w:tc>
        <w:tc>
          <w:tcPr>
            <w:tcW w:w="370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Main Use</w:t>
            </w:r>
          </w:p>
        </w:tc>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Own/Lease</w:t>
            </w:r>
          </w:p>
        </w:tc>
      </w:tr>
      <w:tr>
        <w:trPr>
          <w:trHeight w:val="198"/>
        </w:trPr>
        <w:tc>
          <w:tcPr>
            <w:tcW w:w="38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Smart-Space Fintech 2, Room 3, Unit 401-404, Core</w:t>
            </w:r>
          </w:p>
        </w:tc>
        <w:tc>
          <w:tcPr>
            <w:tcW w:w="24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Cyberport, Telegraph Bay, Hong Kong Hong</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Kong</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Main center of employment for DSL.</w:t>
            </w:r>
          </w:p>
        </w:tc>
        <w:tc>
          <w:tcPr>
            <w:tcW w:w="1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Lease</w:t>
            </w:r>
          </w:p>
        </w:tc>
      </w:tr>
      <w:tr>
        <w:trPr>
          <w:trHeight w:val="198"/>
        </w:trPr>
        <w:tc>
          <w:tcPr>
            <w:tcW w:w="4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Avenue des Papalins a Monaco portant le numero</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D2/D3</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1,507</w:t>
            </w:r>
          </w:p>
        </w:tc>
        <w:tc>
          <w:tcPr>
            <w:tcW w:w="38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Executive office</w:t>
            </w:r>
          </w:p>
        </w:tc>
        <w:tc>
          <w:tcPr>
            <w:tcW w:w="1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Lease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office space is measured by number of seats rather than square footage. The office has 9 seats and many employees work remotely.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the office facilities are adequate for the time being, there will be a need to secure additional office space as the business grows.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January 2024, DSL has a current headcount of 30, 23 are employees in Hong Kong and United Kingdom and 7 are contractors based in France, Germany, Spain, USA, Canada and Australia.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 of Diginex Limited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 2024, the directors and officers of Diginex Limited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36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6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 Pelham</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6"/>
        </w:trPr>
        <w:tc>
          <w:tcPr>
            <w:tcW w:w="3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Blick</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shd w:val="clear" w:color="auto" w:fill="CCEEFF"/>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shd w:val="clear" w:color="auto" w:fill="CCEEFF"/>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60" w:type="dxa"/>
            <w:vAlign w:val="bottom"/>
            <w:shd w:val="clear" w:color="auto" w:fill="CCEEFF"/>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 of DSL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 2024, the directors and officers of DSL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 Pelham</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Blick</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Ewing</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Shea Wallon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Tomiach Tillemann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Miles Pelham </w:t>
      </w:r>
      <w:r>
        <w:rPr>
          <w:rFonts w:ascii="Times New Roman" w:cs="Times New Roman" w:eastAsia="Times New Roman" w:hAnsi="Times New Roman"/>
          <w:sz w:val="18"/>
          <w:szCs w:val="18"/>
          <w:color w:val="auto"/>
        </w:rPr>
        <w:t>is the founding Chairman of DSL and is a director of Diginex Limited. Prior to founding Diginex Limited Miles was a 21-year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veteran, during which time he managed substantial investments and businesses for leading global banks. Since leaving investment banking Miles founded Eqonex Ltd, a financial services company dedicated to digital asset infrastructure, and became the chairman of a sustainable forestry, reforestation and carbon offset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Blick </w:t>
      </w:r>
      <w:r>
        <w:rPr>
          <w:rFonts w:ascii="Times New Roman" w:cs="Times New Roman" w:eastAsia="Times New Roman" w:hAnsi="Times New Roman"/>
          <w:sz w:val="18"/>
          <w:szCs w:val="18"/>
          <w:color w:val="auto"/>
        </w:rPr>
        <w:t>has served as CEO and director of DSL since June 2020, and is expected to be the Chief Executive Officer and director of Diginex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closing of the Restructuring. Previously, Mark was Managing Director, Head of Client Services APAC for Gerson Lehrman Group (“GLG”), an online digital platform for insights. Over his tenure at GLG, he helped build, scale and lead the Asia franchise. Prior to GLG, Mark launched a joint-venture start up with a leading industrial technology company, and spent 7 years in Beijing working in the oil &amp; gas industry. He has a bachelor’s degree in Development Economics as well as a master’s degree in Finance and Financial Law from the University of London.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Ewing </w:t>
      </w:r>
      <w:r>
        <w:rPr>
          <w:rFonts w:ascii="Times New Roman" w:cs="Times New Roman" w:eastAsia="Times New Roman" w:hAnsi="Times New Roman"/>
          <w:sz w:val="18"/>
          <w:szCs w:val="18"/>
          <w:color w:val="auto"/>
        </w:rPr>
        <w:t>has served as the Chief Financial Officer of DSL since May 2023 and is expected to be the Chief Financial Officer of Diginex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the closing of the Restructuring. Mr. Ewing has spent more than a decade working in Asia and was the regional Chief Financial Officer at ICAP Electronic Broking (“ICAP”) from November 2006 to November 2010, as well as Chief Operating Officer for ICAP’s electronic broking division from November 2010 to December 2013. From December 2013 to August 2017, Mr. Ewing was Chief Financial Officer of APAC Broking for ICAP plc. From September 2017 to July 2018, Mr. Ewing served as the Chief Financial Officer for RKR Capital, a proprietary trading business with a focus on financial markets and Digital Assets. Mr. Ewing also served as Chief Financial Officer of Nasdaq listed, Eqonex Limited from August 2018 to May 2022. From May 2022 to November 2022 Mr. Ewing served as Chief Operating Officer of Eqonex Limited. Mr. Ewing holds a degree from Manchester University and is a member of the Institute of Chartered Accountants of England and Wales.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Shea Wallon </w:t>
      </w:r>
      <w:r>
        <w:rPr>
          <w:rFonts w:ascii="Times New Roman" w:cs="Times New Roman" w:eastAsia="Times New Roman" w:hAnsi="Times New Roman"/>
          <w:sz w:val="18"/>
          <w:szCs w:val="18"/>
          <w:color w:val="auto"/>
        </w:rPr>
        <w:t>is a non- executive director of DSL. He is currently Managing Director at Fitch Group, has over 25 years of financial services expertise.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leads the Fitch Ventures team, which makes investments in innovative and emerging technology companies in the financial services industry while bringing new learnings to Fitch Group and its parent company, Hearst Communications, Inc. Shea is the nominated director for HBM IV, Inc.</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Tomicah Tillemann </w:t>
      </w:r>
      <w:r>
        <w:rPr>
          <w:rFonts w:ascii="Times New Roman" w:cs="Times New Roman" w:eastAsia="Times New Roman" w:hAnsi="Times New Roman"/>
          <w:sz w:val="18"/>
          <w:szCs w:val="18"/>
          <w:color w:val="auto"/>
        </w:rPr>
        <w:t>is a non-executive director of DSL. He was Global Head of Policy and a Partner at Andreessen Horowitz and is the current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Project Liberty, a far-reaching effort to develop socially responsible architecture for the next generation of the internet. Previously, he served as former executive director of the Digital Impact and Governance Initiative at New America, where he worked in collaboration with the Rockefeller Foundation, the World Bank, MIT and governments around the world to develop open source digital infrastructure platforms to power the public sector. He also oversaw the work of the Blockchain Trust Accelerator, which works with organizations to deploy decentralized technology solutions that address governance and social impact challenges worldwide and the Responsible Asset Allocator Initiative, which ranked sovereign wealth and pension funds of $20+ trillion based on strategies for managing ESG risks.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and Director Compensation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2023, Diginex Limited paid its executive officers for services in all capacities an aggregate compensation of approximately $550,000. The compensation was paid in cash. The executive officers did not receive performance bonuses for the year ended March 31, 2023. At the date of filing this document, the executive officers also hold an aggregate of 770 shares options that have vested but yet to be exercised along with 1.2% of the outstanding share capital of the Company on a fully diluted basis in unvested share options that will vest 36 months after commencement of employment or upon listing at the discretion of the board. The share options convert into shares of the Company on a one-to-one basis. The share options have a zero exercise price.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executive members of DSL board of directors did not receive any compensation in the year ended March 31, 2023 in their capacity as directors, and going forward, Diginex Limited does not expect to have a compensation plan for executive directors. During the year ended March 2023 the non-executive directors to DSL did not receive compensation.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 does and Diginex Limited expects to contribute to mandatory government pension schemes. Pension contributions for the year ended March 31, 2023 are included in the aggregate compensation noted above.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plans to change the compensation of executive directors and officers once DSL and Diginex Limited consummate the Restructuring and Diginex Limited goes public. It is expected that non-executive directors will be compensated by Diginex Limited.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Diginex Limited Employee Share Option Plan (the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 Types of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Incentive Plan is (i) to encourage profitability and growth through short-term and long-term incentives that are consistent with Diginex Limited’s objectives; (ii) to give participants an incentive for individual performance; (iii) to promote teamwork among participants; and (iv) to give Diginex Limited an advantage in attracting and retaining key employees, directors, and consultants. To accomplish this purpose, the Incentive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Subject to the Incentive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total of 15% of the total number of the ordinary shares, issued subject to compliance with all applicable law and calculated on the basis of the total number of ordinary shares assuming all convertible securities are converted or exchanged and all rights, options or warrants to subscribe for or acquire shares are exercised and including all ordinary shares authorized for future issuance or grant under any equity incentive, share option or similar plan of Diginex Limited, as of the date of our initial public offering, will be available for issuance under the Incentive Plan. The maximum number of shares subject to Incentive Plan awards granted during any fiscal year to any non-employee director, when taken together with any cash fees paid to the director during the year in respect of his or her service as a director, may not exceed $250,000 in total value. If an award granted under the Incentive Plan is forfeited, canceled, settled, or otherwise terminated without a distribution of shares, the shares underlying that award will again become available for issuance under the Incentive Plan. However, none of the following shares will be available for issuance under the Incentive Plan: (i) shares delivered to or withheld to pay withholding taxes, (ii) shares used to pay the exercise price of an option, or (iii) shares subject to any exercised share-settled SARs. Any substitute awards shall not reduce the shares authorized for grant under the Incentive Plan.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69"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Administration of the Incentive Plan.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Incentive Plan will be administered by the plan administrator, who is the Diginex Limited board of directors or a committee that it designates. The plan administrator has the power to determine the terms of the awards granted under the Incentive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Incentive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Participation in the Incentive Plan will be open to employees, contractors and consultants, who have been selected as an eligible recipient under the Incentive Plan by the plan administrator.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Incentive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Limited may grant an award conditioned on satisfaction of certain performance criteria. Such performance-based awards include performance-based restricted shares and restricted share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restricted share unit is a right to receive shares or the cash equivalent of ordinary shares at a specified date in the future, subject to forfeiture of such right.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Diginex Limited or its affiliates on the date of grant, or (ii) five (5) years after the date such option is granted to a person who is not an employee of Diginex Limited or its affiliates on the date of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Appreciation Rights.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Limited may grant or sell to any participant unrestricted ordinary shares under the Incentive Plan or a dividend equivalent. A dividend equivalent is a right to receive payments, based on dividends with respect to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Cash-Based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Diginex Limited may grant cash awards under the Incentive Plan, including cash awards as a bonus or upon the attainment of certain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Equitable Adjustments.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ordinary shares covered by outstanding awards made under the Incentive Plan, and in any other matters that relate to awards and that are affected by the changes in the shares referred to in this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proposed change in control (as defined in the Incentive Plan), the plan administrator will take any action as it deems appropriate and equitable to effectuate the purposes of the Incentive Plan and to protect the participants who hold outstanding awards under the Incentive Plan, which action may include, without limitation, the following: (i) the continuation of any award, if Diginex Limited is the surviving corporation; (ii) the assumption of any award by the surviving corporation or its parent or subsidiary; (iii) the substitution by the surviving corporation or its parent or subsidiary of equivalent awards for any award; or (iv) settlement of any award for the change in control price (less, to the extent applicable, the per share exercise or grant price), or, if the per share exercise or grant price equals or exceeds the change in control price or if the plan administrator determines that the award cannot reasonably become vested pursuant to its terms, such award shall terminate and be canceled without consideration.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administrator may alter, amend, modify, or terminate the Incentive Plan at any time. In addition, no modification of an award will, without the prior written consent of the participant, adversely alter or impair any rights or obligations under any award already granted under the Incentive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Diginex Limited’s business affairs are managed under the direction of its board of directors. Diginex Limited’s board of directors consists of XXX members. Our external directors serve for a three-year term which began on XXXX,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 Limited’s board of directors consists of XXX members, XXX of whom qualify as independent within the meaning of the independent director guidelines of Nasdaq. XXX are “independent directors” as defined in the rules of Nasdaq and applicable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Diginex Limited’s board of directors has established an audit committee, a risk committee, and a nomination committee and a compensation committee. XXX serves as the chair of the audit committee; XXX serves as the chair of the risk committee and XXX serves as the chair of the nomination and compensation committee. Members will serve on these committees until their resignation or until otherwise determined by Diginex Limited’s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audit committee oversees Diginex Limited’s corporate accounting and financial reporting process. Among other matters, the audit committee:</w:t>
      </w:r>
    </w:p>
    <w:p>
      <w:pPr>
        <w:spacing w:after="0" w:line="162"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Diginex Limited’s independent registered public accounting firm;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the Diginex Limited’s interim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non-audit services;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8" w:name="page89"/>
    <w:bookmarkEnd w:id="88"/>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DSL’s engagement team in accordance with requirements established by the SEC;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Diginex Limited’s financial statements and the Company’s management’s discussion and analysis of financial condition and results of operations to be included in the Company’s annual and interim reports to be filed with the SEC;</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critical accounting policies and estimates;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committee’s performance at least annually.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chair of the audit committee is XXX and XXX are also members of the audit committee. Diginex Limited believes that XXX qualify as an “audit committee financial expert,” as such term is defined in Item 401(h) of Regulation S-K. Diginex Limited’s board of directors has adopted a written charter for the audit committee.</w:t>
      </w:r>
    </w:p>
    <w:p>
      <w:pPr>
        <w:spacing w:after="0" w:line="176"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development and maintenance of the risk management framework, including the risk management policies, risk appetite and risk strategy;</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adequate processes and systems for identifying, reporting and mitigating all relevant risk exposures, including regulatory, commercial, financial and operational risks;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key risk reports and risk registers and provides oversight of the key risks Diginex is exposed to;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reports on any material breaches of risk limits and adequacy of actions being taken, and where necessary, institute and oversee special investigations.</w:t>
      </w:r>
    </w:p>
    <w:p>
      <w:pPr>
        <w:spacing w:after="0" w:line="15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Nomination and Compensation Committee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Diginex Limited’s nomination and compensation committee will review and recommend policies relating to compensation and benefits of Diginex Limited’s officers and employees. Among other matters, the nomination and compensation committee will:</w:t>
      </w:r>
    </w:p>
    <w:p>
      <w:pPr>
        <w:spacing w:after="0" w:line="162" w:lineRule="exact"/>
        <w:rPr>
          <w:sz w:val="20"/>
          <w:szCs w:val="20"/>
          <w:color w:val="auto"/>
        </w:rPr>
      </w:pPr>
    </w:p>
    <w:p>
      <w:pPr>
        <w:ind w:left="340" w:right="20" w:hanging="332"/>
        <w:spacing w:after="0" w:line="282"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in overseeing Diginex Limited’s employee compensation policies and practices, including approving the compensation of the CEO and other executive officers and reviewing and approving incentive and equity compensation policies and programs;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the annual report of the committee required by the rules of the SEC;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make recommendations relating to the selection and qualification of directors and candidates nominated to serve as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chair of the Company’s nomination and compensation committee is XXX. XXX are also members of the compensation committee. Diginex Limited’s board of directors has adopted a written charter for the nomination and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foreign private issuer, Diginex Limited is exempt from the rules under the Exchange Act, prescribing the furnishing and content of proxy statements, and its officers, directors and principal shareholders are exempt from the reporting and short-swing profit recovery provisions contained in Section 16 of the Exchange Act. In addition, Diginex Limited is not required under the Exchange Act to file quarterly periodic reports and financial statements with the SEC as frequently or as promptly as U.S. domestic issuers, and is not required to disclose in its periodic reports all of the information that U.S. domestic issuers are required to disclose. Diginex Limited is permitted to follow corporate governance practices in accordance with Cayman Islands law in lieu of most of the corporate governance rules set forth by Nasdaq. As a result, Diginex Limited corporate governance practices differ in some respects from those required to be followed by U.S. companies listed on a national securities exchange.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our securities is not intended to be a complete summary of the rights and preferences of such securities. Reference is made to our Memorandum and Articles, copies of which are filed as an exhibit to the registration statement of which this prospectus is a part (and which is referred to in this section as, respectively, the “memorandum” and the “articles”). We urge you to read our Amended and Restated Memorandum and Articles in its entirety for a complete description of the rights and preferences of our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Diginex Limited was incorporated as an exempted company with limited liability under the Companies Act on January 26, 2024. A Cayman Islands exempted company:</w:t>
      </w:r>
    </w:p>
    <w:p>
      <w:pPr>
        <w:spacing w:after="0" w:line="162" w:lineRule="exact"/>
        <w:rPr>
          <w:sz w:val="20"/>
          <w:szCs w:val="20"/>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company that conducts its business mainly outside the Cayman Islands;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make its register of members open to inspection by shareholders of that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had (i) one (1) ordinary share issued and outstanding, (ii) no preference shares issued and outstanding, (iii) no outstanding warrants, (iv) no convertible loan notes and (v) no options issued to employees and contractors.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US$50,000 divided into (i) 480,000,000 ordinary shares of par value $0.0001 each (the “Ordinary Shares”) and (ii) 20,000,000 preferred shares of par value $0.0001 each (the “Preferred Shares”) Subject to the provisions of the Companies Act and our articles regarding redemption and purchase of the shares, our directors have general and unconditional authority to allot (with or without confirming rights of renunciation),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completion of this offering, there will be [●] Ordinary Shares issued and outstanding. Shares sold in this offering will be delivered against payment from the underwriters upon the closing of the offering in New York, New York, on or about [●].</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Preferred Share carries a number of votes equal to that of the Ordinary Shares then issuable upon its conversion into Ordinary Shares at the record date for determination of the shareholders entitled to vote on such matters. The holders of Preferred Shares and Ordinary Shares shall vote together as a single class unless it is required by applicable law or the Company’s Article of Association that Preferred Shares to vote separately as a class.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issued Preferred Share shall automatically be converted into Ordinary Shares, at the conversion price (i) immediately upon the Company’s registration statement on Form F-1 filed with the SEC being declared effective (the “F-1 Effectiveness”) or (ii) upon the prior written approval of the holders of majority of Preferred Shares (voting together as a single class).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converted earlier pursuant to above said, each holder of Preferred Shares shall have the right, at such holder’s sole discretion, to convert all or any portion of the Preferred Shares into Ordinary Shares at any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holder of Preferred Shares shall be entitled to receive dividends, out of any funds legally available therefor,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Preferred Shares are redeemable at the request of the holders of a majority of the Preferred Shares at earlier of (i) F-1 Effectiveness has not taken place on or before the fifth anniversary of the date on which the first Preferred Share was issued; or (ii) a redemption right held by holder of Preferred Shares under the Articles and any shareholders agreement between Diginex Limited and its shareholders which Diginex Limited is bound to observe from time to time (the “</w:t>
      </w:r>
      <w:r>
        <w:rPr>
          <w:rFonts w:ascii="Times New Roman" w:cs="Times New Roman" w:eastAsia="Times New Roman" w:hAnsi="Times New Roman"/>
          <w:sz w:val="18"/>
          <w:szCs w:val="18"/>
          <w:i w:val="1"/>
          <w:iCs w:val="1"/>
          <w:color w:val="auto"/>
        </w:rPr>
        <w:t>Shareholder Agreement</w:t>
      </w:r>
      <w:r>
        <w:rPr>
          <w:rFonts w:ascii="Times New Roman" w:cs="Times New Roman" w:eastAsia="Times New Roman" w:hAnsi="Times New Roman"/>
          <w:sz w:val="18"/>
          <w:szCs w:val="18"/>
          <w:color w:val="auto"/>
        </w:rPr>
        <w:t>”) has been triggered by a materially breach of the Articles and such Shareholder Agreement; or (iii) where the Company materially fails to comply with applicable laws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Capitalization of DSL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DSL was incorporated as a corporation in Hong Kong on January 18,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DSL has 11,626 ordinary shares issued and outstanding as of the date of this prospectus. The ordinary shares of DSL will be transferred to Diginex Limited by the holders thereof in exchange for Diginex Limited’s ordinary shares in connection with the closing of the Restructuring.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DSL issued 3,000 Preferred Shares for $6 million in July 2021. The preferred shares will be transferred to Diginex Limited by the holders thereof in exchange for Diginex Limited’s preferred shares in connection with the closing of the Restructuring.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DSL entered into an $8 million share subscription agreement with Rhino Ventures Limited on 28 September 2023 (the “RVL Subscription Agreement”), pursuant to which DSL shall issue Rhino Ventures Limited 5,086 ordinary shares and 10,172 warrants. The warrants will be exercisable for a period of three years from the date they are issued and shall be exercisable at a valuation of $50 million. As of the date of this filing the transaction contemplated by the RVL Subscription Agreement has not closed and DSL has not issued the 5,086 ordinary shares and 10,172 warrants. The ordinary shares and warrants to be issued pursuant to the RVL Subscription Agreement will be transferred to Diginex Limited in exchange for Diginex Limited’s ordinary shares and warrants in connection with the closing of the Restructuring.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Loan Notes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31 March 2023 DSL issued $3.2 million of 8% Convertible Loan Notes (“Notes”) and a further $0.1 million in July 2023.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Notes shall automatically convert into ordinary shares at the conversion price on the earlier of the following events, (i) a relevant fund raising above $10 million, (ii) change of control, or (iii) F1 being declared effective. Such ordinary class of shares to be issued to investors in connection with the relevant fund raising or issued at the completion of the change of control or this prospectus on Form F-1 being declared effective. The Notes will convert at a valuation of $60 million. DSL expects to transfer the Notes to Diginex Limited in exchange for similar convertible loan notes from Diginex Limited in connection with the closing of the Restructuring.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 Limited’s 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the ordinary shares is [●], at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 Limited’s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the Companies Act and any rights attaching to any class or classes of shares under and in accordance with the articles:</w:t>
      </w:r>
    </w:p>
    <w:p>
      <w:pPr>
        <w:spacing w:after="0" w:line="225"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declare dividends or distributions out of our funds which are lawfully available for that purpose;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by ordinary resolution, declare dividends but no such dividend shall exceed the amount recommended by the directors.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provided by the rights attached to a share, no dividend shall bear interest.</w:t>
      </w:r>
    </w:p>
    <w:p>
      <w:pPr>
        <w:sectPr>
          <w:pgSz w:w="11900" w:h="16838" w:orient="portrait"/>
          <w:cols w:equalWidth="0" w:num="1">
            <w:col w:w="11240"/>
          </w:cols>
          <w:pgMar w:left="320" w:top="657" w:right="339" w:bottom="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Diginex Limited’s Voting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any rights or restrictions as to voting attached to any shares, unless any share carries special voting rights, on a show of hands every shareholder who is present in person and every person representing a shareholder by proxy shall have one vote per share. On a poll, every shareholder who is present in person and every person representing a shareholder by proxy shall have one vote for each share of which he or the person represented by proxy is the holder. In addition, all shareholders holding shares of a particular class are entitled to vote at a meeting of the holders of that class of shares. Votes may be given either personally or by proxy.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of Diginex Limited’s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Alteration of Diginex Limited’s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Companies Act, our shareholders may, by ordinary resolution:</w:t>
      </w:r>
    </w:p>
    <w:p>
      <w:pPr>
        <w:spacing w:after="0" w:line="225" w:lineRule="exact"/>
        <w:rPr>
          <w:sz w:val="20"/>
          <w:szCs w:val="20"/>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new shares of the amount fixed by that ordinary resolution and with the attached rights, priorities and privileges set out in that ordinary resolution;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 than our existing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our paid-up shares into stock, and reconvert that stock into paid up shares of any denomination;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Companies Act and to any rights for the time being conferred on the shareholders holding a particular class of shares, our shareholders may, by special resolution, reduce its share capital in any 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Calls on Diginex Limited’s Shares and Forfeiture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first and paramount lien on all shares (whether fully paid up or not) registered in the name of a shareholder (whether solely or jointly with others). The lien is for all monies payable to us by the shareholder or the shareholder’s estate:</w:t>
      </w:r>
    </w:p>
    <w:p>
      <w:pPr>
        <w:spacing w:after="0" w:line="162"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alone or jointly with any other person, whether or not that other person is a shareholder;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those monies are presently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the directors may declare any share to be wholly or partly exempt from the lien on shares provisions of the articles.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 Limited’s Unclaimed Dividend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dividend that remains unclaimed for a period of six years after it became due for payment shall be forfeited to, and shall cease to remain owing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Forfeiture or Surrender of Diginex Limited’s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 and the place where payment is to be made.</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Diginex Limited’s Share Premium Account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and Purchase of Own Diginex Limited’s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Companies Act and any rights for the time being conferred on the shareholders holding a particular class of shares, we may by action of our directors:</w:t>
      </w:r>
    </w:p>
    <w:p>
      <w:pPr>
        <w:spacing w:after="0" w:line="162" w:lineRule="exact"/>
        <w:rPr>
          <w:sz w:val="20"/>
          <w:szCs w:val="20"/>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liable to be redeemed, at our option or the shareholder holding those redeemable shares, on the terms and in the manner our directors determine before the issue of those shares;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all or any of our own shares of any class including any redeemable shares on the terms and in the manner which the directors determine at the time of such purchase.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make a payment in respect of the redemption or purchase of its own shares in any manner authorized by the Companies Act, including out of any combination of capital, our profits and the proceeds of a fresh issue of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Diginex Limited’s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any applicable requirements set forth in the articles and provided that a transfer of shares complies with applicable rules of the Nasdaq Capital Market, and where the shares in question are not listed on or subject to the rules of any designated stock exchange, further subject to any provisions of the Shareholder Agreement and provided that the directors shall approve and register any transfer of Shares made in accordance with the Shareholder Agreement and shall refuse to register any transfer of Shares made otherwise than in accordance with the Shareholder Agreement, a shareholder may transfer shares to another person by completing an instrument of transfer in a usual or common form or in any other form approved by the directors, executed:</w:t>
      </w:r>
    </w:p>
    <w:p>
      <w:pPr>
        <w:spacing w:after="0" w:line="187"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of that shareholder;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nil or partly paid, by or on behalf of that shareholder and the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shall be deemed to remain the holder of a share until the name of the transferee is entered into our register of members.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Where the shares in question are not listed on or subject to the rules of the Nasdaq Capital Market, our board of directors may, in its absolute discretion, decline to register any transfer of any share that has not been fully paid up or is subject to a company lien. Our board of directors may also decline to register any transfer of such share, without giving any reason, unless:</w:t>
      </w:r>
    </w:p>
    <w:p>
      <w:pPr>
        <w:spacing w:after="0" w:line="176" w:lineRule="exact"/>
        <w:rPr>
          <w:sz w:val="20"/>
          <w:szCs w:val="20"/>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transferred is fully paid and free of any lien in favor of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 as the board of the directors may from time to time require related to the transfer has been paid to us;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not more than four joint holders.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are required, within two months after the date on which the instrument of transfer was lodged, to send to each of the transferor and the transferee notice of such refusal.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Diginex Limited’s Books and Records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Meetings of Diginex Limited’s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obligated by the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least seven (7) clear days’ notice of an extraordinary general meeting and fourteen (14) clear days’ notice of an annual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A quorum shall consist of the presence (whether in person or represented by proxy) of one or more shareholders holding shares that represent not less than one-third of the outstanding shares carrying the right to vote at such general meeting and where the shares of the Company are not listed on a designated stock exchange, two shareholders.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chairman may, with the consent of a meeting at which a quorum is present, adjourn the meeting. When a meeting is adjourned for more than seven clear days, notice of the adjourned meeting shall be given in accordance with the articles.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poll is duly demanded it shall be taken in such manner as the chairman directs and the result of the poll shall be deemed to be the resolution of the meeting at which the poll was demanded.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of Diginex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by ordinary resolution, from time to time, fix the maximum and minimum number of directors to be appointed. Under the articles, we are required to have a minimum of one director and the maximum number of Directors shall be unlimited.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may be appointed by ordinary resolution or by the directors. Any appointment may be to fill a vacancy or as an additional director.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remuneration of the directors is determined by the shareholders by ordinary resolution, the directors shall be entitled to such remuneration as the directors may determine.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shareholding qualification for directors may be fixed by our shareholders by ordinary resolution and unless and until so fixed no share qualification shall be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may be removed by ordinary resolution.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director may at any time resign from office by giving us notice in writing. Unless the notice specifies a different date, the director shall be deemed to have resigned on the date that the notice is delivered to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 of the articles, the office of a director may be terminated forthwith if:</w:t>
      </w:r>
    </w:p>
    <w:p>
      <w:pPr>
        <w:spacing w:after="0" w:line="22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prohibited by the law of the Cayman Islands from acting as a director;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bankrupt or makes an arrangement or composition with his creditors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resigns his office by notice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only held office as a director for a fixed term and such term expires;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he becomes physically or mentally incapable of acting as a director;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given notice by the majority of the other directors (not being less than two in number) to vacate office (without prejudice to any claim for damages for breach of any agreement relating to the provision of the services of such director);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is made subject to any law relating to mental health or incompetence, whether by court order or otherwise;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other directors, he is absent from meetings of directors for continuous period of six months.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audit committee and the nomination and compensation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Powers and Duties of Diginex Limited’s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Companies Act and our Amended and Restated Memorandum and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initial closing of this offering, our board of directors will have established an audit committee, compensation committee, and nomination and corporate governance committee.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may remove any person so appointed and may revoke or vary the delegation.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director shall not, as a director, vote in respect of any contract, transaction, arrangement or proposal in which he has an interest which (together with any interest of any person connected with him) is a material interest (otherwise than by virtue of his interests, direct or indirect, in shares or debentures or other securities of, or otherwise in or through, us) and if he shall do so his vote shall not be counted, nor in relation thereto shall he be counted in the quorum present at the meeting, but (in the absence of some other material interest than is mentioned below) none of these prohibitions shall apply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(a)  the giving of any security, guarantee or indemnity in respect of:</w:t>
      </w:r>
    </w:p>
    <w:p>
      <w:pPr>
        <w:spacing w:after="0" w:line="225"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lent or obligations incurred by him or by any other person for our benefit or any of our subsidiaries;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or obligation of ours or any of our subsidiaries for which the director himself has assumed responsibility in whole or in part and whether alone or jointly with others under a guarantee or indemnity or by the giving of security;</w:t>
      </w:r>
    </w:p>
    <w:p>
      <w:pPr>
        <w:spacing w:after="0" w:line="162" w:lineRule="exact"/>
        <w:rPr>
          <w:sz w:val="20"/>
          <w:szCs w:val="20"/>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or any of our subsidiaries is offering securities in which offer the director is or may be entitled to participate as a holder of securities or in the underwriting or sub-underwriting of which the director is to or may participate;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arrangement or proposal affecting any other body corporate in which he is interested, directly or indirectly and whether as an officer, shareholder, creditor or otherwise howsoever, provided that he (together with persons connected with him) does not to his knowledge hold an interest representing one percent or more of any class of the equity share capital of such body corporate (or of any third body corporate through which his interest is derived) or of the voting rights available to shareholders of the relevant body corporate;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thing done or to be done in respect of any arrangement for the benefit of the employees of us or any of our subsidiaries under which he is not accorded as a director any privilege or advantage not generally accorded to the employees to whom such arrangement relates;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connected with the purchase or maintenance for any director of insurance against any liability or (to the extent permitted by the Companies Act) indemnities in favor of directors, the funding of expenditure by one or more directors in defending proceedings against him or them or the doing of anything to enable such director or directors to avoid incurring such expenditure.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director may, as a director, vote (and be counted in the quorum) in respect of any contract, transaction, arrangement or proposal in which he has an interest which is not a material interest or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Diginex Limited’s Profits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Memorandum and Articles, the directors may resolve to capitalize:</w:t>
      </w:r>
    </w:p>
    <w:p>
      <w:pPr>
        <w:spacing w:after="0" w:line="225" w:lineRule="exact"/>
        <w:rPr>
          <w:sz w:val="20"/>
          <w:szCs w:val="20"/>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 of our profits not required for paying any preferential dividend (whether or not those profits are available for distribution);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sum standing to the credit of our share premium account or capital redemption reserve, if 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resolved to be capitalized must be appropriated to the shareholders who would have been entitled to it had it been distributed by way of dividend and in the same proportions.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 of Diginex Limited’s Shareholders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are wound up, the shareholders may, subject to the articles and any other sanction required by the Companies Act, pass a special resolution allowing the liquidator to do either or both of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shareholders the whole or any part of our assets and, for that purpose, to value any assets and to determine how the division shall be carried out as between the shareholders or different classes of shareholders;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shareholders and those liable to contribute to the winding up.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directors have the authority to present a petition for our winding up to the Grand Court of the Cayman Islands on our behalf without the sanction of a resolution passed at a general meeting.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Diginex Limited’s Register of Members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225"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shareholders, and, a statement of the shares held by each member, which:</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distinguishes each share by its number (so long as the share has a number);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the amount paid, or agreed to be considered as paid, on the shares of each member;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the number and category of shares held by each member; and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confirms whether each relevant category of shares held by a member carries voting rights under the articles of association of the company, and if so, whether such voting rights are conditional;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shareholder;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shareholder.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shares as set against its name in the register of members. Upon the completion of this offering,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shares set against their name.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Differences in Corporate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United States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Hong Kong.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tbl>
      <w:tblPr>
        <w:tblLayout w:type="fixed"/>
        <w:tblInd w:w="40" w:type="dxa"/>
        <w:tblCellMar>
          <w:top w:w="0" w:type="dxa"/>
          <w:left w:w="0" w:type="dxa"/>
          <w:bottom w:w="0" w:type="dxa"/>
          <w:right w:w="0" w:type="dxa"/>
        </w:tblCellMar>
      </w:tblPr>
      <w:tr>
        <w:trPr>
          <w:trHeight w:val="245"/>
        </w:trPr>
        <w:tc>
          <w:tcPr>
            <w:tcW w:w="304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w w:val="98"/>
              </w:rPr>
              <w:t>Title of Organizational Documents</w:t>
            </w:r>
          </w:p>
        </w:tc>
        <w:tc>
          <w:tcPr>
            <w:tcW w:w="340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0" w:type="dxa"/>
            <w:vAlign w:val="bottom"/>
          </w:tcPr>
          <w:p>
            <w:pPr>
              <w:spacing w:after="0"/>
              <w:rPr>
                <w:sz w:val="1"/>
                <w:szCs w:val="1"/>
                <w:color w:val="auto"/>
              </w:rPr>
            </w:pPr>
          </w:p>
        </w:tc>
      </w:tr>
      <w:tr>
        <w:trPr>
          <w:trHeight w:val="234"/>
        </w:trPr>
        <w:tc>
          <w:tcPr>
            <w:tcW w:w="3040" w:type="dxa"/>
            <w:vAlign w:val="bottom"/>
            <w:vMerge w:val="continue"/>
          </w:tcPr>
          <w:p>
            <w:pPr>
              <w:spacing w:after="0"/>
              <w:rPr>
                <w:sz w:val="20"/>
                <w:szCs w:val="20"/>
                <w:color w:val="auto"/>
              </w:rPr>
            </w:pPr>
          </w:p>
        </w:tc>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040" w:type="dxa"/>
            <w:vAlign w:val="bottom"/>
          </w:tcPr>
          <w:p>
            <w:pPr>
              <w:jc w:val="center"/>
              <w:ind w:right="470"/>
              <w:spacing w:after="0"/>
              <w:rPr>
                <w:sz w:val="20"/>
                <w:szCs w:val="20"/>
                <w:color w:val="auto"/>
              </w:rPr>
            </w:pPr>
            <w:r>
              <w:rPr>
                <w:rFonts w:ascii="Times New Roman" w:cs="Times New Roman" w:eastAsia="Times New Roman" w:hAnsi="Times New Roman"/>
                <w:sz w:val="18"/>
                <w:szCs w:val="18"/>
                <w:i w:val="1"/>
                <w:iCs w:val="1"/>
                <w:color w:val="auto"/>
              </w:rPr>
              <w:t>Duties of Directors</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Delaware law, the business and affairs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a corporation are managed by or under the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direction  of  its  board  of  directors.  In</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exercising their powers, directors are charged</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fiduciary duty of care to protect the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interests of the corporation and a fiduciary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duty of loyalty to act in the best interests of its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The duty of care requires that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act in an informed and deliberative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manner  and  inform  themselves,  prior  to</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making a business decision, of all material</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reasonably available to them. The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duty  of  care  also  requires  that  directors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care in overseeing and investigating</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conduct of the corporation’s employees.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duty of loyalty may be summarized as the</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duty to act in good faith, not out of self-</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in a manner which the director</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reasonably believes to be in the best interests</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shareholders.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060" w:val="left"/>
        </w:tabs>
        <w:rPr>
          <w:sz w:val="20"/>
          <w:szCs w:val="20"/>
          <w:color w:val="auto"/>
        </w:rPr>
      </w:pPr>
      <w:r>
        <w:rPr>
          <w:rFonts w:ascii="Times New Roman" w:cs="Times New Roman" w:eastAsia="Times New Roman" w:hAnsi="Times New Roman"/>
          <w:sz w:val="18"/>
          <w:szCs w:val="18"/>
          <w:i w:val="1"/>
          <w:iCs w:val="1"/>
          <w:color w:val="auto"/>
        </w:rPr>
        <w:t>Limitations on Personal Liability of</w:t>
      </w:r>
      <w:r>
        <w:rPr>
          <w:sz w:val="20"/>
          <w:szCs w:val="20"/>
          <w:color w:val="auto"/>
        </w:rPr>
        <w:tab/>
      </w:r>
      <w:r>
        <w:rPr>
          <w:rFonts w:ascii="Times New Roman" w:cs="Times New Roman" w:eastAsia="Times New Roman" w:hAnsi="Times New Roman"/>
          <w:sz w:val="18"/>
          <w:szCs w:val="18"/>
          <w:color w:val="auto"/>
        </w:rPr>
        <w:t>Subject to the limitations described below, a</w:t>
      </w:r>
    </w:p>
    <w:p>
      <w:pPr>
        <w:spacing w:after="0" w:line="29" w:lineRule="exact"/>
        <w:rPr>
          <w:sz w:val="20"/>
          <w:szCs w:val="20"/>
          <w:color w:val="auto"/>
        </w:rPr>
      </w:pPr>
    </w:p>
    <w:p>
      <w:pPr>
        <w:jc w:val="both"/>
        <w:ind w:left="3080" w:hanging="2139"/>
        <w:spacing w:after="0" w:line="251" w:lineRule="auto"/>
        <w:tabs>
          <w:tab w:leader="none" w:pos="3060" w:val="left"/>
        </w:tabs>
        <w:rPr>
          <w:sz w:val="20"/>
          <w:szCs w:val="20"/>
          <w:color w:val="auto"/>
        </w:rPr>
      </w:pPr>
      <w:r>
        <w:rPr>
          <w:rFonts w:ascii="Times New Roman" w:cs="Times New Roman" w:eastAsia="Times New Roman" w:hAnsi="Times New Roman"/>
          <w:sz w:val="18"/>
          <w:szCs w:val="18"/>
          <w:i w:val="1"/>
          <w:iCs w:val="1"/>
          <w:color w:val="auto"/>
        </w:rPr>
        <w:t>Directors</w:t>
      </w:r>
      <w:r>
        <w:rPr>
          <w:sz w:val="20"/>
          <w:szCs w:val="20"/>
          <w:color w:val="auto"/>
        </w:rPr>
        <w:tab/>
      </w:r>
      <w:r>
        <w:rPr>
          <w:rFonts w:ascii="Times New Roman" w:cs="Times New Roman" w:eastAsia="Times New Roman" w:hAnsi="Times New Roman"/>
          <w:sz w:val="18"/>
          <w:szCs w:val="18"/>
          <w:color w:val="auto"/>
        </w:rPr>
        <w:t>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p>
      <w:pPr>
        <w:spacing w:after="0" w:line="1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7089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Certificate of Incorporation and Memorandum and Articles of Association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spacing w:after="0" w:line="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ectPr>
          <w:pgSz w:w="11900" w:h="16838" w:orient="portrait"/>
          <w:cols w:equalWidth="0" w:num="2">
            <w:col w:w="6460" w:space="220"/>
            <w:col w:w="4260"/>
          </w:cols>
          <w:pgMar w:left="620" w:top="671" w:right="339" w:bottom="1440" w:gutter="0" w:footer="0" w:header="0"/>
        </w:sectPr>
      </w:pPr>
    </w:p>
    <w:bookmarkStart w:id="100" w:name="page101"/>
    <w:bookmarkEnd w:id="100"/>
    <w:p>
      <w:pPr>
        <w:spacing w:after="0"/>
        <w:tabs>
          <w:tab w:leader="none" w:pos="3160" w:val="left"/>
        </w:tabs>
        <w:rPr>
          <w:sz w:val="20"/>
          <w:szCs w:val="20"/>
          <w:color w:val="auto"/>
        </w:rPr>
      </w:pPr>
      <w:r>
        <w:rPr>
          <w:rFonts w:ascii="Times New Roman" w:cs="Times New Roman" w:eastAsia="Times New Roman" w:hAnsi="Times New Roman"/>
          <w:sz w:val="18"/>
          <w:szCs w:val="18"/>
          <w:i w:val="1"/>
          <w:iCs w:val="1"/>
          <w:color w:val="auto"/>
        </w:rPr>
        <w:t>Indemnification of Directors, Officers,</w:t>
      </w:r>
      <w:r>
        <w:rPr>
          <w:sz w:val="20"/>
          <w:szCs w:val="20"/>
          <w:color w:val="auto"/>
        </w:rPr>
        <w:tab/>
      </w:r>
      <w:r>
        <w:rPr>
          <w:rFonts w:ascii="Times New Roman" w:cs="Times New Roman" w:eastAsia="Times New Roman" w:hAnsi="Times New Roman"/>
          <w:sz w:val="18"/>
          <w:szCs w:val="18"/>
          <w:color w:val="auto"/>
        </w:rPr>
        <w:t>A corporation has the power to indemnify any</w:t>
      </w:r>
    </w:p>
    <w:p>
      <w:pPr>
        <w:spacing w:after="0" w:line="29" w:lineRule="exact"/>
        <w:rPr>
          <w:sz w:val="20"/>
          <w:szCs w:val="20"/>
          <w:color w:val="auto"/>
        </w:rPr>
      </w:pPr>
    </w:p>
    <w:p>
      <w:pPr>
        <w:jc w:val="both"/>
        <w:ind w:left="3180" w:hanging="2493"/>
        <w:spacing w:after="0" w:line="251" w:lineRule="auto"/>
        <w:tabs>
          <w:tab w:leader="none" w:pos="3160" w:val="left"/>
        </w:tabs>
        <w:rPr>
          <w:sz w:val="20"/>
          <w:szCs w:val="20"/>
          <w:color w:val="auto"/>
        </w:rPr>
      </w:pPr>
      <w:r>
        <w:rPr>
          <w:rFonts w:ascii="Times New Roman" w:cs="Times New Roman" w:eastAsia="Times New Roman" w:hAnsi="Times New Roman"/>
          <w:sz w:val="18"/>
          <w:szCs w:val="18"/>
          <w:i w:val="1"/>
          <w:iCs w:val="1"/>
          <w:color w:val="auto"/>
        </w:rPr>
        <w:t>Agents, and Others</w:t>
      </w:r>
      <w:r>
        <w:rPr>
          <w:sz w:val="20"/>
          <w:szCs w:val="20"/>
          <w:color w:val="auto"/>
        </w:rPr>
        <w:tab/>
      </w:r>
      <w:r>
        <w:rPr>
          <w:rFonts w:ascii="Times New Roman" w:cs="Times New Roman" w:eastAsia="Times New Roman" w:hAnsi="Times New Roman"/>
          <w:sz w:val="18"/>
          <w:szCs w:val="18"/>
          <w:color w:val="auto"/>
        </w:rPr>
        <w:t>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ectPr>
          <w:pgSz w:w="11900" w:h="16838" w:orient="portrait"/>
          <w:cols w:equalWidth="0" w:num="2">
            <w:col w:w="6560" w:space="220"/>
            <w:col w:w="4260"/>
          </w:cols>
          <w:pgMar w:left="520" w:top="659"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i w:val="1"/>
          <w:iCs w:val="1"/>
          <w:color w:val="auto"/>
        </w:rPr>
        <w:t>Interested Directors</w:t>
      </w:r>
      <w:r>
        <w:rPr>
          <w:sz w:val="20"/>
          <w:szCs w:val="20"/>
          <w:color w:val="auto"/>
        </w:rPr>
        <w:tab/>
      </w:r>
      <w:r>
        <w:rPr>
          <w:rFonts w:ascii="Times New Roman" w:cs="Times New Roman" w:eastAsia="Times New Roman" w:hAnsi="Times New Roman"/>
          <w:sz w:val="18"/>
          <w:szCs w:val="18"/>
          <w:color w:val="auto"/>
        </w:rPr>
        <w:t>Under Delaware law, a transaction in which a</w:t>
      </w:r>
    </w:p>
    <w:p>
      <w:pPr>
        <w:spacing w:after="0" w:line="29" w:lineRule="exact"/>
        <w:rPr>
          <w:sz w:val="20"/>
          <w:szCs w:val="20"/>
          <w:color w:val="auto"/>
        </w:rPr>
      </w:pPr>
    </w:p>
    <w:p>
      <w:pPr>
        <w:ind w:left="2520"/>
        <w:spacing w:after="0"/>
        <w:tabs>
          <w:tab w:leader="none" w:pos="3240" w:val="left"/>
          <w:tab w:leader="none" w:pos="3740" w:val="left"/>
          <w:tab w:leader="none" w:pos="4160" w:val="left"/>
          <w:tab w:leader="none" w:pos="4520" w:val="left"/>
          <w:tab w:leader="none" w:pos="5220" w:val="left"/>
          <w:tab w:leader="none" w:pos="5540" w:val="left"/>
        </w:tabs>
        <w:rPr>
          <w:sz w:val="20"/>
          <w:szCs w:val="20"/>
          <w:color w:val="auto"/>
        </w:rPr>
      </w:pPr>
      <w:r>
        <w:rPr>
          <w:rFonts w:ascii="Times New Roman" w:cs="Times New Roman" w:eastAsia="Times New Roman" w:hAnsi="Times New Roman"/>
          <w:sz w:val="18"/>
          <w:szCs w:val="18"/>
          <w:color w:val="auto"/>
        </w:rPr>
        <w:t>director</w:t>
        <w:tab/>
        <w:t>who</w:t>
        <w:tab/>
        <w:t>has</w:t>
        <w:tab/>
        <w:t>an</w:t>
        <w:tab/>
        <w:t>interest</w:t>
        <w:tab/>
        <w:t>in</w:t>
        <w:tab/>
        <w:t>such</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transaction would not be voidable if (i) the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material facts as to such interested director’s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relationship or interests are disclosed or are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known to the board of directors and the board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 good faith authorizes the transaction by the</w:t>
      </w:r>
    </w:p>
    <w:p>
      <w:pPr>
        <w:spacing w:after="0" w:line="9" w:lineRule="exact"/>
        <w:rPr>
          <w:sz w:val="20"/>
          <w:szCs w:val="20"/>
          <w:color w:val="auto"/>
        </w:rPr>
      </w:pPr>
    </w:p>
    <w:p>
      <w:pPr>
        <w:ind w:left="2520"/>
        <w:spacing w:after="0"/>
        <w:tabs>
          <w:tab w:leader="none" w:pos="3480" w:val="left"/>
          <w:tab w:leader="none" w:pos="3960" w:val="left"/>
          <w:tab w:leader="none" w:pos="4280" w:val="left"/>
          <w:tab w:leader="none" w:pos="4540" w:val="left"/>
          <w:tab w:leader="none" w:pos="5320" w:val="left"/>
          <w:tab w:leader="none" w:pos="5660" w:val="left"/>
        </w:tabs>
        <w:rPr>
          <w:sz w:val="20"/>
          <w:szCs w:val="20"/>
          <w:color w:val="auto"/>
        </w:rPr>
      </w:pPr>
      <w:r>
        <w:rPr>
          <w:rFonts w:ascii="Times New Roman" w:cs="Times New Roman" w:eastAsia="Times New Roman" w:hAnsi="Times New Roman"/>
          <w:sz w:val="18"/>
          <w:szCs w:val="18"/>
          <w:color w:val="auto"/>
        </w:rPr>
        <w:t>affirmative</w:t>
        <w:tab/>
        <w:t>vote</w:t>
        <w:tab/>
        <w:t>of</w:t>
        <w:tab/>
        <w:t>a</w:t>
        <w:tab/>
        <w:t>majority</w:t>
        <w:tab/>
        <w:t>of</w:t>
        <w:tab/>
        <w:t>the</w:t>
      </w:r>
    </w:p>
    <w:p>
      <w:pPr>
        <w:spacing w:after="0" w:line="9" w:lineRule="exact"/>
        <w:rPr>
          <w:sz w:val="20"/>
          <w:szCs w:val="20"/>
          <w:color w:val="auto"/>
        </w:rPr>
      </w:pPr>
    </w:p>
    <w:p>
      <w:pPr>
        <w:ind w:left="2520"/>
        <w:spacing w:after="0"/>
        <w:tabs>
          <w:tab w:leader="none" w:pos="3600" w:val="left"/>
          <w:tab w:leader="none" w:pos="4440" w:val="left"/>
          <w:tab w:leader="none" w:pos="4960" w:val="left"/>
          <w:tab w:leader="none" w:pos="5640" w:val="left"/>
        </w:tabs>
        <w:rPr>
          <w:sz w:val="20"/>
          <w:szCs w:val="20"/>
          <w:color w:val="auto"/>
        </w:rPr>
      </w:pPr>
      <w:r>
        <w:rPr>
          <w:rFonts w:ascii="Times New Roman" w:cs="Times New Roman" w:eastAsia="Times New Roman" w:hAnsi="Times New Roman"/>
          <w:sz w:val="18"/>
          <w:szCs w:val="18"/>
          <w:color w:val="auto"/>
        </w:rPr>
        <w:t>disinterested</w:t>
        <w:tab/>
        <w:t>directors,</w:t>
        <w:tab/>
        <w:t>even</w:t>
        <w:tab/>
        <w:t>though</w:t>
        <w:tab/>
        <w:t>the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disinterested directors are less than a quorum,</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(ii) such material facts are disclosed or are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known to the shareholders entitled to vote on</w:t>
      </w:r>
    </w:p>
    <w:p>
      <w:pPr>
        <w:spacing w:after="0" w:line="9" w:lineRule="exact"/>
        <w:rPr>
          <w:sz w:val="20"/>
          <w:szCs w:val="20"/>
          <w:color w:val="auto"/>
        </w:rPr>
      </w:pPr>
    </w:p>
    <w:p>
      <w:pPr>
        <w:ind w:left="2520"/>
        <w:spacing w:after="0"/>
        <w:tabs>
          <w:tab w:leader="none" w:pos="3000" w:val="left"/>
          <w:tab w:leader="none" w:pos="3960" w:val="left"/>
          <w:tab w:leader="none" w:pos="4400" w:val="left"/>
          <w:tab w:leader="none" w:pos="4780" w:val="left"/>
          <w:tab w:leader="none" w:pos="5760" w:val="left"/>
        </w:tabs>
        <w:rPr>
          <w:sz w:val="20"/>
          <w:szCs w:val="20"/>
          <w:color w:val="auto"/>
        </w:rPr>
      </w:pPr>
      <w:r>
        <w:rPr>
          <w:rFonts w:ascii="Times New Roman" w:cs="Times New Roman" w:eastAsia="Times New Roman" w:hAnsi="Times New Roman"/>
          <w:sz w:val="18"/>
          <w:szCs w:val="18"/>
          <w:color w:val="auto"/>
        </w:rPr>
        <w:t>such</w:t>
        <w:tab/>
        <w:t>transaction</w:t>
        <w:tab/>
        <w:t>and</w:t>
        <w:tab/>
        <w:t>the</w:t>
        <w:tab/>
        <w:t>transaction</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specifically approved in good faith by vote of</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the shareholders, or (iii) the transaction is fair</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as to the corporation as of the time it is</w:t>
      </w:r>
    </w:p>
    <w:p>
      <w:pPr>
        <w:spacing w:after="0" w:line="9" w:lineRule="exact"/>
        <w:rPr>
          <w:sz w:val="20"/>
          <w:szCs w:val="20"/>
          <w:color w:val="auto"/>
        </w:rPr>
      </w:pPr>
    </w:p>
    <w:p>
      <w:pPr>
        <w:ind w:left="2520"/>
        <w:spacing w:after="0"/>
        <w:tabs>
          <w:tab w:leader="none" w:pos="3500" w:val="left"/>
          <w:tab w:leader="none" w:pos="4340" w:val="left"/>
          <w:tab w:leader="none" w:pos="4680" w:val="left"/>
          <w:tab w:leader="none" w:pos="5420" w:val="left"/>
        </w:tabs>
        <w:rPr>
          <w:sz w:val="20"/>
          <w:szCs w:val="20"/>
          <w:color w:val="auto"/>
        </w:rPr>
      </w:pPr>
      <w:r>
        <w:rPr>
          <w:rFonts w:ascii="Times New Roman" w:cs="Times New Roman" w:eastAsia="Times New Roman" w:hAnsi="Times New Roman"/>
          <w:sz w:val="18"/>
          <w:szCs w:val="18"/>
          <w:color w:val="auto"/>
        </w:rPr>
        <w:t>authorized,</w:t>
        <w:tab/>
        <w:t>approved</w:t>
        <w:tab/>
        <w:t>or</w:t>
        <w:tab/>
        <w:t>ratified.</w:t>
        <w:tab/>
        <w:t>Under</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Delaware law, a director could be held liable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any transaction in which such director</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derived an improper personal benefit.</w:t>
      </w:r>
    </w:p>
    <w:p>
      <w:pPr>
        <w:spacing w:after="0" w:line="2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actual fraud, willful default or willful neglect.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Interested director transactions are governed by the terms of a company’s memorandum and articles of association.</w:t>
      </w:r>
    </w:p>
    <w:p>
      <w:pPr>
        <w:sectPr>
          <w:pgSz w:w="11900" w:h="16838" w:orient="portrait"/>
          <w:cols w:equalWidth="0" w:num="2">
            <w:col w:w="5900" w:space="220"/>
            <w:col w:w="4260"/>
          </w:cols>
          <w:pgMar w:left="1180" w:top="688"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8"/>
        </w:trPr>
        <w:tc>
          <w:tcPr>
            <w:tcW w:w="2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Voting Requirements</w:t>
            </w:r>
          </w:p>
        </w:tc>
        <w:tc>
          <w:tcPr>
            <w:tcW w:w="39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The certificate of incorporation may include a</w:t>
            </w:r>
          </w:p>
        </w:tc>
      </w:tr>
      <w:tr>
        <w:trPr>
          <w:trHeight w:val="216"/>
        </w:trPr>
        <w:tc>
          <w:tcPr>
            <w:tcW w:w="2020" w:type="dxa"/>
            <w:vAlign w:val="bottom"/>
          </w:tcPr>
          <w:p>
            <w:pPr>
              <w:spacing w:after="0"/>
              <w:rPr>
                <w:sz w:val="18"/>
                <w:szCs w:val="18"/>
                <w:color w:val="auto"/>
              </w:rPr>
            </w:pPr>
          </w:p>
        </w:tc>
        <w:tc>
          <w:tcPr>
            <w:tcW w:w="39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provision requiring supermajority approval by</w:t>
            </w:r>
          </w:p>
        </w:tc>
      </w:tr>
      <w:tr>
        <w:trPr>
          <w:trHeight w:val="216"/>
        </w:trPr>
        <w:tc>
          <w:tcPr>
            <w:tcW w:w="2020" w:type="dxa"/>
            <w:vAlign w:val="bottom"/>
          </w:tcPr>
          <w:p>
            <w:pPr>
              <w:spacing w:after="0"/>
              <w:rPr>
                <w:sz w:val="18"/>
                <w:szCs w:val="18"/>
                <w:color w:val="auto"/>
              </w:rPr>
            </w:pPr>
          </w:p>
        </w:tc>
        <w:tc>
          <w:tcPr>
            <w:tcW w:w="39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the directors or shareholders for any corporate</w:t>
            </w:r>
          </w:p>
        </w:tc>
      </w:tr>
      <w:tr>
        <w:trPr>
          <w:trHeight w:val="234"/>
        </w:trPr>
        <w:tc>
          <w:tcPr>
            <w:tcW w:w="2020" w:type="dxa"/>
            <w:vAlign w:val="bottom"/>
          </w:tcPr>
          <w:p>
            <w:pPr>
              <w:spacing w:after="0"/>
              <w:rPr>
                <w:sz w:val="20"/>
                <w:szCs w:val="20"/>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action.</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2020" w:type="dxa"/>
            <w:vAlign w:val="bottom"/>
          </w:tcPr>
          <w:p>
            <w:pPr>
              <w:spacing w:after="0"/>
              <w:rPr>
                <w:sz w:val="24"/>
                <w:szCs w:val="24"/>
                <w:color w:val="auto"/>
              </w:rPr>
            </w:pPr>
          </w:p>
        </w:tc>
        <w:tc>
          <w:tcPr>
            <w:tcW w:w="39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In  addition,  under  Delaware  law,  certain</w:t>
            </w:r>
          </w:p>
        </w:tc>
      </w:tr>
      <w:tr>
        <w:trPr>
          <w:trHeight w:val="216"/>
        </w:trPr>
        <w:tc>
          <w:tcPr>
            <w:tcW w:w="2020" w:type="dxa"/>
            <w:vAlign w:val="bottom"/>
          </w:tcPr>
          <w:p>
            <w:pPr>
              <w:spacing w:after="0"/>
              <w:rPr>
                <w:sz w:val="18"/>
                <w:szCs w:val="18"/>
                <w:color w:val="auto"/>
              </w:rPr>
            </w:pPr>
          </w:p>
        </w:tc>
        <w:tc>
          <w:tcPr>
            <w:tcW w:w="2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business  combinations</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involving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202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shareholders</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require</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approval</w:t>
            </w:r>
          </w:p>
        </w:tc>
        <w:tc>
          <w:tcPr>
            <w:tcW w:w="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2020" w:type="dxa"/>
            <w:vAlign w:val="bottom"/>
          </w:tcPr>
          <w:p>
            <w:pPr>
              <w:spacing w:after="0"/>
              <w:rPr>
                <w:sz w:val="18"/>
                <w:szCs w:val="18"/>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supermajority</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non-interested</w:t>
            </w:r>
          </w:p>
        </w:tc>
      </w:tr>
      <w:tr>
        <w:trPr>
          <w:trHeight w:val="234"/>
        </w:trPr>
        <w:tc>
          <w:tcPr>
            <w:tcW w:w="2020" w:type="dxa"/>
            <w:vAlign w:val="bottom"/>
          </w:tcPr>
          <w:p>
            <w:pPr>
              <w:spacing w:after="0"/>
              <w:rPr>
                <w:sz w:val="20"/>
                <w:szCs w:val="20"/>
                <w:color w:val="auto"/>
              </w:rPr>
            </w:pPr>
          </w:p>
        </w:tc>
        <w:tc>
          <w:tcPr>
            <w:tcW w:w="16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shareholders.</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2520" w:val="left"/>
          <w:tab w:leader="none" w:pos="3160" w:val="left"/>
          <w:tab w:leader="none" w:pos="4060" w:val="left"/>
          <w:tab w:leader="none" w:pos="4540" w:val="left"/>
          <w:tab w:leader="none" w:pos="5200" w:val="left"/>
        </w:tabs>
        <w:rPr>
          <w:sz w:val="20"/>
          <w:szCs w:val="20"/>
          <w:color w:val="auto"/>
        </w:rPr>
      </w:pPr>
      <w:r>
        <w:rPr>
          <w:rFonts w:ascii="Times New Roman" w:cs="Times New Roman" w:eastAsia="Times New Roman" w:hAnsi="Times New Roman"/>
          <w:sz w:val="18"/>
          <w:szCs w:val="18"/>
          <w:i w:val="1"/>
          <w:iCs w:val="1"/>
          <w:color w:val="auto"/>
        </w:rPr>
        <w:t>Voting for Directors</w:t>
      </w:r>
      <w:r>
        <w:rPr>
          <w:sz w:val="20"/>
          <w:szCs w:val="20"/>
          <w:color w:val="auto"/>
        </w:rPr>
        <w:tab/>
      </w:r>
      <w:r>
        <w:rPr>
          <w:rFonts w:ascii="Times New Roman" w:cs="Times New Roman" w:eastAsia="Times New Roman" w:hAnsi="Times New Roman"/>
          <w:sz w:val="18"/>
          <w:szCs w:val="18"/>
          <w:color w:val="auto"/>
        </w:rPr>
        <w:t>Under</w:t>
        <w:tab/>
        <w:t>Delaware</w:t>
        <w:tab/>
        <w:t>law,</w:t>
        <w:tab/>
        <w:t>unless</w:t>
        <w:tab/>
        <w:t>otherwise</w:t>
      </w:r>
    </w:p>
    <w:p>
      <w:pPr>
        <w:spacing w:after="0" w:line="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specified in the certificate of incorporation or</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bylaws of the corporation, directors shall be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elected by a plurality of the votes of the shares</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present in person or represented by proxy at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the  meeting  and  entitled  to  vote  on  the</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2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defines “special resolutions” only. A company’s memorandum and articles of association can therefore tailor the definition of “ordinary resolutions” as a whole, or with respect to specific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 election is governed by the terms of the memorandum and articles of association.</w:t>
      </w:r>
    </w:p>
    <w:p>
      <w:pPr>
        <w:sectPr>
          <w:pgSz w:w="11900" w:h="16838" w:orient="portrait"/>
          <w:cols w:equalWidth="0" w:num="2">
            <w:col w:w="5920" w:space="220"/>
            <w:col w:w="4260"/>
          </w:cols>
          <w:pgMar w:left="1160" w:top="659"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8"/>
        </w:trPr>
        <w:tc>
          <w:tcPr>
            <w:tcW w:w="32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7"/>
              </w:rPr>
              <w:t>Cumulative Voting</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cumulative  voting  for  the  election  of</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unless so provided in the certificate</w:t>
            </w:r>
          </w:p>
        </w:tc>
      </w:tr>
      <w:tr>
        <w:trPr>
          <w:trHeight w:val="234"/>
        </w:trPr>
        <w:tc>
          <w:tcPr>
            <w:tcW w:w="3200" w:type="dxa"/>
            <w:vAlign w:val="bottom"/>
          </w:tcPr>
          <w:p>
            <w:pPr>
              <w:spacing w:after="0"/>
              <w:rPr>
                <w:sz w:val="20"/>
                <w:szCs w:val="20"/>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incorporation.</w:t>
            </w:r>
          </w:p>
        </w:tc>
      </w:tr>
      <w:tr>
        <w:trPr>
          <w:trHeight w:val="630"/>
        </w:trPr>
        <w:tc>
          <w:tcPr>
            <w:tcW w:w="32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Directors’ Powers Regarding Bylaws</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certificate of incorporation may grant the</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the power to adopt, amend or repeal</w:t>
            </w:r>
          </w:p>
        </w:tc>
      </w:tr>
      <w:tr>
        <w:trPr>
          <w:trHeight w:val="234"/>
        </w:trPr>
        <w:tc>
          <w:tcPr>
            <w:tcW w:w="3200" w:type="dxa"/>
            <w:vAlign w:val="bottom"/>
          </w:tcPr>
          <w:p>
            <w:pPr>
              <w:spacing w:after="0"/>
              <w:rPr>
                <w:sz w:val="20"/>
                <w:szCs w:val="20"/>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bylaws.</w:t>
            </w:r>
          </w:p>
        </w:tc>
      </w:tr>
      <w:tr>
        <w:trPr>
          <w:trHeight w:val="412"/>
        </w:trPr>
        <w:tc>
          <w:tcPr>
            <w:tcW w:w="32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rPr>
              <w:t>Nomination and Removal of Directors and</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   may   generally   nominate</w:t>
            </w:r>
          </w:p>
        </w:tc>
      </w:tr>
      <w:tr>
        <w:trPr>
          <w:trHeight w:val="218"/>
        </w:trPr>
        <w:tc>
          <w:tcPr>
            <w:tcW w:w="320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8"/>
              </w:rPr>
              <w:t>Filling Vacancies on Board</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if they comply with advance notice</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provisions and other procedural requirements</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company bylaws. Holders of a majority of</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shares may remove a director with or</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cause,  except  in  certain  cases</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involving a classified board or if the company</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uses  cumulative  voting.  Unless  otherwise</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provided for in the certificate of incorporation,</w:t>
            </w:r>
          </w:p>
        </w:tc>
      </w:tr>
      <w:tr>
        <w:trPr>
          <w:trHeight w:val="216"/>
        </w:trPr>
        <w:tc>
          <w:tcPr>
            <w:tcW w:w="3200" w:type="dxa"/>
            <w:vAlign w:val="bottom"/>
          </w:tcPr>
          <w:p>
            <w:pPr>
              <w:spacing w:after="0"/>
              <w:rPr>
                <w:sz w:val="18"/>
                <w:szCs w:val="18"/>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directorship vacancies are filled by a majority</w:t>
            </w:r>
          </w:p>
        </w:tc>
      </w:tr>
      <w:tr>
        <w:trPr>
          <w:trHeight w:val="234"/>
        </w:trPr>
        <w:tc>
          <w:tcPr>
            <w:tcW w:w="3200" w:type="dxa"/>
            <w:vAlign w:val="bottom"/>
          </w:tcPr>
          <w:p>
            <w:pPr>
              <w:spacing w:after="0"/>
              <w:rPr>
                <w:sz w:val="20"/>
                <w:szCs w:val="20"/>
                <w:color w:val="auto"/>
              </w:rPr>
            </w:pP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the directors elected or then in office.</w:t>
            </w:r>
          </w:p>
        </w:tc>
      </w:tr>
      <w:tr>
        <w:trPr>
          <w:trHeight w:val="432"/>
        </w:trPr>
        <w:tc>
          <w:tcPr>
            <w:tcW w:w="3200" w:type="dxa"/>
            <w:vAlign w:val="bottom"/>
          </w:tcPr>
          <w:p>
            <w:pPr>
              <w:spacing w:after="0"/>
              <w:rPr>
                <w:sz w:val="24"/>
                <w:szCs w:val="24"/>
                <w:color w:val="auto"/>
              </w:rPr>
            </w:pPr>
          </w:p>
        </w:tc>
        <w:tc>
          <w:tcPr>
            <w:tcW w:w="35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prohibitions in relation to cumulative voting under the Companies Act but our amended and restated articles of association do not provide for cumulative voting.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memorandum and articles of association may only be amended by a special resolution of the shareholders.</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Nomination and removal of directors and filling of board vacancies are governed by the terms of the memorandum and articles of association.</w:t>
      </w:r>
    </w:p>
    <w:p>
      <w:pPr>
        <w:sectPr>
          <w:pgSz w:w="11900" w:h="16838" w:orient="portrait"/>
          <w:cols w:equalWidth="0" w:num="2">
            <w:col w:w="6720" w:space="220"/>
            <w:col w:w="4260"/>
          </w:cols>
          <w:pgMar w:left="360" w:top="686" w:right="339" w:bottom="1440" w:gutter="0" w:footer="0" w:header="0"/>
        </w:sectPr>
      </w:pPr>
    </w:p>
    <w:bookmarkStart w:id="104" w:name="page105"/>
    <w:bookmarkEnd w:id="104"/>
    <w:p>
      <w:pPr>
        <w:jc w:val="both"/>
        <w:ind w:left="2260" w:hanging="3080"/>
        <w:spacing w:after="0" w:line="252" w:lineRule="auto"/>
        <w:tabs>
          <w:tab w:leader="none" w:pos="2240" w:val="left"/>
        </w:tabs>
        <w:rPr>
          <w:sz w:val="20"/>
          <w:szCs w:val="20"/>
          <w:color w:val="auto"/>
        </w:rPr>
      </w:pPr>
      <w:r>
        <w:rPr>
          <w:rFonts w:ascii="Times New Roman" w:cs="Times New Roman" w:eastAsia="Times New Roman" w:hAnsi="Times New Roman"/>
          <w:sz w:val="18"/>
          <w:szCs w:val="18"/>
          <w:i w:val="1"/>
          <w:iCs w:val="1"/>
          <w:color w:val="auto"/>
        </w:rPr>
        <w:t>Mergers and Similar Arrangements</w:t>
      </w:r>
      <w:r>
        <w:rPr>
          <w:sz w:val="20"/>
          <w:szCs w:val="20"/>
          <w:color w:val="auto"/>
        </w:rPr>
        <w:tab/>
      </w:r>
      <w:r>
        <w:rPr>
          <w:rFonts w:ascii="Times New Roman" w:cs="Times New Roman" w:eastAsia="Times New Roman" w:hAnsi="Times New Roman"/>
          <w:sz w:val="18"/>
          <w:szCs w:val="18"/>
          <w:color w:val="auto"/>
        </w:rPr>
        <w:t>Under Delaware law, with certain exceptions, a merger, consolidation, or sale of all or substantially all of the assets of a corporation must be approved by the board of directors and by a majority of the outstanding voting power of the shares entitled to vote thereon. Under Delaware law, a shareholder of a corporation participating in certain mergers are entitled to appraisal rights pursuant to which such shareholder may receive cash in the amount of the fair value (as determined by the Delaware Court of Chancery) of the shares held by such shareholder in lieu of the consideration such shareholder would otherwise receive in the transaction.</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055" w:lineRule="exact"/>
        <w:rPr>
          <w:sz w:val="20"/>
          <w:szCs w:val="20"/>
          <w:color w:val="auto"/>
        </w:rPr>
      </w:pPr>
    </w:p>
    <w:p>
      <w:pPr>
        <w:sectPr>
          <w:pgSz w:w="11900" w:h="16838" w:orient="portrait"/>
          <w:cols w:equalWidth="0" w:num="2">
            <w:col w:w="5640" w:space="220"/>
            <w:col w:w="4260"/>
          </w:cols>
          <w:pgMar w:left="1440" w:top="659" w:right="339" w:bottom="1440" w:gutter="0" w:footer="0" w:header="0"/>
        </w:sectPr>
      </w:pPr>
    </w:p>
    <w:p>
      <w:pPr>
        <w:jc w:val="both"/>
        <w:ind w:left="2260"/>
        <w:spacing w:after="0" w:line="254" w:lineRule="auto"/>
        <w:rPr>
          <w:sz w:val="20"/>
          <w:szCs w:val="20"/>
          <w:color w:val="auto"/>
        </w:rPr>
      </w:pPr>
      <w:r>
        <w:rPr>
          <w:rFonts w:ascii="Times New Roman" w:cs="Times New Roman" w:eastAsia="Times New Roman" w:hAnsi="Times New Roman"/>
          <w:sz w:val="18"/>
          <w:szCs w:val="18"/>
          <w:color w:val="auto"/>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ectPr>
          <w:pgSz w:w="11900" w:h="16838" w:orient="portrait"/>
          <w:cols w:equalWidth="0" w:num="2">
            <w:col w:w="5640" w:space="220"/>
            <w:col w:w="4260"/>
          </w:cols>
          <w:pgMar w:left="1440" w:top="659" w:right="339" w:bottom="1440" w:gutter="0" w:footer="0" w:header="0"/>
          <w:type w:val="continuous"/>
        </w:sectPr>
      </w:pPr>
    </w:p>
    <w:bookmarkStart w:id="105" w:name="page106"/>
    <w:bookmarkEnd w:id="105"/>
    <w:p>
      <w:pPr>
        <w:ind w:left="5860"/>
        <w:spacing w:after="0"/>
        <w:rPr>
          <w:sz w:val="20"/>
          <w:szCs w:val="20"/>
          <w:color w:val="auto"/>
        </w:rPr>
      </w:pPr>
      <w:r>
        <w:rPr>
          <w:rFonts w:ascii="Times New Roman" w:cs="Times New Roman" w:eastAsia="Times New Roman" w:hAnsi="Times New Roman"/>
          <w:sz w:val="18"/>
          <w:szCs w:val="18"/>
          <w:color w:val="auto"/>
        </w:rPr>
        <w:t>A merger between a Cayman parent company and its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Cayman  subsidiary  or  subsidiaries  does  not  require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authorization  by  a  resolution  of  shareholders  of  that</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Cayman subsidiary if a copy of the plan of merger is given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to every member of that Cayman subsidiary to be merged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unless that member agrees otherwise. For this purpose a</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subsidiary is a company of which at least ninety percent</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 of the votes are owned by the parent company.</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consent of each holder of a fixed or floating security</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interest over a constituent company is required unless this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requirement is waived by a court in the Cayman Islands.</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Save in certain circumstances, a dissentient shareholder of</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 Cayman constituent company is entitled to payment 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fair value of his shares upon dissenting to a merger or</w:t>
      </w:r>
    </w:p>
    <w:p>
      <w:pPr>
        <w:spacing w:after="0" w:line="9" w:lineRule="exact"/>
        <w:rPr>
          <w:sz w:val="20"/>
          <w:szCs w:val="20"/>
          <w:color w:val="auto"/>
        </w:rPr>
      </w:pPr>
    </w:p>
    <w:p>
      <w:pPr>
        <w:ind w:left="5860"/>
        <w:spacing w:after="0"/>
        <w:tabs>
          <w:tab w:leader="none" w:pos="7000" w:val="left"/>
          <w:tab w:leader="none" w:pos="7420" w:val="left"/>
          <w:tab w:leader="none" w:pos="8160" w:val="left"/>
          <w:tab w:leader="none" w:pos="8460" w:val="left"/>
          <w:tab w:leader="none" w:pos="9260" w:val="left"/>
          <w:tab w:leader="none" w:pos="9820" w:val="left"/>
        </w:tabs>
        <w:rPr>
          <w:sz w:val="20"/>
          <w:szCs w:val="20"/>
          <w:color w:val="auto"/>
        </w:rPr>
      </w:pPr>
      <w:r>
        <w:rPr>
          <w:rFonts w:ascii="Times New Roman" w:cs="Times New Roman" w:eastAsia="Times New Roman" w:hAnsi="Times New Roman"/>
          <w:sz w:val="18"/>
          <w:szCs w:val="18"/>
          <w:color w:val="auto"/>
        </w:rPr>
        <w:t>consolidation.</w:t>
        <w:tab/>
        <w:t>The</w:t>
        <w:tab/>
        <w:t>exercise</w:t>
        <w:tab/>
        <w:t>of</w:t>
        <w:tab/>
        <w:t>appraisal</w:t>
        <w:tab/>
        <w:t>rights</w:t>
      </w:r>
      <w:r>
        <w:rPr>
          <w:sz w:val="20"/>
          <w:szCs w:val="20"/>
          <w:color w:val="auto"/>
        </w:rPr>
        <w:tab/>
      </w:r>
      <w:r>
        <w:rPr>
          <w:rFonts w:ascii="Times New Roman" w:cs="Times New Roman" w:eastAsia="Times New Roman" w:hAnsi="Times New Roman"/>
          <w:sz w:val="17"/>
          <w:szCs w:val="17"/>
          <w:color w:val="auto"/>
        </w:rPr>
        <w:t>will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preclude the exercise of any other rights save for the right</w:t>
      </w:r>
    </w:p>
    <w:p>
      <w:pPr>
        <w:spacing w:after="0" w:line="9" w:lineRule="exact"/>
        <w:rPr>
          <w:sz w:val="20"/>
          <w:szCs w:val="20"/>
          <w:color w:val="auto"/>
        </w:rPr>
      </w:pPr>
    </w:p>
    <w:p>
      <w:pPr>
        <w:ind w:left="5860"/>
        <w:spacing w:after="0"/>
        <w:tabs>
          <w:tab w:leader="none" w:pos="6120" w:val="left"/>
          <w:tab w:leader="none" w:pos="6580" w:val="left"/>
          <w:tab w:leader="none" w:pos="7100" w:val="left"/>
          <w:tab w:leader="none" w:pos="7420" w:val="left"/>
          <w:tab w:leader="none" w:pos="7800" w:val="left"/>
          <w:tab w:leader="none" w:pos="8520" w:val="left"/>
          <w:tab w:leader="none" w:pos="8940" w:val="left"/>
          <w:tab w:leader="none" w:pos="9300" w:val="left"/>
          <w:tab w:leader="none" w:pos="9940" w:val="left"/>
        </w:tabs>
        <w:rPr>
          <w:sz w:val="20"/>
          <w:szCs w:val="20"/>
          <w:color w:val="auto"/>
        </w:rPr>
      </w:pPr>
      <w:r>
        <w:rPr>
          <w:rFonts w:ascii="Times New Roman" w:cs="Times New Roman" w:eastAsia="Times New Roman" w:hAnsi="Times New Roman"/>
          <w:sz w:val="18"/>
          <w:szCs w:val="18"/>
          <w:color w:val="auto"/>
        </w:rPr>
        <w:t>to</w:t>
        <w:tab/>
        <w:t>seek</w:t>
        <w:tab/>
        <w:t>relief</w:t>
        <w:tab/>
        <w:t>on</w:t>
        <w:tab/>
        <w:t>the</w:t>
        <w:tab/>
        <w:t>grounds</w:t>
        <w:tab/>
        <w:t>that</w:t>
        <w:tab/>
        <w:t>the</w:t>
        <w:tab/>
        <w:t>merger</w:t>
        <w:tab/>
        <w:t>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consolidation is void or unlawful.</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 addition, there are statutory provisions that facilitate the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reconstruction and amalgamation of companies, provided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that the arrangement is approved by seventy-five percent</w:t>
      </w:r>
    </w:p>
    <w:p>
      <w:pPr>
        <w:spacing w:after="0" w:line="9" w:lineRule="exact"/>
        <w:rPr>
          <w:sz w:val="20"/>
          <w:szCs w:val="20"/>
          <w:color w:val="auto"/>
        </w:rPr>
      </w:pPr>
    </w:p>
    <w:p>
      <w:pPr>
        <w:ind w:left="5860"/>
        <w:spacing w:after="0"/>
        <w:tabs>
          <w:tab w:leader="none" w:pos="6460" w:val="left"/>
          <w:tab w:leader="none" w:pos="6760" w:val="left"/>
          <w:tab w:leader="none" w:pos="7320" w:val="left"/>
          <w:tab w:leader="none" w:pos="7640" w:val="left"/>
          <w:tab w:leader="none" w:pos="8020" w:val="left"/>
          <w:tab w:leader="none" w:pos="9100" w:val="left"/>
          <w:tab w:leader="none" w:pos="9420" w:val="left"/>
          <w:tab w:leader="none" w:pos="9940" w:val="left"/>
        </w:tabs>
        <w:rPr>
          <w:sz w:val="20"/>
          <w:szCs w:val="20"/>
          <w:color w:val="auto"/>
        </w:rPr>
      </w:pPr>
      <w:r>
        <w:rPr>
          <w:rFonts w:ascii="Times New Roman" w:cs="Times New Roman" w:eastAsia="Times New Roman" w:hAnsi="Times New Roman"/>
          <w:sz w:val="18"/>
          <w:szCs w:val="18"/>
          <w:color w:val="auto"/>
        </w:rPr>
        <w:t>(75%)</w:t>
        <w:tab/>
        <w:t>in</w:t>
        <w:tab/>
        <w:t>value</w:t>
        <w:tab/>
        <w:t>of</w:t>
        <w:tab/>
        <w:t>the</w:t>
        <w:tab/>
        <w:t>shareholders</w:t>
        <w:tab/>
        <w:t>or</w:t>
        <w:tab/>
        <w:t>class</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shareholders, as the case may be, that are present and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voting either in person or by proxy at a meeting,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meetings, convened for that purpose. The convening of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meetings  and  subsequently  the  arrangement  must  be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sanctioned by the Grand Court of the Cayman Islands.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While a dissenting shareholder has the right to express to</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court the view that the transaction ought not to be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approved, the court can be expected to approve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arrangement if it determines that:</w:t>
      </w:r>
    </w:p>
    <w:p>
      <w:pPr>
        <w:spacing w:after="0" w:line="207" w:lineRule="exact"/>
        <w:rPr>
          <w:sz w:val="20"/>
          <w:szCs w:val="20"/>
          <w:color w:val="auto"/>
        </w:rPr>
      </w:pPr>
    </w:p>
    <w:p>
      <w:pPr>
        <w:ind w:left="6080" w:hanging="213"/>
        <w:spacing w:after="0" w:line="282" w:lineRule="auto"/>
        <w:tabs>
          <w:tab w:leader="none" w:pos="6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61" w:lineRule="exact"/>
        <w:rPr>
          <w:rFonts w:ascii="Times New Roman" w:cs="Times New Roman" w:eastAsia="Times New Roman" w:hAnsi="Times New Roman"/>
          <w:sz w:val="18"/>
          <w:szCs w:val="18"/>
          <w:color w:val="auto"/>
        </w:rPr>
      </w:pPr>
    </w:p>
    <w:p>
      <w:pPr>
        <w:ind w:left="6080" w:hanging="213"/>
        <w:spacing w:after="0" w:line="282" w:lineRule="auto"/>
        <w:tabs>
          <w:tab w:leader="none" w:pos="6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6" w:name="page107"/>
    <w:bookmarkEnd w:id="106"/>
    <w:p>
      <w:pPr>
        <w:jc w:val="both"/>
        <w:ind w:left="6080" w:hanging="213"/>
        <w:spacing w:after="0" w:line="266" w:lineRule="auto"/>
        <w:tabs>
          <w:tab w:leader="none" w:pos="6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75" w:lineRule="exact"/>
        <w:rPr>
          <w:rFonts w:ascii="Times New Roman" w:cs="Times New Roman" w:eastAsia="Times New Roman" w:hAnsi="Times New Roman"/>
          <w:sz w:val="18"/>
          <w:szCs w:val="18"/>
          <w:color w:val="auto"/>
        </w:rPr>
      </w:pPr>
    </w:p>
    <w:p>
      <w:pPr>
        <w:jc w:val="both"/>
        <w:ind w:left="6080" w:hanging="213"/>
        <w:spacing w:after="0" w:line="261" w:lineRule="auto"/>
        <w:tabs>
          <w:tab w:leader="none" w:pos="6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or that would amount to a “fraud on the minority”.</w:t>
      </w:r>
    </w:p>
    <w:p>
      <w:pPr>
        <w:spacing w:after="0" w:line="18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When a takeover offer is made and accepted by holders of</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not less than 90.0% of the shares affected within four (4)</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months, the offeror may, within a two (2) month period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commencing on the expiration of such four (4) month</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period, require the holders of the remaining shares to</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transfer such shares on the terms of the offer. An objection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can be made to the Grand Court of the Cayman Islands,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but this is unlikely to succeed in the case of an offer which</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has been so approved unless there is evidence of fraud, bad</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faith or collusion.</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If an arrangement and reconstruction is thus approved, the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dissenting shareholder would have no rights comparable to</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appraisal rights, which would otherwise ordinarily be</w:t>
      </w:r>
    </w:p>
    <w:p>
      <w:pPr>
        <w:spacing w:after="0" w:line="9" w:lineRule="exact"/>
        <w:rPr>
          <w:sz w:val="20"/>
          <w:szCs w:val="20"/>
          <w:color w:val="auto"/>
        </w:rPr>
      </w:pPr>
    </w:p>
    <w:p>
      <w:pPr>
        <w:ind w:left="5860"/>
        <w:spacing w:after="0"/>
        <w:tabs>
          <w:tab w:leader="none" w:pos="6680" w:val="left"/>
          <w:tab w:leader="none" w:pos="7020" w:val="left"/>
          <w:tab w:leader="none" w:pos="7940" w:val="left"/>
          <w:tab w:leader="none" w:pos="9060" w:val="left"/>
          <w:tab w:leader="none" w:pos="9400" w:val="left"/>
        </w:tabs>
        <w:rPr>
          <w:sz w:val="20"/>
          <w:szCs w:val="20"/>
          <w:color w:val="auto"/>
        </w:rPr>
      </w:pPr>
      <w:r>
        <w:rPr>
          <w:rFonts w:ascii="Times New Roman" w:cs="Times New Roman" w:eastAsia="Times New Roman" w:hAnsi="Times New Roman"/>
          <w:sz w:val="18"/>
          <w:szCs w:val="18"/>
          <w:color w:val="auto"/>
        </w:rPr>
        <w:t>available</w:t>
        <w:tab/>
        <w:t>to</w:t>
        <w:tab/>
        <w:t>dissenting</w:t>
        <w:tab/>
        <w:t>shareholders</w:t>
        <w:tab/>
        <w:t>of</w:t>
        <w:tab/>
        <w:t>Delaware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corporations, providing rights to receive payment in cash</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for the judicially determined value of the shares.</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7" w:name="page108"/>
    <w:bookmarkEnd w:id="107"/>
    <w:p>
      <w:pPr>
        <w:spacing w:after="0"/>
        <w:tabs>
          <w:tab w:leader="none" w:pos="3360" w:val="left"/>
        </w:tabs>
        <w:rPr>
          <w:sz w:val="20"/>
          <w:szCs w:val="20"/>
          <w:color w:val="auto"/>
        </w:rPr>
      </w:pPr>
      <w:r>
        <w:rPr>
          <w:rFonts w:ascii="Times New Roman" w:cs="Times New Roman" w:eastAsia="Times New Roman" w:hAnsi="Times New Roman"/>
          <w:sz w:val="18"/>
          <w:szCs w:val="18"/>
          <w:b w:val="1"/>
          <w:bCs w:val="1"/>
          <w:i w:val="1"/>
          <w:iCs w:val="1"/>
          <w:color w:val="auto"/>
        </w:rPr>
        <w:t>Shareholder Suits</w:t>
      </w:r>
      <w:r>
        <w:rPr>
          <w:sz w:val="20"/>
          <w:szCs w:val="20"/>
          <w:color w:val="auto"/>
        </w:rPr>
        <w:tab/>
      </w:r>
      <w:r>
        <w:rPr>
          <w:rFonts w:ascii="Times New Roman" w:cs="Times New Roman" w:eastAsia="Times New Roman" w:hAnsi="Times New Roman"/>
          <w:sz w:val="18"/>
          <w:szCs w:val="18"/>
          <w:color w:val="auto"/>
        </w:rPr>
        <w:t>Class actions and derivative actions generally</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are available to shareholders under Delaware</w:t>
      </w:r>
    </w:p>
    <w:p>
      <w:pPr>
        <w:spacing w:after="0" w:line="9" w:lineRule="exact"/>
        <w:rPr>
          <w:sz w:val="20"/>
          <w:szCs w:val="20"/>
          <w:color w:val="auto"/>
        </w:rPr>
      </w:pPr>
    </w:p>
    <w:p>
      <w:pPr>
        <w:ind w:left="3380"/>
        <w:spacing w:after="0"/>
        <w:tabs>
          <w:tab w:leader="none" w:pos="4160" w:val="left"/>
          <w:tab w:leader="none" w:pos="4800" w:val="left"/>
          <w:tab w:leader="none" w:pos="5320" w:val="left"/>
          <w:tab w:leader="none" w:pos="5960" w:val="left"/>
          <w:tab w:leader="none" w:pos="6580" w:val="left"/>
        </w:tabs>
        <w:rPr>
          <w:sz w:val="20"/>
          <w:szCs w:val="20"/>
          <w:color w:val="auto"/>
        </w:rPr>
      </w:pPr>
      <w:r>
        <w:rPr>
          <w:rFonts w:ascii="Times New Roman" w:cs="Times New Roman" w:eastAsia="Times New Roman" w:hAnsi="Times New Roman"/>
          <w:sz w:val="18"/>
          <w:szCs w:val="18"/>
          <w:color w:val="auto"/>
        </w:rPr>
        <w:t>law  for,</w:t>
        <w:tab/>
        <w:t>among</w:t>
        <w:tab/>
        <w:t>other</w:t>
        <w:tab/>
        <w:t>things,</w:t>
        <w:tab/>
        <w:t>breach</w:t>
        <w:tab/>
        <w:t>of</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fiduciary duty, corporate waste and actions not</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taken in accordance with applicable law.</w:t>
      </w:r>
    </w:p>
    <w:p>
      <w:pPr>
        <w:spacing w:after="0" w:line="2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In  such  actions,  the  court  generally  has</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discretion  to  permit  the  winning  party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recover attorneys’ fees incurred in connection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with such action but such discretion is rarely</w:t>
      </w:r>
    </w:p>
    <w:p>
      <w:pPr>
        <w:spacing w:after="0" w:line="9" w:lineRule="exact"/>
        <w:rPr>
          <w:sz w:val="20"/>
          <w:szCs w:val="20"/>
          <w:color w:val="auto"/>
        </w:rPr>
      </w:pPr>
    </w:p>
    <w:p>
      <w:pPr>
        <w:ind w:left="3380"/>
        <w:spacing w:after="0"/>
        <w:tabs>
          <w:tab w:leader="none" w:pos="3940" w:val="left"/>
          <w:tab w:leader="none" w:pos="4880" w:val="left"/>
          <w:tab w:leader="none" w:pos="5780" w:val="left"/>
          <w:tab w:leader="none" w:pos="6520" w:val="left"/>
        </w:tabs>
        <w:rPr>
          <w:sz w:val="20"/>
          <w:szCs w:val="20"/>
          <w:color w:val="auto"/>
        </w:rPr>
      </w:pPr>
      <w:r>
        <w:rPr>
          <w:rFonts w:ascii="Times New Roman" w:cs="Times New Roman" w:eastAsia="Times New Roman" w:hAnsi="Times New Roman"/>
          <w:sz w:val="18"/>
          <w:szCs w:val="18"/>
          <w:color w:val="auto"/>
        </w:rPr>
        <w:t>used.</w:t>
        <w:tab/>
        <w:t>Generally,</w:t>
        <w:tab/>
        <w:t>Delaware</w:t>
        <w:tab/>
        <w:t>follows</w:t>
        <w:tab/>
        <w:t>the</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American rule under which each party bears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its own costs.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right="20" w:hanging="213"/>
        <w:spacing w:after="0" w:line="261" w:lineRule="auto"/>
        <w:tabs>
          <w:tab w:leader="none" w:pos="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jc w:val="both"/>
        <w:ind w:left="220" w:hanging="213"/>
        <w:spacing w:after="0" w:line="250" w:lineRule="auto"/>
        <w:tabs>
          <w:tab w:leader="none" w:pos="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 w:lineRule="exact"/>
        <w:rPr>
          <w:rFonts w:ascii="Times New Roman" w:cs="Times New Roman" w:eastAsia="Times New Roman" w:hAnsi="Times New Roman"/>
          <w:sz w:val="18"/>
          <w:szCs w:val="18"/>
          <w:color w:val="auto"/>
        </w:rPr>
      </w:pPr>
    </w:p>
    <w:p>
      <w:pPr>
        <w:ind w:left="220" w:hanging="213"/>
        <w:spacing w:after="0" w:line="260" w:lineRule="auto"/>
        <w:tabs>
          <w:tab w:leader="none" w:pos="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77" w:lineRule="exact"/>
        <w:rPr>
          <w:sz w:val="20"/>
          <w:szCs w:val="20"/>
          <w:color w:val="auto"/>
        </w:rPr>
      </w:pPr>
    </w:p>
    <w:p>
      <w:pPr>
        <w:sectPr>
          <w:pgSz w:w="11900" w:h="16838" w:orient="portrait"/>
          <w:cols w:equalWidth="0" w:num="2">
            <w:col w:w="6760" w:space="220"/>
            <w:col w:w="4260"/>
          </w:cols>
          <w:pgMar w:left="320" w:top="657" w:right="339" w:bottom="1440" w:gutter="0" w:footer="0" w:header="0"/>
        </w:sectPr>
      </w:pPr>
    </w:p>
    <w:p>
      <w:pPr>
        <w:spacing w:after="0"/>
        <w:tabs>
          <w:tab w:leader="none" w:pos="3360" w:val="left"/>
          <w:tab w:leader="none" w:pos="3960" w:val="left"/>
          <w:tab w:leader="none" w:pos="4820" w:val="left"/>
          <w:tab w:leader="none" w:pos="5260" w:val="left"/>
          <w:tab w:leader="none" w:pos="6340" w:val="left"/>
          <w:tab w:leader="none" w:pos="6640" w:val="left"/>
        </w:tabs>
        <w:rPr>
          <w:sz w:val="20"/>
          <w:szCs w:val="20"/>
          <w:color w:val="auto"/>
        </w:rPr>
      </w:pPr>
      <w:r>
        <w:rPr>
          <w:rFonts w:ascii="Times New Roman" w:cs="Times New Roman" w:eastAsia="Times New Roman" w:hAnsi="Times New Roman"/>
          <w:sz w:val="18"/>
          <w:szCs w:val="18"/>
          <w:b w:val="1"/>
          <w:bCs w:val="1"/>
          <w:i w:val="1"/>
          <w:iCs w:val="1"/>
          <w:color w:val="auto"/>
        </w:rPr>
        <w:t>Inspection of Corporate Records</w:t>
      </w:r>
      <w:r>
        <w:rPr>
          <w:sz w:val="20"/>
          <w:szCs w:val="20"/>
          <w:color w:val="auto"/>
        </w:rPr>
        <w:tab/>
      </w:r>
      <w:r>
        <w:rPr>
          <w:rFonts w:ascii="Times New Roman" w:cs="Times New Roman" w:eastAsia="Times New Roman" w:hAnsi="Times New Roman"/>
          <w:sz w:val="18"/>
          <w:szCs w:val="18"/>
          <w:color w:val="auto"/>
        </w:rPr>
        <w:t>Under</w:t>
        <w:tab/>
        <w:t>Delaware</w:t>
        <w:tab/>
        <w:t>law,</w:t>
        <w:tab/>
        <w:t>shareholders</w:t>
        <w:tab/>
        <w:t>of</w:t>
        <w:tab/>
        <w:t>a</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corporation, upon written demand under oath</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stating the purpose thereof, have the right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during normal business hours to inspect for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any proper purpose, and to make copies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extracts of list(s) of shareholders and other</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books and records of the corporation and its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subsidiaries, if any, to the extent the books and</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records of such subsidiaries are available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p>
      <w:pPr>
        <w:sectPr>
          <w:pgSz w:w="11900" w:h="16838" w:orient="portrait"/>
          <w:cols w:equalWidth="0" w:num="2">
            <w:col w:w="6760" w:space="220"/>
            <w:col w:w="4260"/>
          </w:cols>
          <w:pgMar w:left="320" w:top="657"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Under Delaware law, a shareholder has the right to put any proposal before the annual meeting of shareholders, provided it complies with the notice provisions in the corporation’s governing documents. A special meeting may be called by the board of directors or any other person authorized to do so in the corporation’s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does not provide shareholders any right to bring business before a meeting or requisition a general meeting. However, these rights may be provided in the company’s memorandum and articles of association.</w:t>
      </w:r>
    </w:p>
    <w:p>
      <w:pPr>
        <w:spacing w:after="0" w:line="1255" w:lineRule="exact"/>
        <w:rPr>
          <w:sz w:val="20"/>
          <w:szCs w:val="20"/>
          <w:color w:val="auto"/>
        </w:rPr>
      </w:pPr>
    </w:p>
    <w:p>
      <w:pPr>
        <w:sectPr>
          <w:pgSz w:w="11900" w:h="16838" w:orient="portrait"/>
          <w:cols w:equalWidth="0" w:num="3">
            <w:col w:w="2660" w:space="720"/>
            <w:col w:w="3380" w:space="220"/>
            <w:col w:w="4260"/>
          </w:cols>
          <w:pgMar w:left="320" w:top="684" w:right="339" w:bottom="1440" w:gutter="0" w:footer="0" w:header="0"/>
        </w:sect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Approval of Corporate Matters by Written Consent</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Delaware law permits shareholders to take action by written consent signed by the holders of outstanding shares having not less than the minimum number of votes that would be necessary to authorize or take such action at a meeting of shareholders unless otherwise provided in the corporation’s certificate of incorporation. A corporation must send prompt notice of the taking of the corporate action approved by shareholders without a meeting by less than unanimous written consent to those shareholders who have not consented in writing and who would have otherwise been entitled to notice of the meeting at which such action would have been taken.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allows a special resolution to be passed in writing if signed by all the voting shareholders (if authorized by the memorandum and articles of association).</w:t>
      </w:r>
    </w:p>
    <w:p>
      <w:pPr>
        <w:spacing w:after="0" w:line="2767" w:lineRule="exact"/>
        <w:rPr>
          <w:sz w:val="20"/>
          <w:szCs w:val="20"/>
          <w:color w:val="auto"/>
        </w:rPr>
      </w:pPr>
    </w:p>
    <w:p>
      <w:pPr>
        <w:sectPr>
          <w:pgSz w:w="11900" w:h="16838" w:orient="portrait"/>
          <w:cols w:equalWidth="0" w:num="3">
            <w:col w:w="3100" w:space="280"/>
            <w:col w:w="3380" w:space="220"/>
            <w:col w:w="426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Shareholders Meetings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Delaware law permits the board of directors or any person who is authorized under a corporation’s certificate of incorporation or bylaws to call a special meeting of shareholders.</w:t>
      </w:r>
    </w:p>
    <w:p>
      <w:pPr>
        <w:spacing w:after="0" w:line="18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Companies Act does not have provisions governing the proceedings of shareholders meetings which are usually provided in the memorandum and articles of association.</w:t>
      </w:r>
    </w:p>
    <w:p>
      <w:pPr>
        <w:sectPr>
          <w:pgSz w:w="11900" w:h="16838" w:orient="portrait"/>
          <w:cols w:equalWidth="0" w:num="3">
            <w:col w:w="3100" w:space="280"/>
            <w:col w:w="3380" w:space="220"/>
            <w:col w:w="4260"/>
          </w:cols>
          <w:pgMar w:left="320" w:top="684"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spacing w:after="0" w:line="180" w:lineRule="exact"/>
        <w:rPr>
          <w:sz w:val="20"/>
          <w:szCs w:val="20"/>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0" w:name="page111"/>
    <w:bookmarkEnd w:id="110"/>
    <w:p>
      <w:pPr>
        <w:jc w:val="both"/>
        <w:spacing w:after="0" w:line="282" w:lineRule="auto"/>
        <w:rPr>
          <w:sz w:val="20"/>
          <w:szCs w:val="20"/>
          <w:color w:val="auto"/>
        </w:rPr>
      </w:pPr>
      <w:r>
        <w:rPr>
          <w:rFonts w:ascii="Times New Roman" w:cs="Times New Roman" w:eastAsia="Times New Roman" w:hAnsi="Times New Roman"/>
          <w:sz w:val="18"/>
          <w:szCs w:val="18"/>
          <w:color w:val="auto"/>
        </w:rPr>
        <w:t>By virtue of your investment in our Company, we and certain of our service providers may collect, record, store, transfer, and otherwise process personal data by which individuals may be directly or indirectly identified.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personal data shall not be held by our Company for longer than necessary with regard to the purposes of the data processing.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necessary, we will ensure that separate and appropriate legal agreements are put in place with the recipient of that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Legislation of the Cayman Islands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in our Charter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ordinary shares then issued and outstanding;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ordinary shares during the four calendar weeks preceding the filing of a notice on Form 144 with respect to the sale.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ectPr>
          <w:pgSz w:w="11900" w:h="16838" w:orient="portrait"/>
          <w:cols w:equalWidth="0" w:num="1">
            <w:col w:w="11240"/>
          </w:cols>
          <w:pgMar w:left="320" w:top="661" w:right="339" w:bottom="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The Company’s plans to apply to list its Ordinary Shares on The Nasdaq Stock Market under the symbol “XXXX”.</w:t>
      </w:r>
    </w:p>
    <w:p>
      <w:pPr>
        <w:sectPr>
          <w:pgSz w:w="11900" w:h="16838" w:orient="portrait"/>
          <w:cols w:equalWidth="0" w:num="1">
            <w:col w:w="9479"/>
          </w:cols>
          <w:pgMar w:left="980" w:top="121" w:right="1440" w:bottom="1440" w:gutter="0" w:footer="0" w:header="0"/>
        </w:sectPr>
      </w:pP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type w:val="continuous"/>
        </w:sectPr>
      </w:pPr>
    </w:p>
    <w:bookmarkStart w:id="112" w:name="page113"/>
    <w:bookmarkEnd w:id="112"/>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Rhino Ventures Limited is the sole owner of 100% of the issued and outstanding Ordinary Shares of Diginex Limited. Prior to the consummation of the Restructuring, Diginex Limited has only one shareholder. Following the consummation of the Restructuring, Diginex Limited assume the capitalization of DSL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 of February 1, 2024, the ordinary shares of DSL are held as follows: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 DSL</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6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9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Miles Pelham(1)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9,945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Rhino Ventures Limited(1)</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9,945</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(One Individual)</w:t>
            </w:r>
          </w:p>
        </w:tc>
        <w:tc>
          <w:tcPr>
            <w:tcW w:w="31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9,945</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3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HBM IV, Inc. (2)</w:t>
            </w:r>
          </w:p>
        </w:tc>
        <w:tc>
          <w:tcPr>
            <w:tcW w:w="31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3,000</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Nalimz Holding Limited(3)</w:t>
            </w:r>
          </w:p>
        </w:tc>
        <w:tc>
          <w:tcPr>
            <w:tcW w:w="3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1,111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66" w:lineRule="auto"/>
        <w:tabs>
          <w:tab w:leader="none" w:pos="28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Rhino Ventures Limited, a British Virgin Islands limited liability company, is wholly-owned and managed by Miles Pelham, who has voting and dispositive control over the DSL ordinary shares held by Rhino Ventures Limited. The business address of Rhino Ventures Limited is Craigmuir Chambers, Road Town, Tortola, VS 1110, British Virgin Islands.</w:t>
      </w:r>
    </w:p>
    <w:p>
      <w:pPr>
        <w:spacing w:after="0" w:line="179" w:lineRule="exact"/>
        <w:rPr>
          <w:rFonts w:ascii="Times New Roman" w:cs="Times New Roman" w:eastAsia="Times New Roman" w:hAnsi="Times New Roman"/>
          <w:sz w:val="18"/>
          <w:szCs w:val="18"/>
          <w:color w:val="auto"/>
        </w:rPr>
      </w:pPr>
    </w:p>
    <w:p>
      <w:pPr>
        <w:ind w:firstLine="8"/>
        <w:spacing w:after="0" w:line="216" w:lineRule="auto"/>
        <w:tabs>
          <w:tab w:leader="none" w:pos="26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HBM IV, Inc. is incorporated in the State of Delaware. The business address is 300 West 57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New York, NY, 10019, United States. HBM IV, Inc. owns 3,000 shares of DSL Series A Convertible Preferred Shares which are convertible into 3,000 ordinary shares of DSL.</w:t>
      </w:r>
    </w:p>
    <w:p>
      <w:pPr>
        <w:spacing w:after="0" w:line="198"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Nalimz Holdings Limited is a Hong Kong Limited Company. The business address is Unit 915, 9F, North Tower, Concordia, 1 Science Museum Road, Tsim Sha Tsui, Kowloon, Hong Kong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Restructuring we shall set forth information regarding the beneficial ownership based of Diginex Limited’s outstanding securities,</w:t>
      </w:r>
    </w:p>
    <w:p>
      <w:pPr>
        <w:spacing w:after="0" w:line="162" w:lineRule="exact"/>
        <w:rPr>
          <w:sz w:val="20"/>
          <w:szCs w:val="20"/>
          <w:color w:val="auto"/>
        </w:rPr>
      </w:pPr>
    </w:p>
    <w:p>
      <w:pPr>
        <w:ind w:left="660"/>
        <w:spacing w:after="0"/>
        <w:tabs>
          <w:tab w:leader="none" w:pos="2480" w:val="left"/>
        </w:tabs>
        <w:rPr>
          <w:sz w:val="20"/>
          <w:szCs w:val="20"/>
          <w:color w:val="auto"/>
        </w:rPr>
      </w:pPr>
      <w:r>
        <w:rPr>
          <w:rFonts w:ascii="Times New Roman" w:cs="Times New Roman" w:eastAsia="Times New Roman" w:hAnsi="Times New Roman"/>
          <w:sz w:val="18"/>
          <w:szCs w:val="18"/>
          <w:color w:val="auto"/>
        </w:rPr>
        <w:t>As of ____________ [</w:t>
        <w:tab/>
        <w:t>], 2024, based on information obtained from the persons named below, with respect to the beneficial ownership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by:</w:t>
      </w:r>
    </w:p>
    <w:p>
      <w:pPr>
        <w:spacing w:after="0" w:line="207" w:lineRule="exact"/>
        <w:rPr>
          <w:sz w:val="20"/>
          <w:szCs w:val="20"/>
          <w:color w:val="auto"/>
        </w:rPr>
      </w:pPr>
    </w:p>
    <w:p>
      <w:pPr>
        <w:ind w:left="1620" w:hanging="316"/>
        <w:spacing w:after="0"/>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225" w:lineRule="exact"/>
        <w:rPr>
          <w:rFonts w:ascii="Times New Roman" w:cs="Times New Roman" w:eastAsia="Times New Roman" w:hAnsi="Times New Roman"/>
          <w:sz w:val="18"/>
          <w:szCs w:val="18"/>
          <w:color w:val="auto"/>
        </w:rPr>
      </w:pPr>
    </w:p>
    <w:p>
      <w:pPr>
        <w:ind w:left="1620" w:right="20" w:hanging="316"/>
        <w:spacing w:after="0" w:line="282"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shares of our common stock; and the number of shares of our common.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prior to this offering is based on [ ] Ordinary Shares outstanding as of the date of this prospectus.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percentage of Ordinary Shares beneficially owned after the offering is based on [ ] Ordinary Shares outstanding following the sale of [ ] Ordinary Shares, assuming no exercise of the over-allotment option by the underwriters. 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 As of the date of this prospectus, we have [ ] shareholders of record, [none of which are located in the United States]. All of our officers, directors and 5% or greater shareholders are subject to lock-up agreements. See “Shares Eligible For Future Sale — Lock-Up Agreements.”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4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Owner(1)</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17"/>
        </w:trPr>
        <w:tc>
          <w:tcPr>
            <w:tcW w:w="7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657" w:right="339" w:bottom="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t>All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 for DSL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Solutions Business Acquisition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15, 2020, Diginex Limited, a company incorporated in Hong Kong, an entity related to the Company (“Diginex HK”), together with Diginex Solutions Limited, sold the legal entities of Diginex Solutions (HK) Limited and Diginex USA LLC, together with the trademarks associated with the Diginex name, to a related party, Rhino Ventures Limited, an entity controlled by Miles Pelham, the founder and former chairman of Diginex HK. The consideration of $6,000,000, that was paid by Rhino Ventures Limited for Diginex Solutions (HK) Limited and Diginex USA LLC, was netted against the shareholder loan between Diginex HK and Pelham Limited, another entity controlled by Miles Pelham. In addition, Diginex HK agreed to fund the business for six months post the sale at a 25% discount to the projected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Services Limited Acquisition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20, 2021, Diginex Solutions (HK) Limited acquired Diginex Services Limited, a company incorporated in the United Kingdom and controlled by Rhino Ventures Limited for no cash payment. Prior to the acquisition Diginex Solutions (HK) Limited had been funding Diginex Services Limited for, primarily, the provision of IT maintenance and development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Rhino Ventures Loan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Rhino Ventures Limited advanced a loan to Diginex Solutions (HK) limited. At 31 March 2023 the outstanding balance was $2.3 million and charged interest of 8% per annum. At September 30, 2023 the outstanding balance was $3.0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Diginex Holdings Loan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28, 2022 Diginex Holdings Limited, a company controlled by Rhino Ventures Limited advanced a loan of $1 million to Diginex Solutions (HK) Limited, bearing an 8% interest coupon. The Loan was still outstanding at March 31, 2023 and September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Loan Notes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Between August 2022 and July 2023 DSL raised $3.35 million through the issuance of Convertible Loan Notes to existing DSL shareholders. The Convertible Loan Notes mature on the second anniversary of the effective date, bear an 8% coupon and convert into Ordinary Shares into equity upon the Company becoming publicly listed. The purchasers of Convertible Loan Notes included certain holders of more than 5% of the Company’s capital stock and certain directors or their respective affiliates. The following table sets forth the Convertible Loan Notes issued to these related parties: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16"/>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Convertible</w:t>
            </w:r>
          </w:p>
        </w:tc>
      </w:tr>
      <w:tr>
        <w:trPr>
          <w:trHeight w:val="245"/>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4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Loan Notes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HBM IV, Inc.</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Nalimz Holdings Limited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 Pelham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2022 and 2023, Miles Pelham, the owner of Rhino Ventures Limited was paid $250,000 per annum for the provision of management services to DSL. For the six months ended September 30, 2023, Miles Pelham was paid $125,000 also for the provision of management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2022 and 2023, DSL provided commercial services to certain shareholders. During the period, DSL engaged with Sustainable Fitch Limited, a related party with HBM IV, Inc. and Hafnia SG Pte. Ltd earning $387,751 and $75,638 respectively. During the six months ended September 2023, DSL earned revenues of $48,468 from Hafnia SG Pte. Ltd.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this offering, there was no public market for our ordinary shares, and while we have applied to list our ordinary shares on the Nasdaq Capital Market, we cannot assure you that an active trading market for our ordinary shares will develop. All of the ordinary shares sold in this offering will be freely transferable by persons other than our “affiliates” without restriction or further registration under the Securities Act. Sales of substantial amounts of our ordinary shares in the public market could have a material adverse effect on the prevailing market prices of our ordinary shares. Future sales of substantial amounts of our ordinary shares in the public market could adversely affect prevailing market prices of our ordinary shares from time to time and could impair our ability to raise equity capital in the future.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of this offering, we will have [____] ordinary shares issued and outstanding. In addition, we will have [____]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upon the exercise of the outstanding options and we will have [____] ordinary shares issuable upon the exercise of the representative’s warrants.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25" w:lineRule="exact"/>
        <w:rPr>
          <w:sz w:val="20"/>
          <w:szCs w:val="20"/>
          <w:color w:val="auto"/>
        </w:rPr>
      </w:pPr>
    </w:p>
    <w:p>
      <w:pPr>
        <w:ind w:right="2700" w:firstLine="648"/>
        <w:spacing w:after="0" w:line="282" w:lineRule="auto"/>
        <w:rPr>
          <w:sz w:val="20"/>
          <w:szCs w:val="20"/>
          <w:color w:val="auto"/>
        </w:rPr>
      </w:pPr>
      <w:r>
        <w:rPr>
          <w:rFonts w:ascii="Times New Roman" w:cs="Times New Roman" w:eastAsia="Times New Roman" w:hAnsi="Times New Roman"/>
          <w:sz w:val="18"/>
          <w:szCs w:val="18"/>
          <w:color w:val="auto"/>
        </w:rPr>
        <w:t>For further details on the lock-up agreements, see the section entitled “Underwriting– Lock Up Agreements.” Rule 144</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has beneficially owned our “restricted securities” within the meaning of Rule144 for at least six months is entitled to sell the restricted securities without registration under the Securities Act, subject to certain restrictions. Persons who are our affiliates may sell within any three-month period a number of restricted securities that does not exceed the greater of the following: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of the number of shares of ordinary shares then outstanding, which will equal approximately [____]ordinary shares based on the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ordinary shares outstanding as of March 31, 2023, or</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The average weekly trading volume of our ordinary shares on the Nasdaq Capital Market during the four calendar weeks preceding the date on which notice of the sale is filed with the SEC.</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under Rule 144 by persons who are deemed our affiliates are subject to manner-of-sale provisions, notice requirements and the availability of current public information about us. 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in each case, any shares that are subject to lock-up arrangements would only become eligible for sale when the lock-up period expires.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IRS with respect to any U.S. federal income tax considerations described below, and there can be no assurance that the IRS or a court will not take a contrary position.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Medicare tax on certain investment income,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80"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stock as part of a straddle, hedging, conversion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the total combined voting power of all classes of our voting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Ordinary Shares through such entities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not U.S. 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center"/>
        <w:ind w:right="-39"/>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PERSONS CONSIDERING AN INVESTMENT IN OUR ORDINARY SHARES SHOULD CONSULT THEIR OWN TAX ADVISORS AS TO THE PARTICULAR TAX CONSEQUENCES APPLICABLE TO THEM RELATING TO THE PURCHASE, OWNERSHIP AND DISPOSITION OF OUR ORDINARY SHARES INCLUDING THE APPLICABILITY OF U.S. FEDERAL, STATE AND LOCAL TAX LAWS AND NON-U.S. TAX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Our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generally will be required to include in gross income, in accordance with such U.S. Holder’s method of accounting for United States federal income tax purposes, as dividends the amount of any distribution paid on the Ordinary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Ordinary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Ordinary Shares are expected to be.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Distributions in excess of such earnings and profits generally will be applied against and reduce the U.S. Holder’s basis in its Ordinary Shares (but not below zero) and, to the extent in excess of such basis, will be treated as gain from the sale or exchange of such Ordinary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Ordinary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Taxation of Sale or Other Disposition of Ordinary Shares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 Our U.S. counsel expresses no opinion with respect to our PFIC status for any taxable year.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spacing w:after="0" w:line="183"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9" w:name="page120"/>
    <w:bookmarkEnd w:id="119"/>
    <w:p>
      <w:pPr>
        <w:ind w:left="66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in respect of the tax attributable to each prior taxable year, other than a pre-PFIC year, of the U.S.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our Ordinary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consult your tax advisors regarding how the PFIC rules apply to your investment in our Ordinary Shares.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PARTICULAR U.S. FEDERAL, STATE, LOCAL AND NON-U.S. TAX CONSEQUENCES OF AN INVESTMENT IN OUR ORDINARY SHARES, INCLUDING THE CONSEQUENCES OF ANY PROPOSED CHANGE IN APPLICABLE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 Considerations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terms and subject to the conditions of an underwriting agreement dated the date of this prospectus, the underwriter, Chardan Capital Markets, LLC (“Chardan”), has agreed to purchase, and we have agreed to sell to it, the number of ordinary shares indicated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Ordinary</w:t>
            </w:r>
          </w:p>
        </w:tc>
      </w:tr>
      <w:tr>
        <w:trPr>
          <w:trHeight w:val="245"/>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Underwriter</w:t>
            </w: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50"/>
        </w:trPr>
        <w:tc>
          <w:tcPr>
            <w:tcW w:w="90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7"/>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[__]</w:t>
            </w:r>
          </w:p>
        </w:tc>
        <w:tc>
          <w:tcPr>
            <w:tcW w:w="10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underwriter is offering the ordinary shares subject to its acceptance of the ordinary shares from us and subject to prior sale. The underwriting agreement provides that the obligations of the underwriter to pay for and accept delivery of the ordinary shares offered by this prospectus are subject to the approval of certain legal matters by its counsel and to other conditions. The underwriter is obligated to take and pay for all of the ordinary shares offered by this prospectus if any such ordinary shares are taken. However, the underwriter is not required to take or pay for the ordinary shares covered by the underwriter’s option to purchase additional ordinary shares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 an option, exercise for 45 days after the closing of this offering, to purchase up to 15% additional ordinary shares at the initial public offering price listed on the cover page of this prospectus, less underwriting discounts. The underwriter may exercise this option solely for the purpose of cover over-allotments, if any, made in connection with the offering contemplated by this prospectus.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 of the underwriter in the preceding table.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underwriter will offer the ordinary shares to the public at the initial public offering price set forth on the cover of this prospectus and to</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selected dealers at the initial public offering price less a selling concession not in excess of $ per ordinary share. After this offering, the initial public offering price, concession, and reallowance to dealers may be reduced by the underwriter. No change in those terms will change the amount of proceeds to be received by us as set forth on the cover of this prospectus. The securities are offered by the underwriter as stated herein, subject to its receipt and acceptance and subject to its right to reject any order in whole or in part.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underwriting discounts are equal to 6.0% of the initial public offering price set forth on the cover page of this prospectus, provided however, that underwriting discounts are 2.5% of the initial public offering price for the ordinary shares purchased by investors with whom we have prior</w:t>
      </w:r>
    </w:p>
    <w:p>
      <w:pPr>
        <w:sectPr>
          <w:pgSz w:w="11900" w:h="16838" w:orient="portrait"/>
          <w:cols w:equalWidth="0" w:num="1">
            <w:col w:w="11240"/>
          </w:cols>
          <w:pgMar w:left="320" w:top="661" w:right="339" w:bottom="0" w:gutter="0" w:footer="0" w:header="0"/>
        </w:sectPr>
      </w:pPr>
    </w:p>
    <w:bookmarkStart w:id="121" w:name="page122"/>
    <w:bookmarkEnd w:id="121"/>
    <w:p>
      <w:pPr>
        <w:ind w:right="20"/>
        <w:spacing w:after="0" w:line="282" w:lineRule="auto"/>
        <w:rPr>
          <w:sz w:val="20"/>
          <w:szCs w:val="20"/>
          <w:color w:val="auto"/>
        </w:rPr>
      </w:pPr>
      <w:r>
        <w:rPr>
          <w:rFonts w:ascii="Times New Roman" w:cs="Times New Roman" w:eastAsia="Times New Roman" w:hAnsi="Times New Roman"/>
          <w:sz w:val="18"/>
          <w:szCs w:val="18"/>
          <w:color w:val="auto"/>
        </w:rPr>
        <w:t>relationships. Notwithstanding the foregoing, Chardan shall be entitled to receive gross underwriting discounts of no less than $450,000 upon completion of the offering, regardless the amount purchased by investors with prior relationships.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per ordinary share and total initial public offering price, underwriting discounts, and proceeds before expenses to</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us. These amounts are shown assuming both no exercise and full exercise of the underwriter’s option to purchase up to an additional ordinary shares.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Total Without</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Exercise 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Over-Allotment</w:t>
      </w:r>
    </w:p>
    <w:p>
      <w:pPr>
        <w:spacing w:after="0" w:line="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Option</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340"/>
        <w:spacing w:after="0" w:line="274" w:lineRule="auto"/>
        <w:rPr>
          <w:sz w:val="20"/>
          <w:szCs w:val="20"/>
          <w:color w:val="auto"/>
        </w:rPr>
      </w:pPr>
      <w:r>
        <w:rPr>
          <w:rFonts w:ascii="Times New Roman" w:cs="Times New Roman" w:eastAsia="Times New Roman" w:hAnsi="Times New Roman"/>
          <w:sz w:val="17"/>
          <w:szCs w:val="17"/>
          <w:b w:val="1"/>
          <w:bCs w:val="1"/>
          <w:color w:val="auto"/>
        </w:rPr>
        <w:t>Total With Full Exercise of Over-Allotment Option</w:t>
      </w:r>
    </w:p>
    <w:p>
      <w:pPr>
        <w:spacing w:after="0" w:line="2" w:lineRule="exact"/>
        <w:rPr>
          <w:sz w:val="20"/>
          <w:szCs w:val="20"/>
          <w:color w:val="auto"/>
        </w:rPr>
      </w:pPr>
    </w:p>
    <w:p>
      <w:pPr>
        <w:sectPr>
          <w:pgSz w:w="11900" w:h="16838" w:orient="portrait"/>
          <w:cols w:equalWidth="0" w:num="3">
            <w:col w:w="6980" w:space="720"/>
            <w:col w:w="1260" w:space="720"/>
            <w:col w:w="15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Initial public offering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discounts to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before expenses, to us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agreed to bear all fees, disbursements and expenses in connection with the proposed offering, including, without limitation: the reasonable and documented fees and expenses of the Company’s legal and accounting advisors; the costs of preparing, printing, mailing and delivering the Registration Statement, the preliminary and final prospectus contained therein and amendments thereto, post-effective amendments and supplements thereto, the underwriting agreement and related documents (all in such quantities as Chardan may reasonably require); preparing and printing stock certificates; the costs of any “due diligence,” and up to $20,000 of Chardan’s actual accountable expenses from “road show” meetings and presentations; filing fees (including SEC filing fees), costs and expenses (including third party expenses and disbursements) incurred in registering this offering, FINRA filing fees, preparation of leather bound volumes and Lucite cube mementos in such quantities as Chardan may reasonably request, transfer taxes and transfer agent and registrar fees. We have also agreed to reimburse the underwriter up to a maximum of $300,000 for out-of-pocket accountable expenses (including underwriter’s reasonable and documented out-of-pocket expenses paid to third parties relating to due diligence, and the fees and expenses of any independent experts, including counsel, retained by the underwriter) incurred by the underwriter and its designated affiliates. In addition to the underwriting discount, we paid Chardan $50,000 as an advance against out-of-pocket accountable expenses actually anticipated to be incurred by Chardan. In the event this offering is terminated, the advance payment received against reasonable out-of-pocket expenses incurred in connection with the offering will be returned to us to the extent not actually incurred in accordance with FINRA Rule 5110(g)(4)(A). Chardan shall be entitled to receive no less than $750,000 minimum cash compensation, including the gross underwriter discounts and expenses reimbursement, provided the offering is consummated.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intend to apply to list our ordinary shares on Nasdaq Stock Market under the symbol “DGNX” There is no assurance that such application will be approved, and if our application is not approved, this offering may not be completed.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 Purchase Option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agreed to sell to Chardan (and/or its designees), for $100, an option to purchase [__] ordinary shares of the Company, equal to two-and-one-half percent (2.5%) of the aggregate number of ordinary shares issued in the offering (the “Representative Purchase Option”). The Representative Purchase Option will be exercisable, in whole or in part, at a price at an exercise price of $[__], equal to 120% of the offering price of ordinary shares offered in this offering. The Representative Purchase Option is exercisable commencing on [__] and expires [__] from the commencement of sales of this offering.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registered the Representative Purchase Option and underlying ordinary shares in connection with this offering. In the event this registration were to become unavailable, we have also agreed to grant the holders of the Representative Purchase Option [__] demand and [unlimited] “piggy-back” rights for periods of [__] and [__] years, respectively, from the commencement of sales of this offering with respect to the registration under the Securities Act of the securities directly and indirectly issuable upon exercise of the Representative Purchase Option. We will bear all fees and expenses attendant to registering the securities, other than underwriting discounts, if any, which would be paid for by the holders themselves. The exercise price and number of ordinary shares issuable upon exercise of the option may be adjusted in certain circumstances including our recapitalization, reorganization, merger or consolidation. However, the Representative Purchase Option will not be adjusted for issuances of ordinary shares at a price below its exercise price. We will have no obligation to net cash settle the exercise of the Representative Purchase Option or the rights underlying the Representative Purchase Option. The holder of the Representative Purchase Option will not be entitled to exercise the Representative Purchase Option unless a registration statement covering the securities underlying the Representative Purchase Option is effective or an exemption from registration is available. If the holder is unable to exercise the Representative Purchase Option, the Representative Purchase Option will expire worthless.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Representative Purchase Option and such ordinary shares purchased pursuant to the Representative Purchase Option have been deemed compensation by FINRA and are therefore subject to a lock-up for a period of 180 days beginning on the date of commencement of sales in this offering pursuant to FINRA Rule 5110(e)(1), during which time the option may not be sold, transferred, assigned, pledged or hypothecated, or be subject of any hedging, short sale, derivative or put or call transaction that would result in the economic disposition of the securities, except as permitted under FINRA Rule 5110(e)(2).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granted Chardan a right of first refusal, for a period of twelve (12) months from the closing of the offering, to act as lead underwriter, book-running manager, and/or placement agent for each and every future public and private equity and public debt offering, including all equity linked financings (each being referred to as a subject transaction), during such twelve (12) month period, on terms and conditions as mutually agreed by the Company and Chardan. Even in cases where there are three or more underwriters or placement agents in a subject transaction, Chardan shall be entitled to receive as its compensation no less than thirty percent (30%) of the compensation payable to the full underwriting or placement agent group for that subject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our directors and executive officers and 1% or greater shareholders as of the effectiveness of the registration statement of which this prospectus forms a part will enter into a lock-up agreement for a period of twelve (12) months from the date of the closing of this offering, subject to certain exceptions, with respect to our securities, pursuant to which such persons and entities will agree, for the lock-up period, that they will neither offer, issue, sell, contract to sell, encumber, grant any option for the sale of or otherwise dispose of any of our securities without the underwriter’s prior written consent.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Chardan and its affiliates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completion of this offering, there has been no public market for our ordinary shares. The initial public offering price of the ordinary shares has been negotiated between us and the underwriter. Among the factors considered in determining the initial public offering price of the ordinary shares, in addition to the prevailing market conditions, are our historical performance, estimates of our business potential and earnings prospects, an assessment of our management, and the consideration of the above factors in relation to market valuation of companies in related businesses.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Ordinary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or selling group members, if any, participating in this offering and the underwriter may distribute prospectuses electronically. The underwriter may agree to allocate a number of ordinary shares to selling group members for sale to its online brokerage account holders. The ordinary shares to be sold pursuant to internet distributions will be allocated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and should not be relied upon by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transactions that stabilize, maintain, or otherwise affect the price of our ordinary shares. Specifically, the underwriter may sell more ordinary shares than it is obligated to purchase under the underwriting agreement, creating a short position. A short sale is covered if the short position is no greater than the number of ordinary shares available for purchase by the underwriter under option to purchase additional ordinary shares. The underwriter can close out a covered short sale by exercising the option to purchase additional ordinary shares or purchasing ordinary shares in the open market. In determining the source of ordinary shares to close out a covered short sale, the underwriter will consider, among other things, the open market price of ordinary shares compared to the price available under the option to purchase additional ordinary shares. The underwriter may also sell ordinary shares in excess of the option to purchase additional ordinary shares, creating a naked short position. The underwriter must close out any naked short position by purchasing ordinary shares in the open market. A naked short position is more likely to be created if the underwriter is concerned that there may be downward pressure on the price of the ordinary shares in the open market after pricing that could adversely affect investors who purchase in the offering.</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 may also impose a penalty bid. This occurs when an underwriter or dealer repays selling concessions allowed to it for distributing our ordinary shares in this offering because such underwriter repurchases those ordinary shares in stabilizing or short covering transactions.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Finally, the underwriter may bid for, and purchase, our ordinary shares in market making transactions, including “passive” market making transactions as described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activities may stabilize or maintain the market price of our ordinary shares at a price that is higher than the price that might otherwise exist in the absence of these activities. The underwriter is not required to engage in these activities, and may discontinue any of these activities at any time without notice. These transactions may be effected on Nasdaq Stock Market, in the over-the-counter market,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the underwriter may engage in passive market making transactions in our ordinary shares on Nasdaq in accordance with Rule 103 of Regulation M under the Exchange Act, during a period before the commencement of offers or sales of the ordinary shares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Potential Conflicts of Interest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underwriter and its affiliates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our Company. The underwriter and its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action has been taken in any jurisdiction (except in the United States) that would permit a public offering of the ordinary shares, or the possession, circulation or distribution of this prospectus or any other material relating to us or the ordinary shares, where action for that purpose is required. Accordingly, the ordinary shares may not be offered or sold, directly or indirectly, and neither this prospectus nor any other offering material or advertisements in connection with the ordinary shares may be distributed or published, in or from any country or jurisdiction except in compliance with any applicable rules and regulations of any such country or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an itemization of the total expenses which are expected to be incurred by us in connection with the offer and sale of our ordinary shares by the Company. With the exception of the SEC registration fee, all amounts are estimates.</w:t>
      </w:r>
    </w:p>
    <w:p>
      <w:pPr>
        <w:spacing w:after="0" w:line="171"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b w:val="1"/>
          <w:bCs w:val="1"/>
          <w:color w:val="auto"/>
        </w:rPr>
        <w:t>USD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7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7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5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57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700" w:type="dxa"/>
            <w:vAlign w:val="bottom"/>
          </w:tcPr>
          <w:p>
            <w:pPr>
              <w:spacing w:after="0"/>
              <w:rPr>
                <w:sz w:val="19"/>
                <w:szCs w:val="19"/>
                <w:color w:val="auto"/>
              </w:rPr>
            </w:pPr>
          </w:p>
        </w:tc>
        <w:tc>
          <w:tcPr>
            <w:tcW w:w="192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r>
      <w:tr>
        <w:trPr>
          <w:trHeight w:val="414"/>
        </w:trPr>
        <w:tc>
          <w:tcPr>
            <w:tcW w:w="3520" w:type="dxa"/>
            <w:vAlign w:val="bottom"/>
          </w:tcPr>
          <w:p>
            <w:pPr>
              <w:spacing w:after="0"/>
              <w:rPr>
                <w:sz w:val="24"/>
                <w:szCs w:val="24"/>
                <w:color w:val="auto"/>
              </w:rPr>
            </w:pPr>
          </w:p>
        </w:tc>
        <w:tc>
          <w:tcPr>
            <w:tcW w:w="772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LEGAL MATTERS</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Loeb &amp; Loeb LLP our U.S. and Hong Kong legal counsel. The validity of the Ordinary Shares has been passed upon for us by Ogier. Robinson &amp; Cole LLP is acting as counsel to the underwriters.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of Diginex Solution (HK) Limited as of March 31, 2023, and 2022, and for the years then ended, included in this registration statement have been audited by UHY LLP, an independent registered public accounting firm, as stated in their report thereon and included in this registration statement, in reliance upon such report and upon the authority of such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spacing w:after="0" w:line="180" w:lineRule="exact"/>
        <w:rPr>
          <w:sz w:val="20"/>
          <w:szCs w:val="20"/>
          <w:color w:val="auto"/>
        </w:rPr>
      </w:pPr>
    </w:p>
    <w:p>
      <w:pPr>
        <w:ind w:left="660" w:hanging="328"/>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exhaustive body of securities laws than the United States and these securities laws provide significantly less protection to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among us, our officers, directors and shareholders, be arbitrated.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advised by our Cayman Islands legal counsel that there is uncertainty as to whether the courts of the Cayman Islands would:</w:t>
      </w:r>
    </w:p>
    <w:p>
      <w:pPr>
        <w:spacing w:after="0" w:line="225"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against us judgments of courts of the United States based on certain civil liability provisions of U.S. securities laws;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7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5480" w:right="2400" w:hanging="5148"/>
        <w:spacing w:after="0" w:line="532" w:lineRule="auto"/>
        <w:tabs>
          <w:tab w:leader="none" w:pos="6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6" w:name="page127"/>
    <w:bookmarkEnd w:id="1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that are applicable to foreign private issuers. Accordingly, we are required to file or furnish reports and other information with the SEC. The SEC maintains an internet website at http://www.sec.gov, from which you can electronically access the registration statement and our other materials.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corporate website is </w:t>
      </w:r>
      <w:r>
        <w:rPr>
          <w:rFonts w:ascii="Times New Roman" w:cs="Times New Roman" w:eastAsia="Times New Roman" w:hAnsi="Times New Roman"/>
          <w:sz w:val="18"/>
          <w:szCs w:val="18"/>
          <w:i w:val="1"/>
          <w:iCs w:val="1"/>
          <w:color w:val="auto"/>
        </w:rPr>
        <w:t>https://www.diginex.com</w:t>
      </w:r>
      <w:r>
        <w:rPr>
          <w:rFonts w:ascii="Times New Roman" w:cs="Times New Roman" w:eastAsia="Times New Roman" w:hAnsi="Times New Roman"/>
          <w:sz w:val="18"/>
          <w:szCs w:val="18"/>
          <w:color w:val="auto"/>
        </w:rPr>
        <w:t>. The information contained on our website is not a part of this prospectus.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INTERIM UNAUDITED CONDENSED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 SEPTEMBER 2023 AND 2022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3"/>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40" w:type="dxa"/>
            <w:vAlign w:val="bottom"/>
          </w:tcPr>
          <w:p>
            <w:pPr>
              <w:spacing w:after="0"/>
              <w:rPr>
                <w:sz w:val="20"/>
                <w:szCs w:val="20"/>
                <w:color w:val="auto"/>
              </w:rPr>
            </w:pPr>
          </w:p>
        </w:tc>
      </w:tr>
      <w:tr>
        <w:trPr>
          <w:trHeight w:val="410"/>
        </w:trPr>
        <w:tc>
          <w:tcPr>
            <w:tcW w:w="10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financial statements (unaudited)</w:t>
            </w:r>
          </w:p>
        </w:tc>
        <w:tc>
          <w:tcPr>
            <w:tcW w:w="840" w:type="dxa"/>
            <w:vAlign w:val="bottom"/>
          </w:tcPr>
          <w:p>
            <w:pPr>
              <w:spacing w:after="0"/>
              <w:rPr>
                <w:sz w:val="24"/>
                <w:szCs w:val="24"/>
                <w:color w:val="auto"/>
              </w:rPr>
            </w:pPr>
          </w:p>
        </w:tc>
      </w:tr>
      <w:tr>
        <w:trPr>
          <w:trHeight w:val="245"/>
        </w:trPr>
        <w:tc>
          <w:tcPr>
            <w:tcW w:w="104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as of and for the six months ended 30 September 2023 and 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4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196"/>
        </w:trPr>
        <w:tc>
          <w:tcPr>
            <w:tcW w:w="69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Statements of Profit or Loss and Other Comprehensive Income</w:t>
            </w:r>
          </w:p>
        </w:tc>
        <w:tc>
          <w:tcPr>
            <w:tcW w:w="344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75"/>
        </w:trPr>
        <w:tc>
          <w:tcPr>
            <w:tcW w:w="104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Financial Position</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4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Changes in Equity</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76"/>
        </w:trPr>
        <w:tc>
          <w:tcPr>
            <w:tcW w:w="478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w:t>
            </w:r>
          </w:p>
        </w:tc>
        <w:tc>
          <w:tcPr>
            <w:tcW w:w="5620" w:type="dxa"/>
            <w:vAlign w:val="bottom"/>
            <w:tcBorders>
              <w:top w:val="single" w:sz="8" w:color="CCEEFF"/>
            </w:tcBorders>
            <w:gridSpan w:val="4"/>
          </w:tcPr>
          <w:p>
            <w:pPr>
              <w:spacing w:after="0"/>
              <w:rPr>
                <w:sz w:val="15"/>
                <w:szCs w:val="15"/>
                <w:color w:val="auto"/>
              </w:rPr>
            </w:pPr>
          </w:p>
        </w:tc>
        <w:tc>
          <w:tcPr>
            <w:tcW w:w="8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43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04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Interim Condensed Consolidated Financial Statements</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F-7-F-27</w:t>
            </w:r>
          </w:p>
        </w:tc>
      </w:tr>
      <w:tr>
        <w:trPr>
          <w:trHeight w:val="439"/>
        </w:trPr>
        <w:tc>
          <w:tcPr>
            <w:tcW w:w="43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jc w:val="center"/>
              <w:ind w:right="4000"/>
              <w:spacing w:after="0"/>
              <w:rPr>
                <w:sz w:val="20"/>
                <w:szCs w:val="20"/>
                <w:color w:val="auto"/>
              </w:rPr>
            </w:pPr>
            <w:r>
              <w:rPr>
                <w:rFonts w:ascii="Times New Roman" w:cs="Times New Roman" w:eastAsia="Times New Roman" w:hAnsi="Times New Roman"/>
                <w:sz w:val="18"/>
                <w:szCs w:val="18"/>
                <w:color w:val="auto"/>
                <w:w w:val="95"/>
              </w:rPr>
              <w:t>F-2</w:t>
            </w:r>
          </w:p>
        </w:tc>
        <w:tc>
          <w:tcPr>
            <w:tcW w:w="8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INTERIM CONDENSED CONSOLIDATED STATEMENTS OF PROFIT OR LOSS AND OTHER COMPREHENSIVE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30 September 2023 and 2022 (unaudited)</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3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w:t>
            </w:r>
          </w:p>
        </w:tc>
      </w:tr>
      <w:tr>
        <w:trPr>
          <w:trHeight w:val="41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360" w:type="dxa"/>
            <w:vAlign w:val="bottom"/>
          </w:tcPr>
          <w:p>
            <w:pPr>
              <w:spacing w:after="0"/>
              <w:rPr>
                <w:sz w:val="20"/>
                <w:szCs w:val="20"/>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gains or (losses)</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 net</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FOR THE YEAR</w:t>
            </w:r>
          </w:p>
        </w:tc>
        <w:tc>
          <w:tcPr>
            <w:tcW w:w="1360" w:type="dxa"/>
            <w:vAlign w:val="bottom"/>
          </w:tcPr>
          <w:p>
            <w:pPr>
              <w:spacing w:after="0"/>
              <w:rPr>
                <w:sz w:val="20"/>
                <w:szCs w:val="20"/>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360" w:type="dxa"/>
            <w:vAlign w:val="bottom"/>
          </w:tcPr>
          <w:p>
            <w:pPr>
              <w:spacing w:after="0"/>
              <w:rPr>
                <w:sz w:val="18"/>
                <w:szCs w:val="18"/>
                <w:color w:val="auto"/>
              </w:rPr>
            </w:pPr>
          </w:p>
        </w:tc>
      </w:tr>
      <w:tr>
        <w:trPr>
          <w:trHeight w:val="22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136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Exchange (loss) gain on translation of foreign operations</w:t>
            </w:r>
          </w:p>
        </w:tc>
        <w:tc>
          <w:tcPr>
            <w:tcW w:w="1360" w:type="dxa"/>
            <w:vAlign w:val="bottom"/>
          </w:tcPr>
          <w:p>
            <w:pPr>
              <w:spacing w:after="0"/>
              <w:rPr>
                <w:sz w:val="20"/>
                <w:szCs w:val="20"/>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 FOR THE YEAR</w:t>
            </w:r>
          </w:p>
        </w:tc>
        <w:tc>
          <w:tcPr>
            <w:tcW w:w="1360" w:type="dxa"/>
            <w:vAlign w:val="bottom"/>
          </w:tcPr>
          <w:p>
            <w:pPr>
              <w:spacing w:after="0"/>
              <w:rPr>
                <w:sz w:val="21"/>
                <w:szCs w:val="2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ATTRIBUTABLE TO</w:t>
            </w:r>
          </w:p>
        </w:tc>
        <w:tc>
          <w:tcPr>
            <w:tcW w:w="1360" w:type="dxa"/>
            <w:vAlign w:val="bottom"/>
          </w:tcPr>
          <w:p>
            <w:pPr>
              <w:spacing w:after="0"/>
              <w:rPr>
                <w:sz w:val="20"/>
                <w:szCs w:val="20"/>
                <w:color w:val="auto"/>
              </w:rPr>
            </w:pPr>
          </w:p>
        </w:tc>
      </w:tr>
      <w:tr>
        <w:trPr>
          <w:trHeight w:val="220"/>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ORDINARY EQUITY HOLDERS OF THE COMPANY</w:t>
            </w:r>
          </w:p>
        </w:tc>
        <w:tc>
          <w:tcPr>
            <w:tcW w:w="1360" w:type="dxa"/>
            <w:vAlign w:val="bottom"/>
          </w:tcPr>
          <w:p>
            <w:pPr>
              <w:spacing w:after="0"/>
              <w:rPr>
                <w:sz w:val="19"/>
                <w:szCs w:val="19"/>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r>
      <w:tr>
        <w:trPr>
          <w:trHeight w:val="49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-1619885</wp:posOffset>
            </wp:positionV>
            <wp:extent cx="713232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0" w:firstLine="55"/>
        <w:spacing w:after="0" w:line="290" w:lineRule="auto"/>
        <w:rPr>
          <w:sz w:val="20"/>
          <w:szCs w:val="20"/>
          <w:color w:val="auto"/>
        </w:rPr>
      </w:pPr>
      <w:r>
        <w:rPr>
          <w:rFonts w:ascii="Times New Roman" w:cs="Times New Roman" w:eastAsia="Times New Roman" w:hAnsi="Times New Roman"/>
          <w:sz w:val="17"/>
          <w:szCs w:val="17"/>
          <w:color w:val="auto"/>
        </w:rPr>
        <w:t>Six months ended 30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-5080</wp:posOffset>
            </wp:positionV>
            <wp:extent cx="10629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643,267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(4,436,104)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(3,792,837)</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4,944,428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(279,516)</w:t>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872,075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(1,869)</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870,206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10629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75.30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17145</wp:posOffset>
            </wp:positionV>
            <wp:extent cx="10629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34290</wp:posOffset>
            </wp:positionV>
            <wp:extent cx="10629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51435</wp:posOffset>
            </wp:positionV>
            <wp:extent cx="10629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0" w:firstLine="55"/>
        <w:spacing w:after="0" w:line="290" w:lineRule="auto"/>
        <w:rPr>
          <w:sz w:val="20"/>
          <w:szCs w:val="20"/>
          <w:color w:val="auto"/>
        </w:rPr>
      </w:pPr>
      <w:r>
        <w:rPr>
          <w:rFonts w:ascii="Times New Roman" w:cs="Times New Roman" w:eastAsia="Times New Roman" w:hAnsi="Times New Roman"/>
          <w:sz w:val="17"/>
          <w:szCs w:val="17"/>
          <w:color w:val="auto"/>
        </w:rPr>
        <w:t>Six months ended 30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-5080</wp:posOffset>
            </wp:positionV>
            <wp:extent cx="10629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987,367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(4,803,136)</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(3,815,769)</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(790,831)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(37,502)</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(4,644,102)</w:t>
      </w:r>
    </w:p>
    <w:p>
      <w:pPr>
        <w:spacing w:after="0" w:line="200" w:lineRule="exact"/>
        <w:rPr>
          <w:sz w:val="20"/>
          <w:szCs w:val="20"/>
          <w:color w:val="auto"/>
        </w:rPr>
      </w:pPr>
    </w:p>
    <w:p>
      <w:pPr>
        <w:spacing w:after="0" w:line="2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12,621</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(4,631,481)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31750</wp:posOffset>
            </wp:positionV>
            <wp:extent cx="10629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34290</wp:posOffset>
            </wp:positionV>
            <wp:extent cx="10629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(400.98)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34290</wp:posOffset>
            </wp:positionV>
            <wp:extent cx="10629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51435</wp:posOffset>
            </wp:positionV>
            <wp:extent cx="10629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7100" w:space="500"/>
            <w:col w:w="1600" w:space="400"/>
            <w:col w:w="1640"/>
          </w:cols>
          <w:pgMar w:left="320" w:top="657" w:right="339" w:bottom="1440" w:gutter="0" w:footer="0" w:header="0"/>
          <w:type w:val="continuous"/>
        </w:sectPr>
      </w:pP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above interim condensed consolidated statement of profit or loss and other comprehensive income should be read in conjunction with the accompanying notes.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30 September 2023 (Unaudited) and 31 March 2023 (Audited)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574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448,947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34,579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483,526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141,459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74,185</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deposit and prepayments</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134,338</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43,392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 related company</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45,092</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41,532</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41,903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1,183,176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436,977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(711,481)</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(187,584)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(509,172)</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(349,197)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(175,315)</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(335,666)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(235,085)</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(126,503)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 current</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(1,148,835)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(2,994,080)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(2,328,926)</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(5,900,471</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(3,201,879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(325,633)</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(1,100,822)</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(1,060,712)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(8,416,000)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(13,460,000)</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 net of current portion</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0"/>
                <w:szCs w:val="20"/>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(2,559,140)</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(3,349,822)</w:t>
            </w:r>
          </w:p>
        </w:tc>
        <w:tc>
          <w:tcPr>
            <w:tcW w:w="0" w:type="dxa"/>
            <w:vAlign w:val="bottom"/>
          </w:tcPr>
          <w:p>
            <w:pPr>
              <w:spacing w:after="0"/>
              <w:rPr>
                <w:sz w:val="1"/>
                <w:szCs w:val="1"/>
                <w:color w:val="auto"/>
              </w:rPr>
            </w:pPr>
          </w:p>
        </w:tc>
      </w:tr>
      <w:tr>
        <w:trPr>
          <w:trHeight w:val="236"/>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(12,401,595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(17,870,534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current (liabilities) assets</w:t>
            </w:r>
          </w:p>
        </w:tc>
        <w:tc>
          <w:tcPr>
            <w:tcW w:w="13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(5,463,494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(1,617,002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liabilities</w:t>
            </w:r>
          </w:p>
        </w:tc>
        <w:tc>
          <w:tcPr>
            <w:tcW w:w="13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(17,381,563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(19,483,840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3,725,301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Exchange reserve</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4,134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reserve</w:t>
            </w:r>
          </w:p>
        </w:tc>
        <w:tc>
          <w:tcPr>
            <w:tcW w:w="13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2,316,347</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0"/>
                <w:szCs w:val="20"/>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(23,427,339)</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(24,299,414)</w:t>
            </w:r>
          </w:p>
        </w:tc>
        <w:tc>
          <w:tcPr>
            <w:tcW w:w="0" w:type="dxa"/>
            <w:vAlign w:val="bottom"/>
          </w:tcPr>
          <w:p>
            <w:pPr>
              <w:spacing w:after="0"/>
              <w:rPr>
                <w:sz w:val="1"/>
                <w:szCs w:val="1"/>
                <w:color w:val="auto"/>
              </w:rPr>
            </w:pPr>
          </w:p>
        </w:tc>
      </w:tr>
      <w:tr>
        <w:trPr>
          <w:trHeight w:val="230"/>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(17,381,563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(19,483,840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interim condensed consolidated statement of financial position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30 September 2023 and 30 September 2022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Share Capital</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5"/>
              </w:rPr>
              <w:t>Exchange</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option</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Accumulated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reserve</w:t>
            </w:r>
          </w:p>
        </w:tc>
        <w:tc>
          <w:tcPr>
            <w:tcW w:w="30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reserve</w:t>
            </w: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losses</w:t>
            </w:r>
          </w:p>
        </w:tc>
        <w:tc>
          <w:tcPr>
            <w:tcW w:w="300" w:type="dxa"/>
            <w:vAlign w:val="bottom"/>
          </w:tcPr>
          <w:p>
            <w:pPr>
              <w:spacing w:after="0"/>
              <w:rPr>
                <w:sz w:val="19"/>
                <w:szCs w:val="19"/>
                <w:color w:val="auto"/>
              </w:rPr>
            </w:pPr>
          </w:p>
        </w:tc>
        <w:tc>
          <w:tcPr>
            <w:tcW w:w="110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6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April 2022</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11,582</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3,725,301</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499,808</w:t>
            </w:r>
          </w:p>
        </w:tc>
        <w:tc>
          <w:tcPr>
            <w:tcW w:w="13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(15,204,150)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(10,974,718)</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(4,644,102)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(4,644,102)</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gain on translation of foreign</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12,621</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12,621</w:t>
            </w:r>
          </w:p>
        </w:tc>
      </w:tr>
      <w:tr>
        <w:trPr>
          <w:trHeight w:val="203"/>
        </w:trPr>
        <w:tc>
          <w:tcPr>
            <w:tcW w:w="3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comprehensive loss for the year</w:t>
            </w:r>
          </w:p>
        </w:tc>
        <w:tc>
          <w:tcPr>
            <w:tcW w:w="6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12,621</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(4,644,102)</w:t>
            </w: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(4,631,481)</w:t>
            </w:r>
          </w:p>
        </w:tc>
        <w:tc>
          <w:tcPr>
            <w:tcW w:w="100" w:type="dxa"/>
            <w:vAlign w:val="bottom"/>
            <w:tcBorders>
              <w:top w:val="single" w:sz="8" w:color="CCEEFF"/>
            </w:tcBorders>
          </w:tcPr>
          <w:p>
            <w:pPr>
              <w:spacing w:after="0"/>
              <w:rPr>
                <w:sz w:val="17"/>
                <w:szCs w:val="17"/>
                <w:color w:val="auto"/>
              </w:rPr>
            </w:pPr>
          </w:p>
        </w:tc>
      </w:tr>
      <w:tr>
        <w:trPr>
          <w:trHeight w:val="24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230,424</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230,424</w:t>
            </w:r>
          </w:p>
        </w:tc>
      </w:tr>
      <w:tr>
        <w:trPr>
          <w:trHeight w:val="257"/>
        </w:trPr>
        <w:tc>
          <w:tcPr>
            <w:tcW w:w="36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30 September 2022</w:t>
            </w:r>
          </w:p>
        </w:tc>
        <w:tc>
          <w:tcPr>
            <w:tcW w:w="6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CCEEFF"/>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11,582</w:t>
            </w:r>
          </w:p>
        </w:tc>
        <w:tc>
          <w:tcPr>
            <w:tcW w:w="300" w:type="dxa"/>
            <w:vAlign w:val="bottom"/>
            <w:tcBorders>
              <w:top w:val="single" w:sz="8" w:color="CCEEFF"/>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3,725,301</w:t>
            </w:r>
          </w:p>
        </w:tc>
        <w:tc>
          <w:tcPr>
            <w:tcW w:w="300" w:type="dxa"/>
            <w:vAlign w:val="bottom"/>
            <w:tcBorders>
              <w:top w:val="single" w:sz="8" w:color="CCEEFF"/>
              <w:bottom w:val="single" w:sz="8" w:color="CCEEFF"/>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16,944</w:t>
            </w:r>
          </w:p>
        </w:tc>
        <w:tc>
          <w:tcPr>
            <w:tcW w:w="300" w:type="dxa"/>
            <w:vAlign w:val="bottom"/>
            <w:tcBorders>
              <w:top w:val="single" w:sz="8" w:color="CCEEFF"/>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730,232</w:t>
            </w:r>
          </w:p>
        </w:tc>
        <w:tc>
          <w:tcPr>
            <w:tcW w:w="280" w:type="dxa"/>
            <w:vAlign w:val="bottom"/>
            <w:tcBorders>
              <w:top w:val="single" w:sz="8" w:color="CCEEFF"/>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(19,848,252</w:t>
            </w:r>
          </w:p>
        </w:tc>
        <w:tc>
          <w:tcPr>
            <w:tcW w:w="300" w:type="dxa"/>
            <w:vAlign w:val="bottom"/>
            <w:tcBorders>
              <w:top w:val="single" w:sz="8" w:color="CCEEFF"/>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(15,375,775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3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1 April 2023</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11,582</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3,725,301</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6,003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1,084,270</w:t>
            </w:r>
          </w:p>
        </w:tc>
        <w:tc>
          <w:tcPr>
            <w:tcW w:w="13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(24,299,414)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(19,483,840)</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872,075</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872,075</w:t>
            </w: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Exchange gain on translation of foreign</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5"/>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(1,869)</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for the year</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872,075</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1,232,071</w:t>
            </w: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1,232,071</w:t>
            </w:r>
          </w:p>
        </w:tc>
      </w:tr>
      <w:tr>
        <w:trPr>
          <w:trHeight w:val="230"/>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30 September 2023</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3,725,301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2,316,341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(23,427,339</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(17,381,563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interim condensed consolidated statement of changes in equity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ind w:left="340" w:right="2480"/>
        <w:spacing w:after="0" w:line="268" w:lineRule="auto"/>
        <w:rPr>
          <w:sz w:val="20"/>
          <w:szCs w:val="20"/>
          <w:color w:val="auto"/>
        </w:rPr>
      </w:pPr>
      <w:r>
        <w:rPr>
          <w:rFonts w:ascii="Times New Roman" w:cs="Times New Roman" w:eastAsia="Times New Roman" w:hAnsi="Times New Roman"/>
          <w:sz w:val="18"/>
          <w:szCs w:val="18"/>
          <w:b w:val="1"/>
          <w:bCs w:val="1"/>
          <w:color w:val="auto"/>
        </w:rPr>
        <w:t>DIGINEX SOLUTIONS (HK) LIMITED INTERIM CONDENSED CONSOLIDATED STATEMENTS OF CASH FLOWS For the six months ended 30 September 2023 and 30 September 2022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Profit (loss) for the year</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872,075</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(4,644,102)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 right-of-use asset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33,672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 plant and equipment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3,696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recognized in respect of trade receivables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10,840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279,516</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37,502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1,232,071</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232,938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loss of convertible loan notes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126,000</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 loss of preferred shares</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(5,044,000)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884,000</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(2,486,130)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137,489</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(90,946)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65,455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(47,196)</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(68,488)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 related company</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(3,560)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682,003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28,487</w:t>
            </w: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(160,351)</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53,096</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(1,968,691)</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(3,426,238)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convertible loan notes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Advances from immediate holding company</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564,483</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(37,065)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827,418</w:t>
            </w:r>
          </w:p>
        </w:tc>
        <w:tc>
          <w:tcPr>
            <w:tcW w:w="3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3,300,000</w:t>
            </w:r>
          </w:p>
        </w:tc>
        <w:tc>
          <w:tcPr>
            <w:tcW w:w="100" w:type="dxa"/>
            <w:vAlign w:val="bottom"/>
            <w:tcBorders>
              <w:top w:val="single" w:sz="8" w:color="CCEEFF"/>
            </w:tcBorders>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(1,141,273)</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(126,238)</w:t>
            </w: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1,183,176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1,274,494</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30 SEPTEMBER</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disclosed below, there were no other material non-cash investing and financing activities during the six months ended 30 September 2023 and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2022:</w:t>
      </w:r>
    </w:p>
    <w:p>
      <w:pPr>
        <w:spacing w:after="0" w:line="207" w:lineRule="exact"/>
        <w:rPr>
          <w:sz w:val="20"/>
          <w:szCs w:val="20"/>
          <w:color w:val="auto"/>
        </w:rPr>
      </w:pPr>
    </w:p>
    <w:p>
      <w:pPr>
        <w:ind w:left="660" w:hanging="328"/>
        <w:spacing w:after="0" w:line="261"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30 September 2023, the Group entered into new lease agreements for the use of office space that expires on 1 July 2027. On the lease commencement, the Group recognized right-of-use assets and lease liabilities of $482,619 and $482,619, respectively.</w:t>
      </w:r>
    </w:p>
    <w:p>
      <w:pPr>
        <w:ind w:left="660" w:right="20" w:hanging="328"/>
        <w:spacing w:after="0" w:line="260"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for the lease of $34,579 was paid by the immediate holding company and included within the amount due to the immediate holding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unaudited interim condensed consolidated statement of cash flows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and for the six months ended 30 September 2023 and 30 September 2022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ORGANIZATION AND PRINCIPAL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Diginex Solutions (HK) Limited (the “Company”) is a company incorporated in Hong Kong on 8 January 2018 and has its registered office and principal place of business at Smart-Space Fintech 2, Room 3, Units 401-404, Core C, Cyberport 3, 3 Cyberport Road, Telegraph Bay, Hong Kong. The substantial shareholder, Rhino Ventures Limited (“Rhino Ventures”) which a limited company incorporated in the British Virgin Islands, is regarded as the immediate and ultimate holding company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activities of the Company and its subsidiaries (collectively, the “Group”) are the provision of Environmental, Social and Governance (“ESG”) reporting solution services, advisory services and developing customization solutions.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are presented in US dollars (“USD”), which is the same as the functional currency of the Company.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for six months ended 30 September 2023 and 30 September 2022 were authorized for issue by the Board of Directors on 8 February, 2024. The Company’s board of directors has the power to amend these unaudited interim condensed consolidated financial statements after issue.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as of and for the six months ended 30 September 2023 and 30 September 2022 have been prepared in accordance with IAS 34 Interim Financial Reporting.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do not include all the information and disclosures required in the annual financial statements and should be read in conjunction with the audited consolidated financial statements of the Company for the year ended 31 March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six months ended 30 September 2023 are not necessarily indicative of the results that may be expected for the year ending 31 March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unaudited interim condensed consolidated financial statements include all adjustments necessary to make the financial statements not misleading, and all adjustments are of a normal recurring nature unless otherwise stated.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Going concern basis of accounting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a going concern basis, which assumes that the Group will be able to meet its financial obligations, working capital requirements and capital expenditures as and when they fall due. Future cash flow projections have been analyzed to establish the cash requirements over the coming 12 months which highlight a need for the Group to raise additional capital and/or reduced expenses as necessary.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incorporation of the Company, the Group has incurred losses but has been able to fund itself via raising funds from investors, issuance of debt instruments and funding by way of shareholders’ loans. In February 2024, the Group anticipates concluding an $8.0 million capital raise, of which $5.3 million has been received to date. The Group also has convertible loan notes and preferred shares, classified as liabilities on the interim condensed consolidated statement of financial position, which will be mandatorily converted into equity upon the Form F-1 being declared effective. The founder has provided assurances that Rhino Ventures Limited, a company controlled by the founder, will continue to support the Company via the shareholder loans for the earlier of the next 12 months from the date of these unaudited interim condensed consolidated financial statements were issued or the Form F-1 being declared effective. In addition to the above options to raise capital, management also has the ability to control or reduce cash outflows by reducing the cost base of the Group.</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and management’s ability to control costs, management has alleviated the doubt about the Group’s ability to continue as a going concern.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2.2 Application of new and amendments to IFRSs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IFRS standards adopted during the periods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adopted in the preparation of the unaudited interim condensed consolidated financial statements are consistent with those followed in the preparation of the Group’s annual financial statements for the year ended 31 March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Group’s unaudited interim condensed consolidated financial statements requires management to make judgements, estimates and assumptions that affect the reported amounts of revenues, expenses, assets and liabilities, and the disclosure of contingent liabilities, at the reporting date. However, uncertainty about these assumptions and estimates could result in outcomes that could require a material adjustment to the carrying amount of the asset or liability affected in the future.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preparing these unaudited interim condensed consolidated financial statements, other than additional accounting policy resulting from application of IFRS 16 “Leases” in connection with a rental agreement entered into by the Group during the six months ended 30 September 2023 as set out below, the accounting policies and methods of computation used in the unaudited interim condensed consolidated financial statements for the six months ended 30 September 2023 are the same as those applied to the audited consolidated financial statements as at and for the year ended 31 March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as lessee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 The Group applies practical expedient not to separate non-lease components from lease component, and instead account for the lease component and any associated non-lease components as a single lease component.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applying IFRS 16, the Group elected a simplified approach for leases with a lease term of 12 months or less from the commencement date and do not contain a purchase option. Lease payments on short-term leases are recognized as expense on a straight-line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whether a lessee is reasonably certain to exercise an option to extend a lease, or not to exercise an option to terminate a lease, the Group considers all relevant facts and circumstances that create an economic incentive for the lessee to exercise the option to extend the lease, or not to exercise the option to terminate the lease. The Group revises the lease term if there is a change in the non-cancellable period of a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 use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right-of-use asset is initially recognized at cost comprising of:</w:t>
      </w:r>
    </w:p>
    <w:p>
      <w:pPr>
        <w:spacing w:after="0" w:line="225"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the initial measurement of the lease liability;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less any lease incentives received;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 incurred by the Group;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costs to be incurred by the Group in dismantling and removing the underlying asset, restoring the site on which it is located or restoring the underlying asset to the condition required by the terms and conditions of the lease.</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Right-of-use assets are measured at cost, less any accumulated depreciation and impairment losses, and adjusted for any remeasurement of lease liabilities.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5" w:name="page136"/>
    <w:bookmarkEnd w:id="135"/>
    <w:p>
      <w:pPr>
        <w:jc w:val="both"/>
        <w:spacing w:after="0" w:line="266" w:lineRule="auto"/>
        <w:rPr>
          <w:sz w:val="20"/>
          <w:szCs w:val="20"/>
          <w:color w:val="auto"/>
        </w:rPr>
      </w:pPr>
      <w:r>
        <w:rPr>
          <w:rFonts w:ascii="Times New Roman" w:cs="Times New Roman" w:eastAsia="Times New Roman" w:hAnsi="Times New Roman"/>
          <w:sz w:val="18"/>
          <w:szCs w:val="18"/>
          <w:color w:val="auto"/>
        </w:rPr>
        <w:t>Right-of-use assets in which the Group is reasonably certain to obtain ownership of the underlying leased assets at the end of the lease term are depreciated from commencement date to the end of the useful life. Otherwise, right-of-use assets are depreciated on a straight-line basis over the shorter of its estimated useful life and the lease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presents right-of-use assets as a separate line item on the unaudited interim condensed consolidated statement of financial position.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payments include:</w:t>
      </w:r>
    </w:p>
    <w:p>
      <w:pPr>
        <w:spacing w:after="0" w:line="225"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a rate, initially measured using the index or rate as at the commencement date;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by the Group under residual value guarantees;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the option;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penalties for terminating a lease, if the lease term reflects the Group exercising an option to terminate the lease.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commencement date, lease liabilities are adjusted by interest accretion and lease payments. The Group remeasures lease liabilities (and makes a corresponding adjustment to the related right-of-use assets) whenever:</w:t>
      </w:r>
    </w:p>
    <w:p>
      <w:pPr>
        <w:spacing w:after="0" w:line="162" w:lineRule="exact"/>
        <w:rPr>
          <w:sz w:val="20"/>
          <w:szCs w:val="20"/>
          <w:color w:val="auto"/>
        </w:rPr>
      </w:pPr>
    </w:p>
    <w:p>
      <w:pPr>
        <w:ind w:left="660" w:right="20" w:hanging="328"/>
        <w:spacing w:after="0" w:line="261"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ind w:left="660" w:hanging="328"/>
        <w:spacing w:after="0" w:line="260"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presents lease liabilities as a separate line item on the unaudited interim condensed consolidated statement of financial position.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KEY SOURCES OF JUDGEMENTS AND ESTIMATION UNCERTAINTY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these unaudited interim condensed consolidated financial statements, other than additional estimation resulting from application of IFRS 16 “Leases”, the Group’s key sources of judgements and estimation uncertainty are the same as those applied to the audited consolidated financial statements as at and for the year ended 31 March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 used for initial measurement of lease liability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as a lessee, measures the lease liability at the present value of the unpaid lease payments at the commencement date. The lease payments are discounted using the interest rate implicit in the lease, if that rate can be readily determined. If that rate cannot be readily determined, the Group on initial recognition of the lease uses its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REVENUE</w:t>
            </w: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analysis of the Group’s revenue from continuing operations for the reporting periods are as follows:</w:t>
            </w: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7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Customization income</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345,158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713,040</w:t>
            </w:r>
          </w:p>
        </w:tc>
        <w:tc>
          <w:tcPr>
            <w:tcW w:w="8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Advisory service income</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63,512</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115,390</w:t>
            </w:r>
          </w:p>
        </w:tc>
      </w:tr>
      <w:tr>
        <w:trPr>
          <w:trHeight w:val="249"/>
        </w:trPr>
        <w:tc>
          <w:tcPr>
            <w:tcW w:w="7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 income</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234,597</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158,937</w:t>
            </w:r>
          </w:p>
        </w:tc>
        <w:tc>
          <w:tcPr>
            <w:tcW w:w="80" w:type="dxa"/>
            <w:vAlign w:val="bottom"/>
            <w:shd w:val="clear" w:color="auto" w:fill="CCEEFF"/>
          </w:tcPr>
          <w:p>
            <w:pPr>
              <w:spacing w:after="0"/>
              <w:rPr>
                <w:sz w:val="21"/>
                <w:szCs w:val="21"/>
                <w:color w:val="auto"/>
              </w:rPr>
            </w:pPr>
          </w:p>
        </w:tc>
      </w:tr>
      <w:tr>
        <w:trPr>
          <w:trHeight w:val="210"/>
        </w:trPr>
        <w:tc>
          <w:tcPr>
            <w:tcW w:w="74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298,109</w:t>
            </w:r>
          </w:p>
        </w:tc>
        <w:tc>
          <w:tcPr>
            <w:tcW w:w="3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274,327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643,267</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987,367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service provided by the Group are for periods of one year or less. As permitted under IFRS 15, the transaction price allocated to the remaining performance obligations is not disclosed.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GENERAL AND ADMINISTRATIVE EXPENSES</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740" w:type="dxa"/>
            <w:vAlign w:val="bottom"/>
          </w:tcPr>
          <w:p>
            <w:pPr>
              <w:spacing w:after="0"/>
              <w:rPr>
                <w:sz w:val="20"/>
                <w:szCs w:val="20"/>
                <w:color w:val="auto"/>
              </w:rPr>
            </w:pPr>
          </w:p>
        </w:tc>
        <w:tc>
          <w:tcPr>
            <w:tcW w:w="17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5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1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3,022,939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2,443,496</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1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1,112,213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1,565,190</w:t>
            </w: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1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19,781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344,273</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(d)</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75,377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140,240</w:t>
            </w: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fees</w:t>
            </w:r>
          </w:p>
        </w:tc>
        <w:tc>
          <w:tcPr>
            <w:tcW w:w="1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39,118</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88,820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7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17,446</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65,724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72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11,147</w:t>
            </w:r>
          </w:p>
        </w:tc>
        <w:tc>
          <w:tcPr>
            <w:tcW w:w="80" w:type="dxa"/>
            <w:vAlign w:val="bottom"/>
            <w:shd w:val="clear" w:color="auto" w:fill="CCEEFF"/>
          </w:tcPr>
          <w:p>
            <w:pPr>
              <w:spacing w:after="0"/>
              <w:rPr>
                <w:sz w:val="18"/>
                <w:szCs w:val="18"/>
                <w:color w:val="auto"/>
              </w:rPr>
            </w:pPr>
          </w:p>
        </w:tc>
      </w:tr>
      <w:tr>
        <w:trPr>
          <w:trHeight w:val="23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7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(h)</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134,230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144,246</w:t>
            </w:r>
          </w:p>
        </w:tc>
        <w:tc>
          <w:tcPr>
            <w:tcW w:w="80" w:type="dxa"/>
            <w:vAlign w:val="bottom"/>
          </w:tcPr>
          <w:p>
            <w:pPr>
              <w:spacing w:after="0"/>
              <w:rPr>
                <w:sz w:val="20"/>
                <w:szCs w:val="20"/>
                <w:color w:val="auto"/>
              </w:rPr>
            </w:pPr>
          </w:p>
        </w:tc>
      </w:tr>
      <w:tr>
        <w:trPr>
          <w:trHeight w:val="230"/>
        </w:trPr>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4,436,104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4,803,136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5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other benefits</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1,737,844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2,134,131</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53,024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76,427</w:t>
            </w:r>
          </w:p>
        </w:tc>
      </w:tr>
      <w:tr>
        <w:trPr>
          <w:trHeight w:val="25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1,232,071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232,938</w:t>
            </w:r>
          </w:p>
        </w:tc>
        <w:tc>
          <w:tcPr>
            <w:tcW w:w="80" w:type="dxa"/>
            <w:vAlign w:val="bottom"/>
            <w:shd w:val="clear" w:color="auto" w:fill="CCEEFF"/>
          </w:tcPr>
          <w:p>
            <w:pPr>
              <w:spacing w:after="0"/>
              <w:rPr>
                <w:sz w:val="21"/>
                <w:szCs w:val="21"/>
                <w:color w:val="auto"/>
              </w:rPr>
            </w:pPr>
          </w:p>
        </w:tc>
      </w:tr>
      <w:tr>
        <w:trPr>
          <w:trHeight w:val="217"/>
        </w:trPr>
        <w:tc>
          <w:tcPr>
            <w:tcW w:w="5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3,022,939</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2,443,496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hanging="652"/>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includes the cost of both employees and contractors. At 30 September 2023 the Company had 21 employees and 10 contractors (30 September 2022: 29 employees and 11 contractors).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development and maintenance support costs relate, primarily, to those associated with a third party that contribute to developing and maintaining the Group commercial products. The costs also include server expenses for hosting the products.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marketing fees were limited during the six months ended 30 September 2023. During the six months ended 30 September 2022 the expenses related promoting the product suite via various channels ie social media, conference attendance.</w:t>
      </w:r>
    </w:p>
    <w:p>
      <w:pPr>
        <w:spacing w:after="0" w:line="161" w:lineRule="exact"/>
        <w:rPr>
          <w:rFonts w:ascii="Times New Roman" w:cs="Times New Roman" w:eastAsia="Times New Roman" w:hAnsi="Times New Roman"/>
          <w:sz w:val="18"/>
          <w:szCs w:val="18"/>
          <w:color w:val="auto"/>
        </w:rPr>
      </w:pPr>
    </w:p>
    <w:p>
      <w:pPr>
        <w:ind w:left="5460" w:hanging="5452"/>
        <w:spacing w:after="0" w:line="532" w:lineRule="auto"/>
        <w:tabs>
          <w:tab w:leader="none" w:pos="66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are primarily related to third party accounting support and legal fees incurred to support fund raises and general business growth.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7" w:name="page138"/>
    <w:bookmarkEnd w:id="137"/>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Consultancy fees, primarily relate to third party human resources support.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2023 the Group reduced office size in Hong Kong, the reduction was a follow on from a change in working practices during Covid.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primarily related to statutory audits of group entities in different jurisdictions.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include travel and entertainment, insurance, bank charges, general office expenses and others.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INCOME, GAINS OR LOSSES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74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5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5,044,000</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(884,000)</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(126,000)</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19,230</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42,973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from government authorities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6,866</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4,944,428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(790,831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2021, the Group issued preferred shares for $6,000,000. The preferred shares were fair valued, using an equity allocation model, at the end of each reporting period, which resulted in gain of $5,044,000 for the period ended 30 September 2023 (30 September 2022: a loss of $884,000).</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has issued 8% convertible loan notes. At 30 September 2023, there was $3,350,000 notes outstanding (31 March 2023: $3,250,000). The notes were fair valued at the end of each reporting period, resulting in a loss of $126,000 during the period ended 30 September 2023 (30 September 2022: gain of $50,000).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FINANCE COSTS, NET</w:t>
            </w:r>
          </w:p>
        </w:tc>
        <w:tc>
          <w:tcPr>
            <w:tcW w:w="3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w:t>
            </w:r>
          </w:p>
        </w:tc>
        <w:tc>
          <w:tcPr>
            <w:tcW w:w="31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5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132,153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11,836</w:t>
            </w:r>
          </w:p>
        </w:tc>
        <w:tc>
          <w:tcPr>
            <w:tcW w:w="80" w:type="dxa"/>
            <w:vAlign w:val="bottom"/>
          </w:tcPr>
          <w:p>
            <w:pPr>
              <w:spacing w:after="0"/>
              <w:rPr>
                <w:sz w:val="18"/>
                <w:szCs w:val="18"/>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5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100,671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5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40,110</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20,822</w:t>
            </w:r>
          </w:p>
        </w:tc>
      </w:tr>
      <w:tr>
        <w:trPr>
          <w:trHeight w:val="249"/>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5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6,582</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4260" w:type="dxa"/>
            <w:vAlign w:val="bottom"/>
            <w:tcBorders>
              <w:top w:val="single" w:sz="8" w:color="CCEEFF"/>
            </w:tcBorders>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279,516</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0"/>
        </w:trPr>
        <w:tc>
          <w:tcPr>
            <w:tcW w:w="426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color w:val="auto"/>
              </w:rPr>
              <w:t>F-11</w:t>
            </w: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Whilst the Group reported a profit for the six months ended September 30, 2023, there was no income tax charge for the Group following the utilization of brought forward losses. Due to losses reported in the six months ended September 30,2022, there is no income tax charge for the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Current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charge for the year can be reconciled to the loss for the year from per the unaudited interim condensed consolidated statement of profit or loss and other comprehensive income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ind w:right="2280"/>
        <w:spacing w:after="0" w:line="261" w:lineRule="auto"/>
        <w:rPr>
          <w:sz w:val="20"/>
          <w:szCs w:val="20"/>
          <w:color w:val="auto"/>
        </w:rPr>
      </w:pPr>
      <w:r>
        <w:rPr>
          <w:rFonts w:ascii="Times New Roman" w:cs="Times New Roman" w:eastAsia="Times New Roman" w:hAnsi="Times New Roman"/>
          <w:sz w:val="18"/>
          <w:szCs w:val="18"/>
          <w:color w:val="auto"/>
        </w:rPr>
        <w:t>Notional tax calculated at the rates applicable to profits in the tax jurisdictions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Tax effect of expenses that are not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Tax effect of income that are not taxable</w:t>
      </w:r>
    </w:p>
    <w:p>
      <w:pPr>
        <w:spacing w:after="0" w:line="9" w:lineRule="exact"/>
        <w:rPr>
          <w:sz w:val="20"/>
          <w:szCs w:val="20"/>
          <w:color w:val="auto"/>
        </w:rPr>
      </w:pPr>
    </w:p>
    <w:p>
      <w:pPr>
        <w:ind w:right="2060"/>
        <w:spacing w:after="0" w:line="292" w:lineRule="auto"/>
        <w:rPr>
          <w:sz w:val="20"/>
          <w:szCs w:val="20"/>
          <w:color w:val="auto"/>
        </w:rPr>
      </w:pPr>
      <w:r>
        <w:rPr>
          <w:rFonts w:ascii="Times New Roman" w:cs="Times New Roman" w:eastAsia="Times New Roman" w:hAnsi="Times New Roman"/>
          <w:sz w:val="18"/>
          <w:szCs w:val="18"/>
          <w:color w:val="auto"/>
        </w:rPr>
        <w:t>(Utilization of) tax effect of tax losses previously not recognized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Deferred income taxes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Six months ended</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198"/>
        </w:trPr>
        <w:tc>
          <w:tcPr>
            <w:tcW w:w="17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7"/>
                <w:szCs w:val="17"/>
                <w:color w:val="auto"/>
              </w:rPr>
            </w:pPr>
          </w:p>
        </w:tc>
        <w:tc>
          <w:tcPr>
            <w:tcW w:w="170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USD</w:t>
            </w:r>
          </w:p>
        </w:tc>
        <w:tc>
          <w:tcPr>
            <w:tcW w:w="40" w:type="dxa"/>
            <w:vAlign w:val="bottom"/>
          </w:tcPr>
          <w:p>
            <w:pPr>
              <w:spacing w:after="0"/>
              <w:rPr>
                <w:sz w:val="17"/>
                <w:szCs w:val="17"/>
                <w:color w:val="auto"/>
              </w:rPr>
            </w:pPr>
          </w:p>
        </w:tc>
      </w:tr>
      <w:tr>
        <w:trPr>
          <w:trHeight w:val="261"/>
        </w:trPr>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872,075</w:t>
            </w:r>
          </w:p>
        </w:tc>
        <w:tc>
          <w:tcPr>
            <w:tcW w:w="32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(4,644,102)</w:t>
            </w: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10"/>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128,682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(792,141)</w:t>
            </w:r>
          </w:p>
        </w:tc>
      </w:tr>
      <w:tr>
        <w:trPr>
          <w:trHeight w:val="216"/>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262,498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191,074</w:t>
            </w:r>
          </w:p>
        </w:tc>
        <w:tc>
          <w:tcPr>
            <w:tcW w:w="40" w:type="dxa"/>
            <w:vAlign w:val="bottom"/>
          </w:tcPr>
          <w:p>
            <w:pPr>
              <w:spacing w:after="0"/>
              <w:rPr>
                <w:sz w:val="18"/>
                <w:szCs w:val="18"/>
                <w:color w:val="auto"/>
              </w:rPr>
            </w:pPr>
          </w:p>
        </w:tc>
      </w:tr>
      <w:tr>
        <w:trPr>
          <w:trHeight w:val="230"/>
        </w:trPr>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(832,260)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41"/>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441,080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601,067</w:t>
            </w:r>
          </w:p>
        </w:tc>
        <w:tc>
          <w:tcPr>
            <w:tcW w:w="40" w:type="dxa"/>
            <w:vAlign w:val="bottom"/>
          </w:tcPr>
          <w:p>
            <w:pPr>
              <w:spacing w:after="0"/>
              <w:rPr>
                <w:sz w:val="20"/>
                <w:szCs w:val="20"/>
                <w:color w:val="auto"/>
              </w:rPr>
            </w:pPr>
          </w:p>
        </w:tc>
      </w:tr>
      <w:tr>
        <w:trPr>
          <w:trHeight w:val="229"/>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has accumulated tax losses of $17,915,183 at 30 September 2023 (30 September 2022: $12,298,511) that are available indefinitely for offsetting against future taxable profits of the respective group companies in which the losses arose.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 in respect of accumulated tax losses of $Nil (30 September 2022: $4,200) has been recognized to offset deferred tax liability arising from accelerated depreciation of the Group’s plant and equipment. No deferred tax asset has been recognized in respect of the remaining tax losses of $17,915,183 (2022: $12,294,311).</w:t>
      </w:r>
    </w:p>
    <w:p>
      <w:pPr>
        <w:spacing w:after="0" w:line="17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10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 (loss) for the period for the purpose of 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potential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Fair value change of preferred shares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period for the purpose of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5715</wp:posOffset>
            </wp:positionV>
            <wp:extent cx="108013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80135" cy="1714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872,075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(5,044,000)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(4,171,925)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31750</wp:posOffset>
            </wp:positionV>
            <wp:extent cx="10801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00" w:firstLine="110"/>
        <w:spacing w:after="0" w:line="281" w:lineRule="auto"/>
        <w:rPr>
          <w:sz w:val="20"/>
          <w:szCs w:val="20"/>
          <w:color w:val="auto"/>
        </w:rPr>
      </w:pPr>
      <w:r>
        <w:rPr>
          <w:rFonts w:ascii="Times New Roman" w:cs="Times New Roman" w:eastAsia="Times New Roman" w:hAnsi="Times New Roman"/>
          <w:sz w:val="17"/>
          <w:szCs w:val="17"/>
          <w:color w:val="auto"/>
        </w:rPr>
        <w:t>Six months ended 30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-3810</wp:posOffset>
            </wp:positionV>
            <wp:extent cx="10629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(4,644,102)</w:t>
      </w:r>
    </w:p>
    <w:p>
      <w:pPr>
        <w:spacing w:after="0" w:line="22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NA</w:t>
      </w:r>
    </w:p>
    <w:p>
      <w:pPr>
        <w:spacing w:after="0" w:line="5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(4,644,102)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17145</wp:posOffset>
            </wp:positionV>
            <wp:extent cx="10629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3">
            <w:col w:w="7020" w:space="720"/>
            <w:col w:w="1460" w:space="540"/>
            <w:col w:w="150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Weighted average number of ordinary shares for the purpose of 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dilutive potential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Preferred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11,582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10,962</w:t>
            </w:r>
          </w:p>
        </w:tc>
      </w:tr>
      <w:tr>
        <w:trPr>
          <w:trHeight w:val="409"/>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1,708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41"/>
        </w:trPr>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20" w:type="dxa"/>
            <w:vAlign w:val="bottom"/>
            <w:tcBorders>
              <w:bottom w:val="single" w:sz="8" w:color="auto"/>
            </w:tcBorders>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Due to the losses during the period ended 30 September 2022, anti-dilutive instruments were excluded from the calculation of diluted loss per share. The excluded anti-dilutive instruments include:</w:t>
      </w:r>
    </w:p>
    <w:p>
      <w:pPr>
        <w:spacing w:after="0" w:line="162"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awards of 1,581 at 30 September 2022. Share option awards convert into one ordinary share, see note 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3,000 shares at both 30 September 2022, see note 17;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notes with aggregate face value of $3,350,000 at 30 September 2023 and $1,000,000 at 30 September 2022, see note 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PLANT AND EQUIPMENT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41"/>
        </w:trPr>
        <w:tc>
          <w:tcPr>
            <w:tcW w:w="6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20" w:type="dxa"/>
            <w:vAlign w:val="bottom"/>
            <w:gridSpan w:val="2"/>
          </w:tcPr>
          <w:p>
            <w:pPr>
              <w:jc w:val="right"/>
              <w:ind w:right="801"/>
              <w:spacing w:after="0"/>
              <w:rPr>
                <w:sz w:val="20"/>
                <w:szCs w:val="20"/>
                <w:color w:val="auto"/>
              </w:rPr>
            </w:pPr>
            <w:r>
              <w:rPr>
                <w:rFonts w:ascii="Times New Roman" w:cs="Times New Roman" w:eastAsia="Times New Roman" w:hAnsi="Times New Roman"/>
                <w:sz w:val="18"/>
                <w:szCs w:val="18"/>
                <w:color w:val="auto"/>
              </w:rPr>
              <w:t>USD</w:t>
            </w:r>
          </w:p>
        </w:tc>
      </w:tr>
      <w:tr>
        <w:trPr>
          <w:trHeight w:val="216"/>
        </w:trPr>
        <w:tc>
          <w:tcPr>
            <w:tcW w:w="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4240" w:type="dxa"/>
            <w:vAlign w:val="bottom"/>
            <w:tcBorders>
              <w:top w:val="single" w:sz="8" w:color="CCEEFF"/>
            </w:tcBorders>
            <w:shd w:val="clear" w:color="auto" w:fill="CCEEFF"/>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1 April 2022, 31 March 2023 and 30 September 2023</w:t>
            </w:r>
          </w:p>
        </w:tc>
        <w:tc>
          <w:tcPr>
            <w:tcW w:w="63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5,038</w:t>
            </w:r>
          </w:p>
        </w:tc>
      </w:tr>
      <w:tr>
        <w:trPr>
          <w:trHeight w:val="196"/>
        </w:trPr>
        <w:tc>
          <w:tcPr>
            <w:tcW w:w="48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43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1 April 2022</w:t>
            </w:r>
          </w:p>
        </w:tc>
        <w:tc>
          <w:tcPr>
            <w:tcW w:w="6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4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 for six months</w:t>
            </w:r>
          </w:p>
        </w:tc>
        <w:tc>
          <w:tcPr>
            <w:tcW w:w="6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03"/>
        </w:trPr>
        <w:tc>
          <w:tcPr>
            <w:tcW w:w="486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31 March 2023</w:t>
            </w:r>
          </w:p>
        </w:tc>
        <w:tc>
          <w:tcPr>
            <w:tcW w:w="4360" w:type="dxa"/>
            <w:vAlign w:val="bottom"/>
            <w:tcBorders>
              <w:top w:val="single" w:sz="8" w:color="CCEEFF"/>
            </w:tcBorders>
          </w:tcPr>
          <w:p>
            <w:pPr>
              <w:spacing w:after="0"/>
              <w:rPr>
                <w:sz w:val="17"/>
                <w:szCs w:val="17"/>
                <w:color w:val="auto"/>
              </w:rPr>
            </w:pPr>
          </w:p>
        </w:tc>
        <w:tc>
          <w:tcPr>
            <w:tcW w:w="1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top w:val="single" w:sz="8" w:color="CCEEFF"/>
            </w:tcBorders>
          </w:tcPr>
          <w:p>
            <w:pPr>
              <w:spacing w:after="0"/>
              <w:rPr>
                <w:sz w:val="17"/>
                <w:szCs w:val="17"/>
                <w:color w:val="auto"/>
              </w:rPr>
            </w:pPr>
          </w:p>
        </w:tc>
      </w:tr>
      <w:tr>
        <w:trPr>
          <w:trHeight w:val="249"/>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 for six months</w:t>
            </w:r>
          </w:p>
        </w:tc>
        <w:tc>
          <w:tcPr>
            <w:tcW w:w="6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57"/>
        </w:trPr>
        <w:tc>
          <w:tcPr>
            <w:tcW w:w="62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At 30</w:t>
            </w:r>
          </w:p>
        </w:tc>
        <w:tc>
          <w:tcPr>
            <w:tcW w:w="424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4360" w:type="dxa"/>
            <w:vAlign w:val="bottom"/>
            <w:tcBorders>
              <w:top w:val="single" w:sz="8" w:color="CCEEFF"/>
              <w:bottom w:val="single" w:sz="8" w:color="CCEEFF"/>
            </w:tcBorders>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8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carrying amount:</w:t>
            </w:r>
          </w:p>
        </w:tc>
        <w:tc>
          <w:tcPr>
            <w:tcW w:w="4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30</w:t>
            </w: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63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At 31</w:t>
            </w:r>
          </w:p>
        </w:tc>
        <w:tc>
          <w:tcPr>
            <w:tcW w:w="4240" w:type="dxa"/>
            <w:vAlign w:val="bottom"/>
            <w:tcBorders>
              <w:top w:val="single" w:sz="8" w:color="CCEEFF"/>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March 2023</w:t>
            </w:r>
          </w:p>
        </w:tc>
        <w:tc>
          <w:tcPr>
            <w:tcW w:w="436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6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gridSpan w:val="3"/>
          </w:tcPr>
          <w:p>
            <w:pPr>
              <w:jc w:val="right"/>
              <w:ind w:right="5361"/>
              <w:spacing w:after="0"/>
              <w:rPr>
                <w:sz w:val="20"/>
                <w:szCs w:val="20"/>
                <w:color w:val="auto"/>
              </w:rPr>
            </w:pPr>
            <w:r>
              <w:rPr>
                <w:rFonts w:ascii="Times New Roman" w:cs="Times New Roman" w:eastAsia="Times New Roman" w:hAnsi="Times New Roman"/>
                <w:sz w:val="18"/>
                <w:szCs w:val="18"/>
                <w:color w:val="auto"/>
              </w:rPr>
              <w:t>F-13</w:t>
            </w:r>
          </w:p>
        </w:tc>
      </w:tr>
    </w:tbl>
    <w:p>
      <w:pPr>
        <w:sectPr>
          <w:pgSz w:w="11900" w:h="16838" w:orient="portrait"/>
          <w:cols w:equalWidth="0" w:num="1">
            <w:col w:w="11240"/>
          </w:cols>
          <w:pgMar w:left="320" w:top="657" w:right="339" w:bottom="1440" w:gutter="0" w:footer="0" w:header="0"/>
          <w:type w:val="continuous"/>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RIGHT-OF-USE ASSETS, NET</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relate to office space leased by the Group. The amount in respect of lease are as follows:</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9220" w:type="dxa"/>
            <w:vAlign w:val="bottom"/>
          </w:tcPr>
          <w:p>
            <w:pPr>
              <w:spacing w:after="0"/>
              <w:rPr>
                <w:sz w:val="24"/>
                <w:szCs w:val="24"/>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Properties</w:t>
            </w:r>
          </w:p>
        </w:tc>
      </w:tr>
      <w:tr>
        <w:trPr>
          <w:trHeight w:val="234"/>
        </w:trPr>
        <w:tc>
          <w:tcPr>
            <w:tcW w:w="9220" w:type="dxa"/>
            <w:vAlign w:val="bottom"/>
          </w:tcPr>
          <w:p>
            <w:pPr>
              <w:spacing w:after="0"/>
              <w:rPr>
                <w:sz w:val="20"/>
                <w:szCs w:val="20"/>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20"/>
                <w:szCs w:val="20"/>
                <w:color w:val="auto"/>
              </w:rPr>
            </w:pPr>
          </w:p>
        </w:tc>
      </w:tr>
      <w:tr>
        <w:trPr>
          <w:trHeight w:val="198"/>
        </w:trPr>
        <w:tc>
          <w:tcPr>
            <w:tcW w:w="9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2023</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Additions (a)</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482,619</w:t>
            </w:r>
          </w:p>
        </w:tc>
        <w:tc>
          <w:tcPr>
            <w:tcW w:w="80" w:type="dxa"/>
            <w:vAlign w:val="bottom"/>
          </w:tcPr>
          <w:p>
            <w:pPr>
              <w:spacing w:after="0"/>
              <w:rPr>
                <w:sz w:val="18"/>
                <w:szCs w:val="18"/>
                <w:color w:val="auto"/>
              </w:rPr>
            </w:pPr>
          </w:p>
        </w:tc>
      </w:tr>
      <w:tr>
        <w:trPr>
          <w:trHeight w:val="24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(33,672)</w:t>
            </w:r>
          </w:p>
        </w:tc>
      </w:tr>
      <w:tr>
        <w:trPr>
          <w:trHeight w:val="257"/>
        </w:trPr>
        <w:tc>
          <w:tcPr>
            <w:tcW w:w="92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Closing net book amount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448,947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92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At 30 September 2023:</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448,947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In June 2023, the Group entered into a lease agreement in Monaco which expires in January 2027. The lease has an annual break clause.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TRADE RECEIVABLES, CONTRACT ASSETS, PREPAYMENT, DEPOSITS AND OTHER RECEIVABLES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13.1 Trade receivables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2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157,331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(15,872)</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Trade receivables are non-interest bearing and generally have credit terms of 30 days.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aging analysis of the trade receivables as at the end of the reporting period, based on the invoice date and net of loss provision,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0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month</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38,831</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74,078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Between 1 month and 3 months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19,265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135,691</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 months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83,362</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80,019</w:t>
            </w:r>
          </w:p>
        </w:tc>
      </w:tr>
      <w:tr>
        <w:trPr>
          <w:trHeight w:val="217"/>
        </w:trPr>
        <w:tc>
          <w:tcPr>
            <w:tcW w:w="744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141,459</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289,788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loss allowance for impairment of trade receivables are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beginning of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period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13335</wp:posOffset>
            </wp:positionV>
            <wp:extent cx="108013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80135" cy="17145"/>
                    </a:xfrm>
                    <a:prstGeom prst="rect">
                      <a:avLst/>
                    </a:prstGeom>
                    <a:noFill/>
                  </pic:spPr>
                </pic:pic>
              </a:graphicData>
            </a:graphic>
          </wp:anchor>
        </w:drawing>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17145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5,032</w:t>
      </w:r>
    </w:p>
    <w:p>
      <w:pPr>
        <w:spacing w:after="0" w:line="9"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10,840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14605</wp:posOffset>
            </wp:positionV>
            <wp:extent cx="713232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8"/>
          <w:szCs w:val="18"/>
          <w:color w:val="auto"/>
        </w:rPr>
        <w:t>15,872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34290</wp:posOffset>
            </wp:positionV>
            <wp:extent cx="10801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13335</wp:posOffset>
            </wp:positionV>
            <wp:extent cx="10629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5,032</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34290</wp:posOffset>
            </wp:positionV>
            <wp:extent cx="10629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020" w:space="720"/>
            <w:col w:w="1580" w:space="720"/>
            <w:col w:w="1200"/>
          </w:cols>
          <w:pgMar w:left="320" w:top="657"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trade receivables written during each of the six months ended 30 September 2023 and 2022. The carrying amounts of trade receivables are approximate their fair values.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13.2 Contract Assets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440" w:type="dxa"/>
            <w:vAlign w:val="bottom"/>
          </w:tcPr>
          <w:p>
            <w:pPr>
              <w:spacing w:after="0"/>
              <w:rPr>
                <w:sz w:val="24"/>
                <w:szCs w:val="24"/>
                <w:color w:val="auto"/>
              </w:rPr>
            </w:pPr>
          </w:p>
        </w:tc>
        <w:tc>
          <w:tcPr>
            <w:tcW w:w="20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74,185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26,989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relate to client contracts that have been complete, revenue recognized but yet to be invoiced.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13.3 Prepayment, deposits and other receivables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5740" w:type="dxa"/>
            <w:vAlign w:val="bottom"/>
          </w:tcPr>
          <w:p>
            <w:pPr>
              <w:spacing w:after="0"/>
              <w:rPr>
                <w:sz w:val="20"/>
                <w:szCs w:val="20"/>
                <w:color w:val="auto"/>
              </w:rPr>
            </w:pP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Note</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35,261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84,231</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43,250</w:t>
            </w:r>
          </w:p>
        </w:tc>
        <w:tc>
          <w:tcPr>
            <w:tcW w:w="0" w:type="dxa"/>
            <w:vAlign w:val="bottom"/>
          </w:tcPr>
          <w:p>
            <w:pPr>
              <w:spacing w:after="0"/>
              <w:rPr>
                <w:sz w:val="1"/>
                <w:szCs w:val="1"/>
                <w:color w:val="auto"/>
              </w:rPr>
            </w:pPr>
          </w:p>
        </w:tc>
      </w:tr>
      <w:tr>
        <w:trPr>
          <w:trHeight w:val="23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14,846</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30"/>
        </w:trPr>
        <w:tc>
          <w:tcPr>
            <w:tcW w:w="57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34,579</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deposits represent amounts paid to an employment agency in Germany. Non-current deposit represents deposit for a long-term lease for office space in Monaco taken on via amount due to immediate holding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TRADE PAYABLES, OTHER PAYABLES AND ACCRUALS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5740" w:type="dxa"/>
            <w:vAlign w:val="bottom"/>
          </w:tcPr>
          <w:p>
            <w:pPr>
              <w:spacing w:after="0"/>
              <w:rPr>
                <w:sz w:val="20"/>
                <w:szCs w:val="20"/>
                <w:color w:val="auto"/>
              </w:rPr>
            </w:pP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Note</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r>
      <w:tr>
        <w:trPr>
          <w:trHeight w:val="216"/>
        </w:trPr>
        <w:tc>
          <w:tcPr>
            <w:tcW w:w="5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711,481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187,584</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tcPr>
          <w:p>
            <w:pPr>
              <w:spacing w:after="0"/>
              <w:rPr>
                <w:sz w:val="18"/>
                <w:szCs w:val="18"/>
                <w:color w:val="auto"/>
              </w:rPr>
            </w:pPr>
          </w:p>
        </w:tc>
      </w:tr>
      <w:tr>
        <w:trPr>
          <w:trHeight w:val="24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509,172</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344,116</w:t>
            </w:r>
          </w:p>
        </w:tc>
      </w:tr>
      <w:tr>
        <w:trPr>
          <w:trHeight w:val="217"/>
        </w:trPr>
        <w:tc>
          <w:tcPr>
            <w:tcW w:w="5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1,220,653</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536,781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include audit fee, salaries and holiday pay accruals for employees, consultancy fee associated with accounting, taxation and human resources services, and others associated with the on-going running of the Group.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DEFERRED REVENUES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44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service income</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2,633</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35,533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Customization income</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21,674</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82,608</w:t>
            </w: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income</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151,008</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217,525</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175,315</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relates to revenues that have been invoiced to the client but not yet earned. The deferred revenues are expected to be recognized as revenue in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16.1 Transactions with other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those related party transactions and balances disclosed elsewhere in the unaudited interim condensed consolidated financial statements,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had the following transactions with its related parties during the reporting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574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16"/>
        </w:trPr>
        <w:tc>
          <w:tcPr>
            <w:tcW w:w="5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income</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48,468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273,544</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Contractor fee</w:t>
            </w: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125,000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Finance charges on:</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40,110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20,822</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100,671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8"/>
                <w:szCs w:val="18"/>
                <w:color w:val="auto"/>
              </w:rPr>
            </w:pPr>
          </w:p>
        </w:tc>
      </w:tr>
      <w:tr>
        <w:trPr>
          <w:trHeight w:val="243"/>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132,153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00" w:type="dxa"/>
            <w:vAlign w:val="bottom"/>
            <w:shd w:val="clear" w:color="auto" w:fill="CCEEFF"/>
          </w:tcPr>
          <w:p>
            <w:pPr>
              <w:spacing w:after="0"/>
              <w:rPr>
                <w:sz w:val="21"/>
                <w:szCs w:val="2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30 September 2023, the Group generated revenue from shareholders amounting to $48,468 (six months ended 30 September 2022: $273,544)</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30 September 2023, Miles Pelham, controller of the immediate holding company Rhino Ventures Limited, engaged as a contractor to provide management services in return for a fee of $125,000 (six months ended 30 September 2022: $125,000)</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September 2023, the Group had an outstanding loan of $1,100,822 due to Diginex Holdings Limited, a company controlled by Rhino Ventures Limited (31 March 2023: $1,060,712). The loan bears an 8% annual interest charge and interest of $40,110 accrued during the six months ended 30 September 2023 (six months ended 30 September 2022: $20,822)</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September 2023, the Group had a loan outstanding from the immediate holding company, Rhino Ventures Limited, with an amount of $2,994,080 (31 March 2023: $2,328,926). The loan bears an 8% annual interest charge and interest of $100,671 accrued during the six months ended 30 September 2023 (six months ended 30 September 2022: $4,844)</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September 2023, the Group had convertible loan notes issued to existing shareholders amounting to $3,707,975 (31 March 2023: $3,349,822). The loan note bears an 8% annual interest charge and interest of $132,153 accrued during the six months ended 30 September 2023 (six months ended 30 September 2022: $11,836). These loans are fair valued at each reporting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16.2 Amounts due from(to) a related company/ immediate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due from a related company, Diginex (Holdings) Limited of $45,092 (31 March 2023: 41,532), and amounts due to immediate holding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Rhino Ventures of $235,085 (31 March 2023: $506) are unsecured, interest-free and repayable on demand.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16.3 Loans from a related company/ immediate holding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30 September 2023, loans from immediate holding company, Rhino Ventures Limited, are unsecured, charging at an interest rate of 8% per annum and is repayable on 31 December 2023. At 30 September 2023, the outstanding principal amount was $2,814,483 (31 March 2023: $2,250,000). At 30 September 2023, interest accrued on the loan amounted to $179,597 (31 March 2023: $78,926) resulting in a total outstanding of $2,994,080 (31 March 2023: $2,328,926). The loan repayment date was extended to 31 March 2024 as detailed in note 27.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30 September 2023, loans from a related company, Diginex (Holdings) Limited, a company controlled by Rhino Ventures Limited, are unsecured, charging at an interest rate of 8% per annum and are repayable on 31 December 2024. At 30 September 2023, the outstanding principal amount was $1,000,000 (31 March 2023: $1,000,000). At 30 September 2023, interest accrued on the loan amounted to $100,822 (31 March 2023: $60,712) resulting in a total outstanding of $1,100,822 (31 March 2023: $1,060,712)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16.4 Key management compensation</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44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Six months ended</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 September 2022</w:t>
            </w:r>
          </w:p>
        </w:tc>
      </w:tr>
      <w:tr>
        <w:trPr>
          <w:trHeight w:val="234"/>
        </w:trPr>
        <w:tc>
          <w:tcPr>
            <w:tcW w:w="744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20"/>
                <w:szCs w:val="20"/>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20"/>
                <w:szCs w:val="20"/>
                <w:color w:val="auto"/>
              </w:rPr>
            </w:pPr>
          </w:p>
        </w:tc>
      </w:tr>
      <w:tr>
        <w:trPr>
          <w:trHeight w:val="225"/>
        </w:trPr>
        <w:tc>
          <w:tcPr>
            <w:tcW w:w="7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all benefits-in-kind</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710,836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683,076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3,846</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3,462</w:t>
            </w: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1,220,923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165,619</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1,935,605</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852,157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management personnel are considered as senior representatives of the Group.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16.5 Amounts due to key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30 September 2023, salaries of $153,716 were outstanding to key management personnel (31 March 2023: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PREFERRED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2021, the Company allotted 3,000 Series A Preferred Shares to a new shareholder for a consideration of $6,000,000.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Preferred Share carries a number of votes equal to that of the ordinary shares then issuable upon its conversion into ordinary shares at the record date for determination of the shareholders entitled to vote on such matters. The holders of Series A Preferred Shares and ordinary shares shall vote together as a single class unless it is required by applicable law or the Company’s Article of Association that Series A Preferred Shares to vote separately as a class.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Preferred Share shall automatically be converted into ordinary shares, at the conversion price (i) immediately upon the closing of a qualified initial public offering or (ii) upon the prior written approval of the holders of majority of Series A Preferred Shares (voting together as a single class).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converted earlier pursuant to abovesaid, each holder of Series A Preferred Shares shall have the right, at such holder’s sole discretion, to convert all or any portion of the Series A Preferred Shares into ordinary shares at any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4" w:name="page145"/>
    <w:bookmarkEnd w:id="144"/>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Series A Preferred Shares shall be entitled to receive dividends, prior and in preference to any declaration or payment of any dividend on the ordinary shares or any other class or series of shares issued by the Company, at the rate of four percent per annum of the applicable issue price of the Series A Preferred Shares, on a non-cumulative basis, for each Series A Preferred Share held by such 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shares are redeemable at the request of the holders at earlier of (i) a qualified initial public offering has not been consummated on or before the fifth anniversary of the date on which the first Series A Preferred Share was issued; or (ii) a redemption right has been triggered by a materially breach of certain transaction documents by the Company; or (iii) the Company materially fails to comply with applicable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30 September 2023, the carrying amount of preferred shares is $8,416,000 (31 March 2023: $13,460,000) with fair value gain of $5,044,000 recognized during the six months ended 30 September 2023 (six months ended 30 September 2022: loss of $884,000). Up to the date of these unaudited interim condensed consolidated financial statements, the redemption right of the preferred shareholders is not triggered.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CONVERTIBLE LOAN NOTES (THE “NOTES”)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20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Notes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3,495,000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212,975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80,822</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Classified as: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the Notes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1,057,000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91,835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bottom w:val="single" w:sz="8" w:color="CCEEFF"/>
            </w:tcBorders>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1,148,835</w:t>
            </w:r>
          </w:p>
        </w:tc>
        <w:tc>
          <w:tcPr>
            <w:tcW w:w="320" w:type="dxa"/>
            <w:vAlign w:val="bottom"/>
            <w:tcBorders>
              <w:top w:val="single" w:sz="8" w:color="CCEEFF"/>
              <w:bottom w:val="single" w:sz="8" w:color="CCEEFF"/>
            </w:tcBorders>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Non-current:</w:t>
            </w:r>
          </w:p>
        </w:tc>
        <w:tc>
          <w:tcPr>
            <w:tcW w:w="1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the Notes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2,438,000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3,269,000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121,140</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80,822</w:t>
            </w:r>
          </w:p>
        </w:tc>
        <w:tc>
          <w:tcPr>
            <w:tcW w:w="0" w:type="dxa"/>
            <w:vAlign w:val="bottom"/>
          </w:tcPr>
          <w:p>
            <w:pPr>
              <w:spacing w:after="0"/>
              <w:rPr>
                <w:sz w:val="1"/>
                <w:szCs w:val="1"/>
                <w:color w:val="auto"/>
              </w:rPr>
            </w:pPr>
          </w:p>
        </w:tc>
      </w:tr>
      <w:tr>
        <w:trPr>
          <w:trHeight w:val="217"/>
        </w:trPr>
        <w:tc>
          <w:tcPr>
            <w:tcW w:w="7440" w:type="dxa"/>
            <w:vAlign w:val="bottom"/>
            <w:tcBorders>
              <w:top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2,559,140</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31 March 2023, the Company issued a convertible loan note instrument to create unsecured convertible loan notes of up to USD10,000,000 in aggregate, bears fixed interest rate of 8% per annum. Loan Notes have different maturity dates which are either on 31 December 2024 or on the second anniversary of the effective date of the subscription.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shall automatically convert into ordinary shares at the conversion price on the earlier of the following events, (i) a relevant fund raising, (ii) change of control, or (iii) an initial public offering (“IPO”). Such senior class of shares to be issued to investors in connection with the relevant fund raising or issued at the completion of the change of control or IPO.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31 March 2023, Notes with face values of $1,000,000, $1,000,000, $1,000,000 and $250,000 were issued in August 2022, January 2023, March 2023 and March 2023, respectively, with aggregate face value of $3,250,000 issued. A further loan note of $100,000 was issued in July 2023. During the six months ended 30 September 2023, a fair value loss of $126,000 was recognized (six months ended 30 September 2022: gain $50,000) and interest accrued on the Notes amounted to $132,153 (six months ended 30 September 2022: $11,836).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LEASE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30 September 2023, the Company entered into a lease that expires on 1 January 2027. The quarterly rent is Euro 33,565 ($37,065). The lease is adjusted annually by an indexation factor and has an annual break clause.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lease liability is as follows:</w:t>
            </w: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44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 30 September</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 31 March</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lease liability</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482,619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(note 8)</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6,582</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lease liability</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(37,065)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Classified in the unaudited interim condensed consolidated statements of financial position as follows: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44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 30 September</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 31 March</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126,503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325,633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Maturity of lease liabilities is as follows: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440" w:type="dxa"/>
            <w:vAlign w:val="bottom"/>
          </w:tcPr>
          <w:p>
            <w:pPr>
              <w:spacing w:after="0"/>
              <w:rPr>
                <w:sz w:val="24"/>
                <w:szCs w:val="24"/>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 30 September</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 31 March</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2323"/>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232323"/>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148,260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five years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345,939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494,199</w:t>
            </w:r>
          </w:p>
        </w:tc>
        <w:tc>
          <w:tcPr>
            <w:tcW w:w="3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(42,063)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452,136</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commitments have been discounted to calculate a present value of commitments using a cost of capital rate of 5.88%.</w:t>
      </w:r>
    </w:p>
    <w:p>
      <w:pPr>
        <w:sectPr>
          <w:pgSz w:w="11900" w:h="16838" w:orient="portrait"/>
          <w:cols w:equalWidth="0" w:num="1">
            <w:col w:w="11240"/>
          </w:cols>
          <w:pgMar w:left="320" w:top="661"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Hong Kong incorporated company, the Company’s shares do not have a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 April 2022, 30 September 2023 and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of the Company rank pari passu in all respects.</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Share Capital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4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Shares</w:t>
            </w:r>
          </w:p>
        </w:tc>
        <w:tc>
          <w:tcPr>
            <w:tcW w:w="18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21"/>
                <w:szCs w:val="21"/>
                <w:color w:val="auto"/>
              </w:rPr>
            </w:pPr>
          </w:p>
        </w:tc>
      </w:tr>
      <w:tr>
        <w:trPr>
          <w:trHeight w:val="225"/>
        </w:trPr>
        <w:tc>
          <w:tcPr>
            <w:tcW w:w="1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0" w:type="dxa"/>
            <w:vAlign w:val="bottom"/>
          </w:tcPr>
          <w:p>
            <w:pPr>
              <w:spacing w:after="0"/>
              <w:rPr>
                <w:sz w:val="19"/>
                <w:szCs w:val="19"/>
                <w:color w:val="auto"/>
              </w:rPr>
            </w:pPr>
          </w:p>
        </w:tc>
      </w:tr>
      <w:tr>
        <w:trPr>
          <w:trHeight w:val="234"/>
        </w:trPr>
        <w:tc>
          <w:tcPr>
            <w:tcW w:w="2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11,582</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3,725,301</w:t>
            </w:r>
          </w:p>
        </w:tc>
      </w:tr>
      <w:tr>
        <w:trPr>
          <w:trHeight w:val="20"/>
        </w:trPr>
        <w:tc>
          <w:tcPr>
            <w:tcW w:w="1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ectPr>
          <w:pgSz w:w="11900" w:h="16838" w:orient="portrait"/>
          <w:cols w:equalWidth="0" w:num="2">
            <w:col w:w="6480" w:space="720"/>
            <w:col w:w="4040"/>
          </w:cols>
          <w:pgMar w:left="320" w:top="661"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21 OTHER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and purpose of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Share option reserve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option reserve comprises of the fair value of share options that have yet to 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Exchange reserve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Exchange reserve comprises all foreign exchange differences arising from the translation of the financial statement of foreign operation. The reserve is dealt with in accordance with the accounting policies set out in note 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Accumulated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losses are the cumulative net loss of the Group sustained in the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paid in the six months ended 30 September 2023 and 30 September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SHARE-BASED PAYMENTS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(the “Board”) approved and adopted the Share Option Award Scheme (the “Scheme”) which outlines the grant of share option award (the “Award”) to selected employees and/or consultants of the Group (the “Participant”) to subscribe ordinary shares of the Company (the “Share”). The Board may determine the Participant and grant Shares under the Scheme not exceeding 15% of issued shares in the Company on a fully diluted basis. Purpose of the Scheme is to attract and retain the best available talent for the Company to benefit its business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grant the Participant an Award consisting in the right to acquire or receive a certain number, or a percentage, of Shares (the “Ownership Stake”) determined in the Scheme (each event being an “Award Grant”). The Award Grant shall vest after thirty-six (36) calendar months of continuous employment with, or service to, the Company or of any of its affiliates (the “Vesting Date”). Unless exercised, the Award will lapse and expire after six (6) calendar months from the Vesting Date (“Long Stop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Shares the Participant is entitled to under an Award Grant shall be determined at the Vesting Date. The vesting of the Award Grant shall confer to the Participant the same shareholding percentage in the Company as the Ownership Stake. Unless determined at the time of the Award Grant, such shareholding shall be calculated based on the total number of Shares issued at the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Long Stop Date, should the Company give notice of: 1) merger or acquisition or similar event involving change of control of the Company; or</w:t>
      </w:r>
    </w:p>
    <w:p>
      <w:pPr>
        <w:spacing w:after="0" w:line="27" w:lineRule="exact"/>
        <w:rPr>
          <w:sz w:val="20"/>
          <w:szCs w:val="20"/>
          <w:color w:val="auto"/>
        </w:rPr>
      </w:pPr>
    </w:p>
    <w:p>
      <w:pPr>
        <w:jc w:val="both"/>
        <w:ind w:firstLine="8"/>
        <w:spacing w:after="0" w:line="253" w:lineRule="auto"/>
        <w:tabs>
          <w:tab w:leader="none" w:pos="2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its shares on a recognized and regulated stock exchange, all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Option Grant, which will be locked-up for a period of 15 months from the date of change of control or listing, respectively, (the “Lock-up Period”) and will be released in three (3) equal instalments over a period of six (6) months following the expiration of such Lock-up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Award Grant shall be forfeited and cancelled if before the Vesting Date: (a) the Participant hands in a notice of resignation; (b) the Participant gives notice of termination of service; or (c) the Participant’s employment or service with the Company is terminated for any reason, unless otherwise determined by the Board in its sole and absolute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Details of the Awards granted during each of the period ended 30 September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 of share option</w:t>
            </w: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Fair value per</w:t>
            </w:r>
          </w:p>
        </w:tc>
      </w:tr>
      <w:tr>
        <w:trPr>
          <w:trHeight w:val="230"/>
        </w:trPr>
        <w:tc>
          <w:tcPr>
            <w:tcW w:w="3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award</w:t>
            </w: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option at</w:t>
            </w:r>
          </w:p>
        </w:tc>
      </w:tr>
      <w:tr>
        <w:trPr>
          <w:trHeight w:val="241"/>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1160" w:type="dxa"/>
            <w:vAlign w:val="bottom"/>
          </w:tcPr>
          <w:p>
            <w:pPr>
              <w:spacing w:after="0"/>
              <w:rPr>
                <w:sz w:val="20"/>
                <w:szCs w:val="20"/>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to vest</w:t>
            </w:r>
          </w:p>
        </w:tc>
        <w:tc>
          <w:tcPr>
            <w:tcW w:w="35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Vesting period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3380" w:type="dxa"/>
            <w:vAlign w:val="bottom"/>
            <w:tcBorders>
              <w:top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From</w:t>
            </w:r>
          </w:p>
        </w:tc>
        <w:tc>
          <w:tcPr>
            <w:tcW w:w="154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USD</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25-Apr-2022</w:t>
            </w:r>
          </w:p>
        </w:tc>
        <w:tc>
          <w:tcPr>
            <w:tcW w:w="1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25-Apr-2022</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31-Mar-2023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w:t>
            </w:r>
          </w:p>
        </w:tc>
      </w:tr>
      <w:tr>
        <w:trPr>
          <w:trHeight w:val="21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25-May-2022</w:t>
            </w:r>
          </w:p>
        </w:tc>
        <w:tc>
          <w:tcPr>
            <w:tcW w:w="116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25-May-2022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5-Nov-2023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w:t>
            </w:r>
          </w:p>
        </w:tc>
      </w:tr>
      <w:tr>
        <w:trPr>
          <w:trHeight w:val="216"/>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26-Sep-2022</w:t>
            </w:r>
          </w:p>
        </w:tc>
        <w:tc>
          <w:tcPr>
            <w:tcW w:w="1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26-Sep-2022</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25-Sep-2025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r>
      <w:tr>
        <w:trPr>
          <w:trHeight w:val="21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18-Oct-2022</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18-Oct-2022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1-Sep-2024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w:t>
            </w:r>
          </w:p>
        </w:tc>
      </w:tr>
      <w:tr>
        <w:trPr>
          <w:trHeight w:val="216"/>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23-Nov-2022</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23-Nov-2022</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1-Jul-2023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r>
      <w:tr>
        <w:trPr>
          <w:trHeight w:val="21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12-Jan-2023</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12-Jan-2023</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1-Jul-2023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3,646</w:t>
            </w:r>
          </w:p>
        </w:tc>
      </w:tr>
      <w:tr>
        <w:trPr>
          <w:trHeight w:val="216"/>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1-May-2023</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1-May-2023</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30-Apr-2026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3,543</w:t>
            </w:r>
          </w:p>
        </w:tc>
      </w:tr>
      <w:tr>
        <w:trPr>
          <w:trHeight w:val="21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8-Aug-2023</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8-Aug-2023</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8-Aug-2023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2,837</w:t>
            </w:r>
          </w:p>
        </w:tc>
      </w:tr>
      <w:tr>
        <w:trPr>
          <w:trHeight w:val="216"/>
        </w:trPr>
        <w:tc>
          <w:tcPr>
            <w:tcW w:w="3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1-Sep-2023</w:t>
            </w:r>
          </w:p>
        </w:tc>
        <w:tc>
          <w:tcPr>
            <w:tcW w:w="11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1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1-Sep-2023</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30-Apr-2026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2,666</w:t>
            </w:r>
          </w:p>
        </w:tc>
      </w:tr>
    </w:tbl>
    <w:p>
      <w:pPr>
        <w:spacing w:after="0" w:line="198" w:lineRule="exact"/>
        <w:rPr>
          <w:sz w:val="20"/>
          <w:szCs w:val="20"/>
          <w:color w:val="auto"/>
        </w:rPr>
      </w:pPr>
    </w:p>
    <w:p>
      <w:pPr>
        <w:ind w:left="660" w:hanging="652"/>
        <w:spacing w:after="0" w:line="28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values of the Awards as of 18 October 2022, 23 November 2022 and 1 January 2023 are determined using interpolation method between the fair values determined on 30 September 2022 and 31 March 2023.</w:t>
      </w:r>
    </w:p>
    <w:p>
      <w:pPr>
        <w:spacing w:after="0" w:line="162" w:lineRule="exact"/>
        <w:rPr>
          <w:sz w:val="20"/>
          <w:szCs w:val="20"/>
          <w:color w:val="auto"/>
        </w:rPr>
      </w:pPr>
    </w:p>
    <w:p>
      <w:pPr>
        <w:ind w:left="660" w:right="20" w:hanging="652"/>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values of the Awards as of 1 May 2023, 8 August 2023 and 1 September 2023 are determined using interpolation method between the fair values determined on 31 March 2023 and 30 September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unvested shares (based on number of the Company’s shares-in-issue at the end of each reporting period and movement of share option reserve: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Number of</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0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unvested shares</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Share option reserve</w:t>
            </w:r>
          </w:p>
        </w:tc>
      </w:tr>
      <w:tr>
        <w:trPr>
          <w:trHeight w:val="213"/>
        </w:trPr>
        <w:tc>
          <w:tcPr>
            <w:tcW w:w="40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USD</w:t>
            </w:r>
          </w:p>
        </w:tc>
        <w:tc>
          <w:tcPr>
            <w:tcW w:w="80" w:type="dxa"/>
            <w:vAlign w:val="bottom"/>
          </w:tcPr>
          <w:p>
            <w:pPr>
              <w:spacing w:after="0"/>
              <w:rPr>
                <w:sz w:val="18"/>
                <w:szCs w:val="18"/>
                <w:color w:val="auto"/>
              </w:rPr>
            </w:pPr>
          </w:p>
        </w:tc>
      </w:tr>
      <w:tr>
        <w:trPr>
          <w:trHeight w:val="205"/>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31</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2022</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1,404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499,808</w:t>
            </w:r>
          </w:p>
        </w:tc>
        <w:tc>
          <w:tcPr>
            <w:tcW w:w="80" w:type="dxa"/>
            <w:vAlign w:val="bottom"/>
            <w:shd w:val="clear" w:color="auto" w:fill="CCEEFF"/>
          </w:tcPr>
          <w:p>
            <w:pPr>
              <w:spacing w:after="0"/>
              <w:rPr>
                <w:sz w:val="17"/>
                <w:szCs w:val="17"/>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177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230,424</w:t>
            </w:r>
          </w:p>
        </w:tc>
        <w:tc>
          <w:tcPr>
            <w:tcW w:w="80" w:type="dxa"/>
            <w:vAlign w:val="bottom"/>
          </w:tcPr>
          <w:p>
            <w:pPr>
              <w:spacing w:after="0"/>
              <w:rPr>
                <w:sz w:val="19"/>
                <w:szCs w:val="19"/>
                <w:color w:val="auto"/>
              </w:rPr>
            </w:pPr>
          </w:p>
        </w:tc>
      </w:tr>
      <w:tr>
        <w:trPr>
          <w:trHeight w:val="213"/>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 30</w:t>
            </w:r>
          </w:p>
        </w:tc>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730,232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9"/>
        </w:trPr>
        <w:tc>
          <w:tcPr>
            <w:tcW w:w="40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31</w:t>
            </w: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2023</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1,545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1,084,270</w:t>
            </w:r>
          </w:p>
        </w:tc>
        <w:tc>
          <w:tcPr>
            <w:tcW w:w="80" w:type="dxa"/>
            <w:vAlign w:val="bottom"/>
            <w:shd w:val="clear" w:color="auto" w:fill="CCEEFF"/>
          </w:tcPr>
          <w:p>
            <w:pPr>
              <w:spacing w:after="0"/>
              <w:rPr>
                <w:sz w:val="17"/>
                <w:szCs w:val="17"/>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535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1,232,071</w:t>
            </w:r>
          </w:p>
        </w:tc>
        <w:tc>
          <w:tcPr>
            <w:tcW w:w="80" w:type="dxa"/>
            <w:vAlign w:val="bottom"/>
          </w:tcPr>
          <w:p>
            <w:pPr>
              <w:spacing w:after="0"/>
              <w:rPr>
                <w:sz w:val="19"/>
                <w:szCs w:val="19"/>
                <w:color w:val="auto"/>
              </w:rPr>
            </w:pPr>
          </w:p>
        </w:tc>
      </w:tr>
      <w:tr>
        <w:trPr>
          <w:trHeight w:val="213"/>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At 30</w:t>
            </w:r>
          </w:p>
        </w:tc>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2023</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2,316,341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Awards granted is estimated at the grant date using discounted cash flow (“DCF”), Backsolve model (“BM”) and equity allocation model (“EAM”). The following table lists the inputs to those models at respective grant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Lack of</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Lack of</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Terminal</w:t>
            </w: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marketability</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control</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Dates of fair value</w:t>
            </w:r>
          </w:p>
        </w:tc>
        <w:tc>
          <w:tcPr>
            <w:tcW w:w="200" w:type="dxa"/>
            <w:vAlign w:val="bottom"/>
          </w:tcPr>
          <w:p>
            <w:pPr>
              <w:spacing w:after="0"/>
              <w:rPr>
                <w:sz w:val="20"/>
                <w:szCs w:val="20"/>
                <w:color w:val="auto"/>
              </w:rPr>
            </w:pPr>
          </w:p>
        </w:tc>
        <w:tc>
          <w:tcPr>
            <w:tcW w:w="1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8"/>
              </w:rPr>
              <w:t>approach</w:t>
            </w:r>
          </w:p>
        </w:tc>
        <w:tc>
          <w:tcPr>
            <w:tcW w:w="20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growth rate</w:t>
            </w:r>
          </w:p>
        </w:tc>
        <w:tc>
          <w:tcPr>
            <w:tcW w:w="12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0" w:type="dxa"/>
            <w:vAlign w:val="bottom"/>
          </w:tcPr>
          <w:p>
            <w:pPr>
              <w:spacing w:after="0"/>
              <w:rPr>
                <w:sz w:val="1"/>
                <w:szCs w:val="1"/>
                <w:color w:val="auto"/>
              </w:rPr>
            </w:pPr>
          </w:p>
        </w:tc>
      </w:tr>
      <w:tr>
        <w:trPr>
          <w:trHeight w:val="27"/>
        </w:trPr>
        <w:tc>
          <w:tcPr>
            <w:tcW w:w="312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25-Apr-2022</w:t>
            </w:r>
          </w:p>
        </w:tc>
        <w:tc>
          <w:tcPr>
            <w:tcW w:w="200" w:type="dxa"/>
            <w:vAlign w:val="bottom"/>
            <w:vMerge w:val="continue"/>
          </w:tcPr>
          <w:p>
            <w:pPr>
              <w:spacing w:after="0"/>
              <w:rPr>
                <w:sz w:val="18"/>
                <w:szCs w:val="18"/>
                <w:color w:val="auto"/>
              </w:rPr>
            </w:pPr>
          </w:p>
        </w:tc>
        <w:tc>
          <w:tcPr>
            <w:tcW w:w="1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DCF &amp; EAM</w:t>
            </w:r>
          </w:p>
        </w:tc>
        <w:tc>
          <w:tcPr>
            <w:tcW w:w="200" w:type="dxa"/>
            <w:vAlign w:val="bottom"/>
            <w:vMerge w:val="continue"/>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continue"/>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25-May-2022</w:t>
            </w:r>
          </w:p>
        </w:tc>
        <w:tc>
          <w:tcPr>
            <w:tcW w:w="1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DCF &amp; EAM</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1-Sep-2022</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DCF &amp; EAM</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30-Sep-2022</w:t>
            </w:r>
          </w:p>
        </w:tc>
        <w:tc>
          <w:tcPr>
            <w:tcW w:w="1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DCF &amp; EAM</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31-Mar-2023</w:t>
            </w:r>
          </w:p>
        </w:tc>
        <w:tc>
          <w:tcPr>
            <w:tcW w:w="1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DCF &amp; EAM</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30-Sep-2023</w:t>
            </w:r>
          </w:p>
        </w:tc>
        <w:tc>
          <w:tcPr>
            <w:tcW w:w="1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DCF &amp; EAM</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equity value at 100% basis is determined using DCF method based on the estimates of cash flows as of the grant date discounted using an appropriate discount rate, having considered relevant risk factors.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24 RECONCILIATION OF LIABILITIES ARISING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unaudited interim condensed consolidated statement of cash flows as cash flows from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Amount</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due from</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Loan from</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immediate</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immediate</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Loan from</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Preferred</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Convertible</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holding</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holding</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 related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shares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loan notes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company</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company</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company</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4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11,619,000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11,619,506</w:t>
            </w: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600,000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3,900,000</w:t>
            </w: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(600,000)</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11,836</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4,844</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20,822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37,502</w:t>
            </w:r>
          </w:p>
        </w:tc>
        <w:tc>
          <w:tcPr>
            <w:tcW w:w="80" w:type="dxa"/>
            <w:vAlign w:val="bottom"/>
            <w:shd w:val="clear" w:color="auto" w:fill="CCEEFF"/>
          </w:tcPr>
          <w:p>
            <w:pPr>
              <w:spacing w:after="0"/>
              <w:rPr>
                <w:sz w:val="18"/>
                <w:szCs w:val="18"/>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884,000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834,000</w:t>
            </w:r>
          </w:p>
        </w:tc>
        <w:tc>
          <w:tcPr>
            <w:tcW w:w="80" w:type="dxa"/>
            <w:vAlign w:val="bottom"/>
          </w:tcPr>
          <w:p>
            <w:pPr>
              <w:spacing w:after="0"/>
              <w:rPr>
                <w:sz w:val="20"/>
                <w:szCs w:val="20"/>
                <w:color w:val="auto"/>
              </w:rPr>
            </w:pPr>
          </w:p>
        </w:tc>
      </w:tr>
      <w:tr>
        <w:trPr>
          <w:trHeight w:val="229"/>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30 September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12,503,000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1,304,844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1,020,822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15,791,008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2023</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13,460,000</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3,349,822</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506</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2,328,926</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1,060,712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20,199,966</w:t>
            </w: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200,000</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564,483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864,483</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34,579</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34,579</w:t>
            </w: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132,153</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100,671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40,110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272,934</w:t>
            </w:r>
          </w:p>
        </w:tc>
        <w:tc>
          <w:tcPr>
            <w:tcW w:w="80" w:type="dxa"/>
            <w:vAlign w:val="bottom"/>
            <w:shd w:val="clear" w:color="auto" w:fill="CCEEFF"/>
          </w:tcPr>
          <w:p>
            <w:pPr>
              <w:spacing w:after="0"/>
              <w:rPr>
                <w:sz w:val="18"/>
                <w:szCs w:val="18"/>
                <w:color w:val="auto"/>
              </w:rPr>
            </w:pPr>
          </w:p>
        </w:tc>
      </w:tr>
      <w:tr>
        <w:trPr>
          <w:trHeight w:val="23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(5,044,000)</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126,000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(4,918,000)</w:t>
            </w:r>
          </w:p>
        </w:tc>
      </w:tr>
      <w:tr>
        <w:trPr>
          <w:trHeight w:val="230"/>
        </w:trPr>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30 September 2023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3,707,975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235,085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2,994,080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1,100,822</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16,453,962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SUBSIDIARIES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Group’s subsidiaries on 30 September, 2023 are set out below. Unless otherwise stated, they have share capital consisting solely of ordinary shares that are held directly by the Group. The country of incorporation or registration is also their principal business place of business. Particulars of the subsidiaries as of 30 September, 2023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Percentage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Place of Incorporation and</w:t>
            </w: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Particulars of issued/registered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ownership</w:t>
            </w:r>
          </w:p>
        </w:tc>
      </w:tr>
      <w:tr>
        <w:trPr>
          <w:trHeight w:val="241"/>
        </w:trPr>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Name of entity</w:t>
            </w: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operation</w:t>
            </w: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Principal activities</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share capital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w:t>
            </w:r>
          </w:p>
        </w:tc>
      </w:tr>
      <w:tr>
        <w:trPr>
          <w:trHeight w:val="198"/>
        </w:trPr>
        <w:tc>
          <w:tcPr>
            <w:tcW w:w="204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Diginex USA, LLC</w:t>
            </w:r>
          </w:p>
        </w:tc>
        <w:tc>
          <w:tcPr>
            <w:tcW w:w="22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Provision of ESG reporting</w:t>
            </w:r>
          </w:p>
        </w:tc>
        <w:tc>
          <w:tcPr>
            <w:tcW w:w="2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 Class A Units of $10 each</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Direct 100%</w:t>
            </w:r>
          </w:p>
        </w:tc>
      </w:tr>
      <w:tr>
        <w:trPr>
          <w:trHeight w:val="234"/>
        </w:trPr>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198"/>
        </w:trPr>
        <w:tc>
          <w:tcPr>
            <w:tcW w:w="22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Diginex Services Limited</w:t>
            </w:r>
          </w:p>
        </w:tc>
        <w:tc>
          <w:tcPr>
            <w:tcW w:w="21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United Kingdom</w:t>
            </w:r>
          </w:p>
        </w:tc>
        <w:tc>
          <w:tcPr>
            <w:tcW w:w="248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Provision of ESG reporting</w:t>
            </w:r>
          </w:p>
        </w:tc>
        <w:tc>
          <w:tcPr>
            <w:tcW w:w="26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Ordinary shares of</w:t>
            </w:r>
          </w:p>
        </w:tc>
        <w:tc>
          <w:tcPr>
            <w:tcW w:w="1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Direct 100%</w:t>
            </w:r>
          </w:p>
        </w:tc>
      </w:t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pence each</w:t>
            </w:r>
          </w:p>
        </w:tc>
        <w:tc>
          <w:tcPr>
            <w:tcW w:w="1680" w:type="dxa"/>
            <w:vAlign w:val="bottom"/>
          </w:tcPr>
          <w:p>
            <w:pPr>
              <w:spacing w:after="0"/>
              <w:rPr>
                <w:sz w:val="20"/>
                <w:szCs w:val="20"/>
                <w:color w:val="auto"/>
              </w:rPr>
            </w:pPr>
          </w:p>
        </w:tc>
      </w:tr>
      <w:tr>
        <w:trPr>
          <w:trHeight w:val="439"/>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F-22</w:t>
            </w:r>
          </w:p>
        </w:tc>
        <w:tc>
          <w:tcPr>
            <w:tcW w:w="2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26 FINANCIAL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 Market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are minimized by the financial management policies and practices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26.1.2 Foreign currency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is formalizing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26.1.3 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 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exposure to credit risk arising from deposits in banks as well as trade receivables. Credit risk is managed on a Group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the Group’s maximum exposure to credit risk is the amount of the Group’s carrying value of the related financial assets and liabilities as of the end of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26.2.1 Deposits with bank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Group’s deposit with bank, the Group limits its exposure to credit risk by placing deposits with financial institution with high credit rating and no recent history of default. Given the high credit ratings of the banks, management does not expect any counterparty to fail to meet its obligations. Management will continue to monitor the position and will take appropriate action if their ratings are changed. As at 30 September 2023 and 31 March 2023, the Group had a concentration of deposits with one bank but does have additional banking relationships to mitigate any concentration risk.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Despite the Group having a banking relationship with Signature Bank, the collapse of the bank in March 2023 did not significantly affect the Group’s finances. This is due to the fact that the Group had a minimal bank balance held at Signature Bank.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26.3 Liquidity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26.3.1 Financing arrangement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30 September 2023, the Group’s current liabilities exceeded its current assets by $4,314,659 and the Group was in net liabilities of $17,381,563. Despite the need for the Group to raise additional capital and/or reduced expenses as necessary based on the future cash flow projections over the coming 12 months, as mentioned in note 2.1, management believe that the Group will be able to raise finances and management is able to control or reduce cash outflows by reducing cost base of the Group in order to meet its financial obligations as and when they fall due within the next twelve months from the end of the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26.3.2 Maturities of financial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Within</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 year</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 years</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30 September 2023</w:t>
            </w: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711,481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711,481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509,172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509,172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175,315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175,315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235,085</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235,085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2,994,080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2,994,080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126,503</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325,633</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452,136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company</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1,100,822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1,100,822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8,416,000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8,416,000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1,148,835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2,559,140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3,707,975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5,900,471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12,401,595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18,302,066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31 March 2023</w:t>
            </w:r>
          </w:p>
        </w:tc>
        <w:tc>
          <w:tcPr>
            <w:tcW w:w="1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187,584</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349,197</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335,666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335,666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506</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2,328,926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2,328,926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company</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1,060,712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1,060,712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3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13,460,000</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13,460,000</w:t>
            </w: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31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3,349,822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3,349,822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3,201,879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17,870,534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21,072,413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right"/>
              <w:ind w:right="1660"/>
              <w:spacing w:after="0"/>
              <w:rPr>
                <w:sz w:val="20"/>
                <w:szCs w:val="20"/>
                <w:color w:val="auto"/>
              </w:rPr>
            </w:pPr>
            <w:r>
              <w:rPr>
                <w:rFonts w:ascii="Times New Roman" w:cs="Times New Roman" w:eastAsia="Times New Roman" w:hAnsi="Times New Roman"/>
                <w:sz w:val="18"/>
                <w:szCs w:val="18"/>
                <w:color w:val="auto"/>
              </w:rPr>
              <w:t>F-24</w:t>
            </w: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26.4 Capital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the Group’s ability to continue as a going concern and to maximize the return to the shareholders through the optimization of the debt and equity balance.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periods ended 30 September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26.5 Fair values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26.5.1 Fair value hierarchy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explains the judgements and estimates made in determining the fair values of financial instruments in the unaudited interim condensed consolidated financial statements. To provide an indication about the reliability of the inputs used in determining fair value, the Group has classified its financial instruments and non-financial assets into the three levels prescribed under the accounting standards. An explanation of each level is set out in Note 3. There is no transfer between level 1, 2 or 3 during both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using level 3</w:t>
            </w:r>
          </w:p>
        </w:tc>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4200" w:type="dxa"/>
            <w:vAlign w:val="bottom"/>
            <w:vMerge w:val="continue"/>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 fair value</w:t>
            </w:r>
          </w:p>
        </w:tc>
        <w:tc>
          <w:tcPr>
            <w:tcW w:w="3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52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8,416,000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13,460,000</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52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3,495,000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4"/>
          </w:tcPr>
          <w:p>
            <w:pPr>
              <w:ind w:left="1260"/>
              <w:spacing w:after="0"/>
              <w:rPr>
                <w:sz w:val="20"/>
                <w:szCs w:val="20"/>
                <w:color w:val="auto"/>
              </w:rPr>
            </w:pPr>
            <w:r>
              <w:rPr>
                <w:rFonts w:ascii="Times New Roman" w:cs="Times New Roman" w:eastAsia="Times New Roman" w:hAnsi="Times New Roman"/>
                <w:sz w:val="18"/>
                <w:szCs w:val="18"/>
                <w:color w:val="auto"/>
              </w:rPr>
              <w:t>F-25</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26.5.2 Valuation techniques used to determine fair values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lists the valuation techniques and key inputs used by the Group to value its Level 3 financial instruments. There has been no change in valuation technique during the year ended 30 September 2023 and 31 March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 as at</w:t>
            </w:r>
          </w:p>
        </w:tc>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tc>
        <w:tc>
          <w:tcPr>
            <w:tcW w:w="1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Relationship of unobservable inputs to</w:t>
            </w:r>
          </w:p>
        </w:tc>
      </w:tr>
      <w:tr>
        <w:trPr>
          <w:trHeight w:val="245"/>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24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30 September 2023</w:t>
            </w:r>
          </w:p>
        </w:tc>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key inputs</w:t>
            </w:r>
          </w:p>
        </w:tc>
        <w:tc>
          <w:tcPr>
            <w:tcW w:w="18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and sensitivity</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1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198"/>
        </w:trPr>
        <w:tc>
          <w:tcPr>
            <w:tcW w:w="1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shares</w:t>
            </w:r>
          </w:p>
        </w:tc>
        <w:tc>
          <w:tcPr>
            <w:tcW w:w="218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$8,416,000</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Discounted cash flows</w:t>
            </w:r>
          </w:p>
        </w:tc>
        <w:tc>
          <w:tcPr>
            <w:tcW w:w="184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w w:val="98"/>
              </w:rPr>
              <w:t>Discount rate, revenue</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1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slight increase in the discount rate or</w:t>
            </w:r>
          </w:p>
        </w:tc>
      </w:tr>
      <w:tr>
        <w:trPr>
          <w:trHeight w:val="216"/>
        </w:trPr>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 March 2023:</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equity allocation</w:t>
            </w:r>
          </w:p>
        </w:tc>
        <w:tc>
          <w:tcPr>
            <w:tcW w:w="18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growth rate</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revenue growth rate used in</w:t>
            </w:r>
          </w:p>
        </w:tc>
      </w:tr>
      <w:tr>
        <w:trPr>
          <w:trHeight w:val="216"/>
        </w:trPr>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$13,460,000)</w:t>
            </w: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isolation would result in a decrease in the</w:t>
            </w:r>
          </w:p>
        </w:tc>
      </w:tr>
      <w:tr>
        <w:trPr>
          <w:trHeight w:val="234"/>
        </w:trPr>
        <w:tc>
          <w:tcPr>
            <w:tcW w:w="1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1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Convertible loan</w:t>
            </w:r>
          </w:p>
        </w:tc>
        <w:tc>
          <w:tcPr>
            <w:tcW w:w="218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$3,495,000</w:t>
            </w:r>
          </w:p>
        </w:tc>
        <w:tc>
          <w:tcPr>
            <w:tcW w:w="240" w:type="dxa"/>
            <w:vAlign w:val="bottom"/>
          </w:tcPr>
          <w:p>
            <w:pPr>
              <w:spacing w:after="0"/>
              <w:rPr>
                <w:sz w:val="17"/>
                <w:szCs w:val="17"/>
                <w:color w:val="auto"/>
              </w:rPr>
            </w:pPr>
          </w:p>
        </w:tc>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Binomial Model</w:t>
            </w:r>
          </w:p>
        </w:tc>
        <w:tc>
          <w:tcPr>
            <w:tcW w:w="184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A slight increase in the discount rate used</w:t>
            </w: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2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(31 March 2023:</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isolation would result in a decrease in</w:t>
            </w:r>
          </w:p>
        </w:tc>
      </w:tr>
      <w:tr>
        <w:trPr>
          <w:trHeight w:val="234"/>
        </w:trPr>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$3,269,000)</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fair value</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26.5.3 Reconciliation of Level 3 fair value measurements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At</w:t>
            </w:r>
          </w:p>
        </w:tc>
        <w:tc>
          <w:tcPr>
            <w:tcW w:w="122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w w:val="99"/>
              </w:rPr>
              <w:t>30 September 2023</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31 March 2023</w:t>
            </w:r>
          </w:p>
        </w:tc>
      </w:tr>
      <w:tr>
        <w:trPr>
          <w:trHeight w:val="216"/>
        </w:trPr>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gridSpan w:val="2"/>
          </w:tcPr>
          <w:p>
            <w:pPr>
              <w:spacing w:after="0"/>
              <w:rPr>
                <w:sz w:val="18"/>
                <w:szCs w:val="18"/>
                <w:color w:val="auto"/>
              </w:rPr>
            </w:pPr>
          </w:p>
        </w:tc>
      </w:tr>
      <w:tr>
        <w:trPr>
          <w:trHeight w:val="216"/>
        </w:trPr>
        <w:tc>
          <w:tcPr>
            <w:tcW w:w="4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At the beginning of the reporting period</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16,729,000</w:t>
            </w:r>
          </w:p>
        </w:tc>
        <w:tc>
          <w:tcPr>
            <w:tcW w:w="5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11,619,000</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5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(4,918,000)</w:t>
            </w:r>
          </w:p>
        </w:tc>
        <w:tc>
          <w:tcPr>
            <w:tcW w:w="5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1,860,000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7"/>
        </w:trPr>
        <w:tc>
          <w:tcPr>
            <w:tcW w:w="420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At the end of the reporting period</w:t>
            </w:r>
          </w:p>
        </w:tc>
        <w:tc>
          <w:tcPr>
            <w:tcW w:w="1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11,911,000</w:t>
            </w:r>
          </w:p>
        </w:tc>
        <w:tc>
          <w:tcPr>
            <w:tcW w:w="32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16,729,000</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26.5.4 Financial assets and financial liabilities measured at amortized cost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 September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7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5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141,459</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5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14,846</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5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74,185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26,989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related company</w:t>
            </w:r>
          </w:p>
        </w:tc>
        <w:tc>
          <w:tcPr>
            <w:tcW w:w="5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45,092</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41,532</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41,903</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1,183,176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317,485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1,541,627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711,481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5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452,136</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5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235,085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5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1,100,822</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5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2,994,080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2,328,926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5,493,604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3,582,809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3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color w:val="auto"/>
              </w:rPr>
              <w:t>F-26</w:t>
            </w: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27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IAS 10 “Events after the Reporting Period”, which establishes general standards of accounting for and disclosure of events that occur after the balance sheet date but before financial statements are issued, the Company has evaluated all events or transactions that occurred after the balance sheet date, up through the date the Company issued the financial statements.</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28 September 2023, the Company entered into a share subscription agreement with Rhino Ventures Limited. Pursuant to the share subscription agreement, Rhino Ventures Limited agreed to subscribe for and purchase and the Company agreed to issue, allot and sell 5,086 ordinary shares and 10,172 warrants of the Company to Rhino Ventures Limited with total consideration by cash of $8 million. Each warrant can purchase one ordinary share and are exercisable for a period of three years from the date they are issued and shall be exercisable at a valuation of $50 million. Up to the date of these unaudited interim condensed consolidated financial statements, the Company has received $5.3 million of the total subscription amount. The shares and warrants will be issued when the subscription is paid in full.</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5 October 2023, the Company issued 44 shares to an employee via the exercising of vesting employee share options.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30 December 2023, the Company and Rhino Ventures Limited extended the repayment terms of the loan agreement between both parties to 31 March 2024. Also refer to note 16.3.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25 January 2024, the Company signed an engagement letter with Chardan Capital Markets LLC (“Chardan”) to act as lead underwriter, financial advisor, sole bookrunner and investment banker with respect to U.S. investors in connection with the proposed initial public offering of the Company. The Company shall pay to Chardan an underwriting discount or spread of six percent (6.0%) (the “Gross Spread”) or the aggregate gross proceeds actually received from the issuance of Securities (the “Gross Proceeds”), it being understood that two and one-half percent (2.5%) shall be paid to Chardan with respect to any Shares (or other Securities) sold in the Offering to investors with whom the Company has prior relationship with (the “Excluded Investors”). The Gross Spread is subject to a minimum cash compensation of four hundred and fifty thousand ($450,000) dollars. Other expenses incurred by Chardan that the Company will reimburse Chardan for shall not exceed $300,000 in aggregate. In addition, the Company will sell to Chardan and/or their designees, at the time of Closing, for an aggregate of $100, an option (“Representatives’ Option”) to purchase two-and-one-half percent (2.5%) of the aggregate number of Securities issued in the Offering. The Representatives’ Option will be exercisable, in whole or in part, at a price at an exercise price of the Offering Price. The securities in the Representatives’ Option will be identical to the IPO Securities. There is a minimum cash compensation of $750,000 of which at the time of issuance of the interim condensed consolidated financial statements for the six months ended 30 September 2023 and 2022 the Company had paid $50,000.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80" w:type="dxa"/>
            <w:vAlign w:val="bottom"/>
            <w:gridSpan w:val="4"/>
          </w:tcPr>
          <w:p>
            <w:pPr>
              <w:jc w:val="center"/>
              <w:ind w:right="2560"/>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tc>
        <w:tc>
          <w:tcPr>
            <w:tcW w:w="84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80" w:type="dxa"/>
            <w:vAlign w:val="bottom"/>
            <w:gridSpan w:val="4"/>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84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31 MARCH 2023 AND 2022</w:t>
            </w:r>
          </w:p>
        </w:tc>
        <w:tc>
          <w:tcPr>
            <w:tcW w:w="84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40" w:type="dxa"/>
            <w:vAlign w:val="bottom"/>
          </w:tcPr>
          <w:p>
            <w:pPr>
              <w:spacing w:after="0"/>
              <w:rPr>
                <w:sz w:val="24"/>
                <w:szCs w:val="24"/>
                <w:color w:val="auto"/>
              </w:rPr>
            </w:pPr>
          </w:p>
        </w:tc>
      </w:tr>
      <w:tr>
        <w:trPr>
          <w:trHeight w:val="439"/>
        </w:trPr>
        <w:tc>
          <w:tcPr>
            <w:tcW w:w="104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and for the years ended 31 March 2023 and 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216"/>
        </w:trPr>
        <w:tc>
          <w:tcPr>
            <w:tcW w:w="2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176"/>
        </w:trPr>
        <w:tc>
          <w:tcPr>
            <w:tcW w:w="104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F-29</w:t>
            </w:r>
          </w:p>
        </w:tc>
      </w:tr>
      <w:tr>
        <w:trPr>
          <w:trHeight w:val="20"/>
        </w:trPr>
        <w:tc>
          <w:tcPr>
            <w:tcW w:w="28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Other Comprehensive Income</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F-30</w:t>
            </w: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Financial Position</w:t>
            </w:r>
          </w:p>
        </w:tc>
        <w:tc>
          <w:tcPr>
            <w:tcW w:w="7060" w:type="dxa"/>
            <w:vAlign w:val="bottom"/>
            <w:tcBorders>
              <w:bottom w:val="single" w:sz="8" w:color="CCEEFF"/>
            </w:tcBorders>
            <w:gridSpan w:val="6"/>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F-31</w:t>
            </w:r>
          </w:p>
        </w:tc>
      </w:tr>
      <w:tr>
        <w:trPr>
          <w:trHeight w:val="175"/>
        </w:trPr>
        <w:tc>
          <w:tcPr>
            <w:tcW w:w="10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F-32</w:t>
            </w:r>
          </w:p>
        </w:tc>
      </w:tr>
      <w:tr>
        <w:trPr>
          <w:trHeight w:val="21"/>
        </w:trPr>
        <w:tc>
          <w:tcPr>
            <w:tcW w:w="28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520" w:type="dxa"/>
            <w:vAlign w:val="bottom"/>
            <w:tcBorders>
              <w:bottom w:val="single" w:sz="8" w:color="CCEEFF"/>
            </w:tcBorders>
            <w:gridSpan w:val="7"/>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F-33</w:t>
            </w:r>
          </w:p>
        </w:tc>
      </w:tr>
      <w:tr>
        <w:trPr>
          <w:trHeight w:val="176"/>
        </w:trPr>
        <w:tc>
          <w:tcPr>
            <w:tcW w:w="1040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F-34-F-59</w:t>
            </w:r>
          </w:p>
        </w:tc>
      </w:tr>
      <w:tr>
        <w:trPr>
          <w:trHeight w:val="459"/>
        </w:trPr>
        <w:tc>
          <w:tcPr>
            <w:tcW w:w="28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center"/>
              <w:ind w:right="3360"/>
              <w:spacing w:after="0"/>
              <w:rPr>
                <w:sz w:val="20"/>
                <w:szCs w:val="20"/>
                <w:color w:val="auto"/>
              </w:rPr>
            </w:pPr>
            <w:r>
              <w:rPr>
                <w:rFonts w:ascii="Times New Roman" w:cs="Times New Roman" w:eastAsia="Times New Roman" w:hAnsi="Times New Roman"/>
                <w:sz w:val="18"/>
                <w:szCs w:val="18"/>
                <w:color w:val="auto"/>
                <w:w w:val="99"/>
              </w:rPr>
              <w:t>F-28</w:t>
            </w: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55" w:name="page156"/>
    <w:bookmarkEnd w:id="155"/>
    <w:p>
      <w:pPr>
        <w:ind w:left="2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Diginex Solutions (HK)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Diginex Solutions (HK) Limited (the “Company”), which comprise the consolidated statements of financial position as of March 31, 2023 and 2022, and the related consolidated statements of profit or loss and other comprehensive income or loss, changes in equity, and cash flows for the years then ended, and the related notes to the financial statements (collectively referred to as the “financial statements”)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Diginex Solutions (HK) Limited as of March 31, 2023 and 2022, and the results of its operations and its cash flows for the years then ended in accordance with International Financial Reporting Standards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2 to the financial statements, the Company has incurred net loss and experienced negative cash flows from operating activities in each of the years in the two-year period ended March 31, 2023 and has a working capital deficit as of March 31, 2023. The Company’s ability to continue as a going concern is dependent, in part, on receiving financial support from its founder, Chairman of the Board of Directors, and significant shareholder. Management’s evaluation of the events and conditions and management’s plans to mitigate these matters are also described in Note 2. Our opinion is not modified with respect to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PROFIT OR LOSS AND OTHER COMPREHENSIVE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31 March 2023 and 2022</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40" w:type="dxa"/>
            <w:vAlign w:val="bottom"/>
            <w:tcBorders>
              <w:bottom w:val="single" w:sz="8" w:color="CCEEFF"/>
            </w:tcBorders>
            <w:shd w:val="clear" w:color="auto" w:fill="CCEEFF"/>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Notes</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6</w:t>
            </w:r>
          </w:p>
        </w:tc>
      </w:t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gains or (losses)</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7</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 net</w:t>
            </w:r>
          </w:p>
        </w:tc>
        <w:tc>
          <w:tcPr>
            <w:tcW w:w="14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88"/>
              </w:rPr>
              <w:t>8</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Exchange gain (loss) on translation of foreign operations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ORDINARY EQUITY HOLDERS OF THE COMPANY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-1002665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Year ended</w:t>
      </w:r>
    </w:p>
    <w:p>
      <w:pPr>
        <w:spacing w:after="0" w:line="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31 March 2023</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17145</wp:posOffset>
            </wp:positionV>
            <wp:extent cx="355727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57270" cy="14541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1,625,763</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(8,900,491)</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(7,274,728)</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(1,762,410)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(220,460)</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(9,257,598)</w:t>
      </w:r>
    </w:p>
    <w:p>
      <w:pPr>
        <w:spacing w:after="0" w:line="200" w:lineRule="exact"/>
        <w:rPr>
          <w:sz w:val="20"/>
          <w:szCs w:val="20"/>
          <w:color w:val="auto"/>
        </w:rPr>
      </w:pPr>
    </w:p>
    <w:p>
      <w:pPr>
        <w:spacing w:after="0" w:line="2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1,680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(9,255,918)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31750</wp:posOffset>
            </wp:positionV>
            <wp:extent cx="10629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(799.31)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Year ended</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31 March 2022</w:t>
      </w:r>
    </w:p>
    <w:p>
      <w:pPr>
        <w:spacing w:after="0" w:line="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1,120,083</w:t>
      </w:r>
    </w:p>
    <w:p>
      <w:pPr>
        <w:spacing w:after="0" w:line="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(8,477,118)</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(7,357,035)</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(5,609,825)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(12,966,860)</w:t>
      </w:r>
    </w:p>
    <w:p>
      <w:pPr>
        <w:spacing w:after="0" w:line="200" w:lineRule="exact"/>
        <w:rPr>
          <w:sz w:val="20"/>
          <w:szCs w:val="20"/>
          <w:color w:val="auto"/>
        </w:rPr>
      </w:pPr>
    </w:p>
    <w:p>
      <w:pPr>
        <w:spacing w:after="0" w:line="2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4,323</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(12,962,537)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31750</wp:posOffset>
            </wp:positionV>
            <wp:extent cx="10629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(1,182.89)</w:t>
      </w:r>
    </w:p>
    <w:p>
      <w:pPr>
        <w:spacing w:after="0" w:line="54" w:lineRule="exact"/>
        <w:rPr>
          <w:sz w:val="20"/>
          <w:szCs w:val="20"/>
          <w:color w:val="auto"/>
        </w:rPr>
      </w:pPr>
    </w:p>
    <w:p>
      <w:pPr>
        <w:sectPr>
          <w:pgSz w:w="11900" w:h="16838" w:orient="portrait"/>
          <w:cols w:equalWidth="0" w:num="3">
            <w:col w:w="7120" w:space="620"/>
            <w:col w:w="1460" w:space="540"/>
            <w:col w:w="150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0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4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4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(799.31)</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(1,182.89)</w:t>
            </w:r>
          </w:p>
        </w:tc>
      </w:tr>
      <w:tr>
        <w:trPr>
          <w:trHeight w:val="20"/>
        </w:trPr>
        <w:tc>
          <w:tcPr>
            <w:tcW w:w="4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31 March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At</w:t>
            </w:r>
          </w:p>
        </w:tc>
        <w:tc>
          <w:tcPr>
            <w:tcW w:w="1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5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 March 2023</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center"/>
              <w:ind w:right="340"/>
              <w:spacing w:after="0" w:line="202" w:lineRule="exact"/>
              <w:rPr>
                <w:sz w:val="20"/>
                <w:szCs w:val="20"/>
                <w:color w:val="auto"/>
              </w:rPr>
            </w:pPr>
            <w:r>
              <w:rPr>
                <w:rFonts w:ascii="Times New Roman" w:cs="Times New Roman" w:eastAsia="Times New Roman" w:hAnsi="Times New Roman"/>
                <w:sz w:val="18"/>
                <w:szCs w:val="18"/>
                <w:color w:val="auto"/>
                <w:w w:val="99"/>
              </w:rPr>
              <w:t>Notes</w:t>
            </w:r>
          </w:p>
        </w:tc>
        <w:tc>
          <w:tcPr>
            <w:tcW w:w="16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USD</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vMerge w:val="continue"/>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11</w:t>
            </w:r>
          </w:p>
        </w:tc>
        <w:tc>
          <w:tcPr>
            <w:tcW w:w="34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3,696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12</w:t>
            </w:r>
          </w:p>
        </w:tc>
        <w:tc>
          <w:tcPr>
            <w:tcW w:w="3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289,788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12</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26,989</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12</w:t>
            </w:r>
          </w:p>
        </w:tc>
        <w:tc>
          <w:tcPr>
            <w:tcW w:w="3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43,392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 related company</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15</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41,532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1,183,176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1,274,494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1,584,877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1,785,563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13</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(187,584)</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(376,764)</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13</w:t>
            </w:r>
          </w:p>
        </w:tc>
        <w:tc>
          <w:tcPr>
            <w:tcW w:w="3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(349,197)</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(289,669)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14</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(335,666)</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(316,711)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Due to immediate holding company</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15</w:t>
            </w:r>
          </w:p>
        </w:tc>
        <w:tc>
          <w:tcPr>
            <w:tcW w:w="3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(506)</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15</w:t>
            </w:r>
          </w:p>
        </w:tc>
        <w:tc>
          <w:tcPr>
            <w:tcW w:w="3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(2,328,926)</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(3,201,879)</w:t>
            </w:r>
          </w:p>
        </w:tc>
        <w:tc>
          <w:tcPr>
            <w:tcW w:w="3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(983,650)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15</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(1,060,712)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16</w:t>
            </w:r>
          </w:p>
        </w:tc>
        <w:tc>
          <w:tcPr>
            <w:tcW w:w="340" w:type="dxa"/>
            <w:vAlign w:val="bottom"/>
          </w:tcPr>
          <w:p>
            <w:pPr>
              <w:spacing w:after="0"/>
              <w:rPr>
                <w:sz w:val="18"/>
                <w:szCs w:val="18"/>
                <w:color w:val="auto"/>
              </w:rPr>
            </w:pPr>
          </w:p>
        </w:tc>
        <w:tc>
          <w:tcPr>
            <w:tcW w:w="20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(13,460,000)</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(11,619,000)</w:t>
            </w:r>
          </w:p>
        </w:tc>
        <w:tc>
          <w:tcPr>
            <w:tcW w:w="0" w:type="dxa"/>
            <w:vAlign w:val="bottom"/>
          </w:tcPr>
          <w:p>
            <w:pPr>
              <w:spacing w:after="0"/>
              <w:rPr>
                <w:sz w:val="1"/>
                <w:szCs w:val="1"/>
                <w:color w:val="auto"/>
              </w:rPr>
            </w:pPr>
          </w:p>
        </w:tc>
      </w:tr>
      <w:tr>
        <w:trPr>
          <w:trHeight w:val="24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17</w:t>
            </w:r>
          </w:p>
        </w:tc>
        <w:tc>
          <w:tcPr>
            <w:tcW w:w="3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(3,349,822)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(17,870,534</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(11,619,000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 (liabilities)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(1,617,002</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liabilities</w:t>
            </w: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(19,483,840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(10,812,384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(DEFICIT)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18</w:t>
            </w:r>
          </w:p>
        </w:tc>
        <w:tc>
          <w:tcPr>
            <w:tcW w:w="3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3,725,301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reserve</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19</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6,003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Share option reserve</w:t>
            </w:r>
          </w:p>
        </w:tc>
        <w:tc>
          <w:tcPr>
            <w:tcW w:w="14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19</w:t>
            </w:r>
          </w:p>
        </w:tc>
        <w:tc>
          <w:tcPr>
            <w:tcW w:w="340" w:type="dxa"/>
            <w:vAlign w:val="bottom"/>
          </w:tcPr>
          <w:p>
            <w:pPr>
              <w:spacing w:after="0"/>
              <w:rPr>
                <w:sz w:val="18"/>
                <w:szCs w:val="18"/>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1,084,270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4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19</w:t>
            </w:r>
          </w:p>
        </w:tc>
        <w:tc>
          <w:tcPr>
            <w:tcW w:w="3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(24,299,414)</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(15,041,816)</w:t>
            </w:r>
          </w:p>
        </w:tc>
        <w:tc>
          <w:tcPr>
            <w:tcW w:w="0" w:type="dxa"/>
            <w:vAlign w:val="bottom"/>
          </w:tcPr>
          <w:p>
            <w:pPr>
              <w:spacing w:after="0"/>
              <w:rPr>
                <w:sz w:val="1"/>
                <w:szCs w:val="1"/>
                <w:color w:val="auto"/>
              </w:rPr>
            </w:pPr>
          </w:p>
        </w:tc>
      </w:tr>
      <w:tr>
        <w:trPr>
          <w:trHeight w:val="216"/>
        </w:trPr>
        <w:tc>
          <w:tcPr>
            <w:tcW w:w="5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(deficit)</w:t>
            </w:r>
          </w:p>
        </w:tc>
        <w:tc>
          <w:tcPr>
            <w:tcW w:w="3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(19,483,840</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(10,812,384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financial position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31 March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5"/>
        </w:trPr>
        <w:tc>
          <w:tcPr>
            <w:tcW w:w="3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color w:val="auto"/>
              </w:rPr>
              <w:t>Share Capital</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Exchange</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option</w:t>
            </w:r>
          </w:p>
        </w:tc>
        <w:tc>
          <w:tcPr>
            <w:tcW w:w="13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Accumulated</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7"/>
        </w:trPr>
        <w:tc>
          <w:tcPr>
            <w:tcW w:w="36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w:t>
            </w:r>
          </w:p>
        </w:tc>
        <w:tc>
          <w:tcPr>
            <w:tcW w:w="9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3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reserve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reserve</w:t>
            </w:r>
          </w:p>
        </w:tc>
        <w:tc>
          <w:tcPr>
            <w:tcW w:w="134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losses</w:t>
            </w: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36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1 April 2021</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1,282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97,834</w:t>
            </w:r>
          </w:p>
        </w:tc>
        <w:tc>
          <w:tcPr>
            <w:tcW w:w="13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(2,074,956)</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(1,975,840)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(12,966,860)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(12,966,860)</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gain on translation of foreign</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80" w:type="dxa"/>
            <w:vAlign w:val="bottom"/>
            <w:shd w:val="clear" w:color="auto" w:fill="CCEEFF"/>
          </w:tcPr>
          <w:p>
            <w:pPr>
              <w:spacing w:after="0"/>
              <w:rPr>
                <w:sz w:val="23"/>
                <w:szCs w:val="23"/>
                <w:color w:val="auto"/>
              </w:rPr>
            </w:pPr>
          </w:p>
        </w:tc>
      </w:tr>
      <w:tr>
        <w:trPr>
          <w:trHeight w:val="203"/>
        </w:trPr>
        <w:tc>
          <w:tcPr>
            <w:tcW w:w="3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comprehensive loss for the year</w:t>
            </w:r>
          </w:p>
        </w:tc>
        <w:tc>
          <w:tcPr>
            <w:tcW w:w="6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4,323</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(12,966,860)</w:t>
            </w: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(12,962,537)</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401,974</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401,974</w:t>
            </w:r>
          </w:p>
        </w:tc>
        <w:tc>
          <w:tcPr>
            <w:tcW w:w="80" w:type="dxa"/>
            <w:vAlign w:val="bottom"/>
            <w:shd w:val="clear" w:color="auto" w:fill="CCEEFF"/>
          </w:tcPr>
          <w:p>
            <w:pPr>
              <w:spacing w:after="0"/>
              <w:rPr>
                <w:sz w:val="18"/>
                <w:szCs w:val="18"/>
                <w:color w:val="auto"/>
              </w:rPr>
            </w:pPr>
          </w:p>
        </w:tc>
      </w:tr>
      <w:tr>
        <w:trPr>
          <w:trHeight w:val="23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Allotment of shares</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1,582</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3,724,019</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3,724,019</w:t>
            </w:r>
          </w:p>
        </w:tc>
        <w:tc>
          <w:tcPr>
            <w:tcW w:w="80" w:type="dxa"/>
            <w:vAlign w:val="bottom"/>
          </w:tcPr>
          <w:p>
            <w:pPr>
              <w:spacing w:after="0"/>
              <w:rPr>
                <w:sz w:val="20"/>
                <w:szCs w:val="20"/>
                <w:color w:val="auto"/>
              </w:rPr>
            </w:pP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31 March 2022</w:t>
            </w: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11,582</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3,725,301</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4,323</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499,808</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(15,041,816)</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(10,812,384)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(9,257,598)</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(9,257,598)</w:t>
            </w: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gain on translation of foreign</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6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1,680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23"/>
                <w:szCs w:val="23"/>
                <w:color w:val="auto"/>
              </w:rPr>
            </w:pPr>
          </w:p>
        </w:tc>
      </w:tr>
      <w:tr>
        <w:trPr>
          <w:trHeight w:val="203"/>
        </w:trPr>
        <w:tc>
          <w:tcPr>
            <w:tcW w:w="36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comprehensive loss for the year</w:t>
            </w:r>
          </w:p>
        </w:tc>
        <w:tc>
          <w:tcPr>
            <w:tcW w:w="6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1,680</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(9,257,598)</w:t>
            </w:r>
          </w:p>
        </w:tc>
        <w:tc>
          <w:tcPr>
            <w:tcW w:w="30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(9,255,918)</w:t>
            </w:r>
          </w:p>
        </w:tc>
        <w:tc>
          <w:tcPr>
            <w:tcW w:w="100" w:type="dxa"/>
            <w:vAlign w:val="bottom"/>
            <w:tcBorders>
              <w:top w:val="single" w:sz="8" w:color="CCEEFF"/>
            </w:tcBorders>
            <w:gridSpan w:val="2"/>
          </w:tcPr>
          <w:p>
            <w:pPr>
              <w:spacing w:after="0"/>
              <w:rPr>
                <w:sz w:val="17"/>
                <w:szCs w:val="17"/>
                <w:color w:val="auto"/>
              </w:rPr>
            </w:pPr>
          </w:p>
        </w:tc>
      </w:tr>
      <w:tr>
        <w:trPr>
          <w:trHeight w:val="24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584,462</w:t>
            </w:r>
          </w:p>
        </w:tc>
        <w:tc>
          <w:tcPr>
            <w:tcW w:w="134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584,462</w:t>
            </w:r>
          </w:p>
        </w:tc>
        <w:tc>
          <w:tcPr>
            <w:tcW w:w="80" w:type="dxa"/>
            <w:vAlign w:val="bottom"/>
            <w:shd w:val="clear" w:color="auto" w:fill="CCEEFF"/>
          </w:tcPr>
          <w:p>
            <w:pPr>
              <w:spacing w:after="0"/>
              <w:rPr>
                <w:sz w:val="21"/>
                <w:szCs w:val="21"/>
                <w:color w:val="auto"/>
              </w:rPr>
            </w:pPr>
          </w:p>
        </w:tc>
      </w:tr>
      <w:tr>
        <w:trPr>
          <w:trHeight w:val="217"/>
        </w:trPr>
        <w:tc>
          <w:tcPr>
            <w:tcW w:w="3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31 March 2023</w:t>
            </w: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11,582</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3,725,301</w:t>
            </w:r>
          </w:p>
        </w:tc>
        <w:tc>
          <w:tcPr>
            <w:tcW w:w="3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6,003</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1,084,270</w:t>
            </w:r>
          </w:p>
        </w:tc>
        <w:tc>
          <w:tcPr>
            <w:tcW w:w="28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(24,299,414</w:t>
            </w:r>
          </w:p>
        </w:tc>
        <w:tc>
          <w:tcPr>
            <w:tcW w:w="300" w:type="dxa"/>
            <w:vAlign w:val="bottom"/>
            <w:tcBorders>
              <w:top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(19,483,840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changes in equity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31 March 2023 and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0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Year ended</w:t>
            </w:r>
          </w:p>
        </w:tc>
        <w:tc>
          <w:tcPr>
            <w:tcW w:w="17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7440" w:type="dxa"/>
            <w:vAlign w:val="bottom"/>
          </w:tcPr>
          <w:p>
            <w:pPr>
              <w:spacing w:after="0"/>
              <w:rPr>
                <w:sz w:val="20"/>
                <w:szCs w:val="20"/>
                <w:color w:val="auto"/>
              </w:rPr>
            </w:pPr>
          </w:p>
        </w:tc>
        <w:tc>
          <w:tcPr>
            <w:tcW w:w="20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31 March 2023</w:t>
            </w:r>
          </w:p>
        </w:tc>
        <w:tc>
          <w:tcPr>
            <w:tcW w:w="1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744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(9,257,598)</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(12,966,860)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 plant and equipment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1,007</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recognized in respect of trade receivables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5,032</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220,460</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 awards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587,821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402,188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Bad debt written off</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14,752</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loss of convertible loan notes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 loss of preferred shares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1,841,000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5,619,000</w:t>
            </w:r>
          </w:p>
        </w:tc>
        <w:tc>
          <w:tcPr>
            <w:tcW w:w="80" w:type="dxa"/>
            <w:vAlign w:val="bottom"/>
          </w:tcPr>
          <w:p>
            <w:pPr>
              <w:spacing w:after="0"/>
              <w:rPr>
                <w:sz w:val="20"/>
                <w:szCs w:val="20"/>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before movements in working capital</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(6,568,526)</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(6,945,337)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working capital:</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(43,726)</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(72,328)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deposit, and prepayment</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132,684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(115,945)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42,158</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(19,301)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 related company</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(41,532)</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16,739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(131,331)</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348,058</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18,955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316,711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(6,591,318)</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(6,471,403)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office equipment</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(5,038)</w:t>
            </w: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(5,038)</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allotment of ordinary shares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3,724,019</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preferred shares</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loan notes</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3,250,000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immediate holding company</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2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2,250,000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Repayment to immediate holding company</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(2,649,304)</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7,454,715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(91,318)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978,274</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1,274,494</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296,220</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1,183,176</w:t>
            </w:r>
          </w:p>
        </w:tc>
        <w:tc>
          <w:tcPr>
            <w:tcW w:w="320" w:type="dxa"/>
            <w:vAlign w:val="bottom"/>
            <w:tcBorders>
              <w:top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1,274,494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31 March 2023 and 2022 there were no non-cash investing and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consolidated statement of cash flows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0" w:name="page161"/>
    <w:bookmarkEnd w:id="160"/>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DIGINEX SOLUTIONS (HK)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31 March 2023 and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COMPANY ORGANIZATION AND PRINCIPAL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Diginex Solutions (HK) Limited (the “Company”) is a company incorporated in Hong Kong on 8 January 2018 and has its registered office and principal place of business at Smart-Space Fintech 2, Room 3, Units 401-404, Core C, Cyberport 3, 3 Cyberport Road, Telegraph Bay, Hong Kong. The substantial shareholder, Rhino Ventures Limited (“Rhino Ventures”) which a limited company incorporated in the British Virgin Islands, is regarded as the immediate and ultimate holding company of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activities of the Company and its subsidiaries (collectively, the “Group”) are the provision of Environmental, Social and Governance (“ESG”) reporting solution services, advisory services and developing customization 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are presented in US dollars (“USD”), which is the same as the functional currency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for years ended 31 March 2023 and 31 March 2022 were authorized for issue by the Board of Directors on 8 February, 2024. The Company’s board of directors has the power to amend the consolidated financial statements after issue.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Summary of significant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incurred the following transactions that significantly affect the financial position and performance of the Group:</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2023, the Company issued a convertible loan note instrument to create unsecured convertible loan notes of up to USD10,000,000 in aggregate, bears fixed interest rate of 8% per annum. As of 31 March 2023, notes with face values of USD3,250,000 (2022: Nil) in aggregate were issued. (Note 17)</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31 March 2022, the Company allotted 3,000 Series A Preferred Shares to a new shareholder for a consideration of USD6,000,000. (Note 16)</w:t>
      </w:r>
    </w:p>
    <w:p>
      <w:pPr>
        <w:ind w:left="660" w:hanging="328"/>
        <w:spacing w:after="0" w:line="26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 31 March 2022, the Company allotted 1,582 ordinary shares to new shareholders for aggregate considerations of $3,724,019 to increase the working capital of the Group. (Note 18)</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for the two years ended 31 March 2023 and 2022 (the “Track Record Period”) have been prepared in accordance with the International Financial Reporting Standards (“IFRSs”) issued by the International Accounting Standards Board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Going concern basis of accounting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which assumes that the Group will be able to meet its financial obligations, working capital requirements and capital expenditures as and when they fall due. Future cash flow projections have been analyzed to establish the cash requirements over the coming 12 months which highlight a need for the Group to raise additional capital and/or reduced expenses as necessary.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incorporation of the Company, the Group has incurred losses but has been able to fund itself via raising funds from investors, issuance of debt instruments and funding by way of shareholders’ loans. In February 2024, the Group anticipates concluding an $8.0 million capital raise, of which $5.3 million has been received to date. The Group also has convertible loan notes and preferred shares, classified as liabilities on the consolidated statement of financial position, which will be mandatorily converted into equity upon the Form F-1 being declared effective. The founder has provided assurances that Rhino Ventures Limited, a company controlled by the founder, will continue to support the Company via the shareholder loans for the earlier of the next 12 months from the date of these consolidated financial statements were issued or the Form F-1 being declared effective. In addition to the above options to raise capital, management also has the ability to control or reduce cash outflows by reducing the cost base of the Group.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Taking into account the ability for the Group to raise finances and management’s ability to control costs, management has alleviated the doubt about the Group’s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Application of new and amendments to IFRSs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preparing the consolidated financial statements for the Track Record Period, the Group has consistently applied the accounting policies which conform with IFRSs, which includes IFRSs, International Accounting Standards (“IAS”) and Interpretations (“IFRIC – Int”) issued by the IASB that are effective for the accounting period beginning on 1 April 2021, throughout the Track Record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New and amendments to IFRSs in issued but not yet effective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not early applied the following new and amendments to IFRSs that have been issued but are not yet effective:</w:t>
      </w:r>
    </w:p>
    <w:p>
      <w:pPr>
        <w:spacing w:after="0" w:line="225"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17: “Insurance Contracts” (effective for annual periods beginning on or after 1 January 2023)</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10 and IAS 28: “Sale or Contribution of Assets between an Investor and its Associate or Joint Venture” (effective for annual periods beginning on or after a date to be determined)</w:t>
      </w: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IFRS 16: “Lease Liability in a Sale and Leaseback” (effective for annual periods beginning on or after 1 January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“Classification of Liabilities as Current or Non-current” (effective for fiscal periods beginning on or after 1 January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“Non-current Liabilities with Covenants” (effective for fiscal periods beginning on or after 1 January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and IFRS Practice Statement 2: “Disclosure of Accounting Policies” (effective for fiscal periods beginning on or after 1 January 2023)</w:t>
      </w: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8: “Definition of Accounting Estimates” (effective for fiscal periods beginning on or after 1 January 2023)</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12: “Deferred Tax related to Assets and Liabilities arising from a Single Transaction” (effective for fiscal periods beginning on or after 1 January 2023)</w:t>
      </w:r>
    </w:p>
    <w:p>
      <w:pPr>
        <w:sectPr>
          <w:pgSz w:w="11900" w:h="16881" w:orient="portrait"/>
          <w:cols w:equalWidth="0" w:num="1">
            <w:col w:w="11240"/>
          </w:cols>
          <w:pgMar w:left="320" w:top="657" w:right="339" w:bottom="0" w:gutter="0" w:footer="0" w:header="0"/>
        </w:sectPr>
      </w:pPr>
    </w:p>
    <w:bookmarkStart w:id="161" w:name="page162"/>
    <w:bookmarkEnd w:id="161"/>
    <w:p>
      <w:pPr>
        <w:spacing w:after="0" w:line="282" w:lineRule="auto"/>
        <w:rPr>
          <w:sz w:val="20"/>
          <w:szCs w:val="20"/>
          <w:color w:val="auto"/>
        </w:rPr>
      </w:pPr>
      <w:r>
        <w:rPr>
          <w:rFonts w:ascii="Times New Roman" w:cs="Times New Roman" w:eastAsia="Times New Roman" w:hAnsi="Times New Roman"/>
          <w:sz w:val="18"/>
          <w:szCs w:val="18"/>
          <w:color w:val="auto"/>
        </w:rPr>
        <w:t>Management anticipates that the application of all the new and amendments to IFRSs will have no material impact on the Group’s consolidated financial statements in the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3 SIGNIFICANT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historical cost basis except for certain financial instruments that are measured at fair values at the end of each reporting period, as explained in the accounting policies set out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cost is generally based on the fair value of the consideration given in exchange for goods and services.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Share-based Payment.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 where the highest level of inputs available are used in the valuation.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62" w:lineRule="exact"/>
        <w:rPr>
          <w:sz w:val="20"/>
          <w:szCs w:val="20"/>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 that the entity can access at the measurement date;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 directly or indirectly; and</w:t>
      </w:r>
    </w:p>
    <w:p>
      <w:pPr>
        <w:spacing w:after="0" w:line="263"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the Company and entities controlled by the Company. Control is achieved when the Company:</w:t>
      </w:r>
    </w:p>
    <w:p>
      <w:pPr>
        <w:spacing w:after="0" w:line="162"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reassesses whether or not it controls an investee if facts and circumstances indicate that there are changes to one or more of the three elements of control listed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Consolidation of a subsidiary begins when the Group obtains control over the subsidiary and ceases when the Group loses control of the subsidiary. Specifically, income and expenses of a subsidiary acquired or disposed of during the year are included in the consolidated statement of profit or loss and other comprehensive income from the date the Group gains control until the date when the Group ceases to control the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Profit or loss and each item of other comprehensive income are attributed to the ordinary equity holders of the Company and to the non-controlling interests. Total comprehensive income or loss of subsidiaries is attributed to the ordinary equity holders of the Company and to the non-controlling interests even if this results in the non-controlling interests having a deficit balance.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necessary, adjustments are made to the financial statements of subsidiaries to bring their accounting policies in line with the Group’s accounting policies.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are eliminated in full on consolidation.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(or as) a performance obligation is satisfied, i.e. when “control” of the services underlying the particular performance obligation is transferred to the customer. A performance obligation represents a service (or a bundle of goods or services) that is distinct or a series of distinct services that are substantially the same.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granting of a license that is distinct from other promised services, control is transferred over time and revenue is recognized over time by reference to the progress towards complete satisfaction of the relevant performance obligation if one of the following criteria is met:</w:t>
      </w:r>
    </w:p>
    <w:p>
      <w:pPr>
        <w:spacing w:after="0" w:line="162"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simultaneously receives and consumes the benefits provided by the Group’s performance as the Group performs;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performance creates or enhances an asset that the customer controls as the Group performs; or</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performance does not create an asset with an alternative use to the Group and the Group has an enforceable right to payment for performance completed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revenue is recognized at a point in time when the customer obtains control of the distinct service.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granting of a license that is distinct from other promised services, the nature of the Group’s promise in granting a license is a promise to provide a right to access the Group’s intellectual property if all of the following criteria are met:</w:t>
      </w:r>
    </w:p>
    <w:p>
      <w:pPr>
        <w:spacing w:after="0" w:line="162" w:lineRule="exact"/>
        <w:rPr>
          <w:sz w:val="20"/>
          <w:szCs w:val="20"/>
          <w:color w:val="auto"/>
        </w:rPr>
      </w:pPr>
    </w:p>
    <w:p>
      <w:pPr>
        <w:ind w:left="340" w:hanging="332"/>
        <w:spacing w:after="0" w:line="261"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requires, or the customer reasonably expects, that the Group will undertake activities that significantly affect the intellectual property to which the customer has rights;</w:t>
      </w: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the license directly expose the customer to any positive or negative effects of the Group’s activities;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activities do not result in the transfer of a good or a service to the customer as those activities occur.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criteria above are met, the Group accounts for the promise to grant a license as a performance obligation satisfied over time. Otherwise, the Group considers the grant of license as providing the customers the right to use the Group’s intellectual property and the performance obligation is satisfied at a point in time at which the license is granted.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contract asset represents the Group’s right to consideration in exchange for goods or services that the Group has transferred to a customer that is not yet unconditional. It is assessed for impairment in accordance with IFRS 9. In contrast, a receivable represents the Group’s unconditional right to consideration, i.e. only the passage of time is required before payment of that consideration is due.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contract liability represents the Group’s obligation to transfer services to a customer for which the Group has received consideration (or an amount of consideration is due) from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contract asset and a contract liability relating to the same contract are accounted for and presented on a net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Input method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progress towards complete satisfaction of a performance obligation is measured based on input method, which is to recognize revenue on the basis of the Group’s efforts or inputs to the satisfaction of a performance obligation relative to the total expected inputs to the satisfaction of that performance obligation, that best depict the Group’s performance in transferring control of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expenditure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 on research activities is recognized as an expense in the period in which it is incurred.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internally-generated intangible asset arising from development activities (or from the development phase of an internal project) is recognized if, and only if, all of the following have been demonstrated:</w:t>
      </w:r>
    </w:p>
    <w:p>
      <w:pPr>
        <w:spacing w:after="0" w:line="162"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technical feasibility of completing the intangible asset so that it will be available for use or sale;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to complete the intangible asset and use or sell it;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use or sell the intangible asset;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4" w:name="page165"/>
    <w:bookmarkEnd w:id="164"/>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intangible asset will generate probable future economic benefits;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technical, financial and other resources to complete the development and to use or sell the intangible asset;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measure reliably the expenditure attributable to the intangible asset during its development.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initially recognized for internally-generated intangible asset is the sum of the expenditure incurred from the date when the intangible asset first meets the recognition criteria listed above. Where no internally-generated intangible asset can be recognized, development expenditure is recognized in profit or loss in the period in which it is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31 March 2023 and 2022, no research and development expenditure is recognized as an internally generated intangible asset.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preparing the financial statements of each individual group entity, transactions in currencies other than the functional currency of that entity (foreign currencies) are recognized at the rates of exchange prevailing on the dates of the transactions. At the end of the reporting period, monetary items denominated in foreign currencies are retranslated at the rates prevailing at that date. Non-monetary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Exchange differences arising on the settlement of monetary items, and on the retranslation of monetary items, are recognized in profit or loss in the period in which they arise.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purposes of presenting the consolidated financial statements, the assets and liabilities of the Group’s operations are translated into the presentation currency of the Group (i.e. USD)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exchange reserve (attributed to non-controlling interests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 costs are recognized in the statement of profit or loss in the period in which they are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benefit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made by the Group to defined contribution retirement benefit plans are recognized as an expense when employees have rendered service entitling them to the contributions.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employee benefits are recognized at the undiscounted amount of the benefits expected to be paid as and when employees rendered the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short-term employee benefits are recognized as an expense unless another IFRSs requires or permits the inclusion of the benefit in the cost of an asset.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liability is recognized for benefits accruing to employees (such as salaries and annual leave) after deducting any amount already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5" w:name="page166"/>
    <w:bookmarkEnd w:id="165"/>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 option reserve). At the end of each reporting period, the Group revises its estimate of the number of equity instruments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that vest immediately at the date of grant, the fair value of the share options granted is expensed immediately to the statement of profit or loss.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share options are exercised, the amount previously recognized in share option reserve will be transferred to share capital. When the share options are forfeited after the vesting date or are still not exercised at the expiry date, the amount previously recognized in share option reserve will be transferred to accumulated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represents the sum of the current tax and deferred tax.</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currently payable is based on taxable profit for the year. Taxable profit differs from profit recognized in the consolidated statement of profit or loss because of items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is recognized on differences between the carrying amounts of assets and liabilities in the consolidated financial statements and the corresponding tax bases used in the computation of taxable profit. Deferred tax liabilities are generally recognized for all taxable temporary differences and deferred tax assets are recognized to the extent that it is probable that taxable profits will be available against deductible temporary differences, unused tax losses or unused tax credits. Such assets and liabilities are not recognized if the temporary difference arises from goodwill or from the initial recognition (other than in a business combination) of other assets and liabilities in a transaction that affects neither the taxable profit nor the accounting profit.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period when the deferred liability is settled or the deferred asset is realized, based on tax rates that have been enacted or substantively enacted by the end of the reporting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deferred tax assets and liabilities reflects the tax consequences that would follow from the manner in which the Group expects, at the end of the reporting period, to recover or settle the carrying amount of its assets and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offset current tax assets against current tax liabilities and when they relate to income taxes levied by the same taxation authority and the Group intends to settle its current tax assets and liabilities on a net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and deferred tax are recognized in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Plant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Plant and equipment are tangible assets that are held for use in the production or supply of goods or services, or for administrative purposes. Plant and equipment are stated in the consolidated statement of financial position at cost less subsequent accumulated depreciation and subsequent accumulated impairment losses, if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6" w:name="page167"/>
    <w:bookmarkEnd w:id="166"/>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 Estimated useful lives of plant and equipment are as follows:</w:t>
      </w:r>
    </w:p>
    <w:p>
      <w:pPr>
        <w:spacing w:after="0" w:line="176" w:lineRule="exact"/>
        <w:rPr>
          <w:sz w:val="20"/>
          <w:szCs w:val="20"/>
          <w:color w:val="auto"/>
        </w:rPr>
      </w:pPr>
    </w:p>
    <w:p>
      <w:pPr>
        <w:spacing w:after="0"/>
        <w:tabs>
          <w:tab w:leader="none" w:pos="8620" w:val="left"/>
        </w:tabs>
        <w:rPr>
          <w:sz w:val="20"/>
          <w:szCs w:val="20"/>
          <w:color w:val="auto"/>
        </w:rPr>
      </w:pPr>
      <w:r>
        <w:rPr>
          <w:rFonts w:ascii="Times New Roman" w:cs="Times New Roman" w:eastAsia="Times New Roman" w:hAnsi="Times New Roman"/>
          <w:sz w:val="18"/>
          <w:szCs w:val="18"/>
          <w:color w:val="auto"/>
        </w:rPr>
        <w:t>Office equipment</w:t>
      </w:r>
      <w:r>
        <w:rPr>
          <w:sz w:val="20"/>
          <w:szCs w:val="20"/>
          <w:color w:val="auto"/>
        </w:rPr>
        <w:tab/>
      </w:r>
      <w:r>
        <w:rPr>
          <w:rFonts w:ascii="Times New Roman" w:cs="Times New Roman" w:eastAsia="Times New Roman" w:hAnsi="Times New Roman"/>
          <w:sz w:val="18"/>
          <w:szCs w:val="18"/>
          <w:color w:val="auto"/>
        </w:rPr>
        <w:t>5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item of plant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profit or loss in the year the asset is derecognized.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reporting date, the Group reviews the carrying amounts of its tangible assets with finite useful lives to determine whether there is any indication that those assets have suffered an impairment loss. If any such indication exists, the recoverable amount of the relevant asset is estimated in order to determine the extent of the impairment loss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recoverable amounts of relevant assets are estimated individually. When it is not possible to estimate the recoverable amount individually, the Group estimates the recoverable amount of the cash generating unit to which the asset belongs.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mainly comprised of cash at different banks. The Company considers all short-term investments with an original maturity of three months or less when purchased as cash and cash equivalents. As of 31 March 2023 and 2022, the Group did not have such short term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financial liabilities are recognized when a group entity becomes a party to the contractual provisions of the instrument. All regular way purchases or sales of financial assets are recognized and derecognized on a settlement date basis. Regular way purchases or sales are purchases or sales of financial assets that require delivery of assets within the time frame established by regulation or convention in the market place.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financial liabilities are initially measured at fair value except for trade receivables arising from contracts with customers which are initially measured in accordance with IFRS 15. Transaction costs that are directly attributable to the acquisition or issue of 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and subsequent measurement of financial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that meet the following conditions are subsequently measured at amortized cost:</w:t>
      </w:r>
    </w:p>
    <w:p>
      <w:pPr>
        <w:spacing w:after="0" w:line="225"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asset is held within a business model whose objective is to collect contractual cash flows; and</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terms give rise on specified dates to cash flows that are solely payments of principal and interest on the principal amount outstanding.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financial assets are subsequently measured at FVTPL.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Amortized cost and interest income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 At the end of the reporting period, trade and other receivables are measured at amortized cost.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that do not meet the criteria for being measured at amortized cost or Fair Value Through Other Comprehensive Income (“FVTOCI”) or designated as FVTOCI are measured at FVTPL.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financial assets subject to impairment assessment under IFRS 9</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performs impairment assessment under expected credit loss (“ECL”) model on financial assets (including trade and other receivables and amounts due from an associate/shareholders/related companies) which are subject to impairment assessment under IFRS 9. The amount of ECL is updated at each reporting date to reflect changes in credit risk since initial recognition.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8" w:name="page169"/>
    <w:bookmarkEnd w:id="168"/>
    <w:p>
      <w:pPr>
        <w:jc w:val="both"/>
        <w:spacing w:after="0" w:line="261" w:lineRule="auto"/>
        <w:rPr>
          <w:sz w:val="20"/>
          <w:szCs w:val="20"/>
          <w:color w:val="auto"/>
        </w:rPr>
      </w:pPr>
      <w:r>
        <w:rPr>
          <w:rFonts w:ascii="Times New Roman" w:cs="Times New Roman" w:eastAsia="Times New Roman" w:hAnsi="Times New Roman"/>
          <w:sz w:val="18"/>
          <w:szCs w:val="18"/>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always recognizes lifetime ECL for trade receivables.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other instruments, the Group measures the loss allowance equal to 12-month expected credit loss (“ECL”), unless there has been a significant increase in credit risk since initial recognition, in which case the Group recognizes lifetime ECL. The assessment of whether lifetime ECL should be recognized is based on significant increases in the likelihood or risk of a default occurring since initial recognition.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Derecognition of financial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derecognizes a financial asset only when the contractual rights to the cash flows from the asset expire, or when it transfers the financial asset and substantially all the risks and rewards of ownership of the asset to another entity. If the Group neither transfers nor retains substantially all the risks and rewards of ownership and continues to control the transferred asset, the Group recognizes its retained interest in the asset and an associated liability for amounts it may have to pay. If the Group retains substantially all the risks and rewards of ownership of a transferred financial asset, the Group continues to recognize the financial asset and also recognizes a collateralized borrowing for the proceeds received.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derecognition of a financial asset measured at amortized cost, the difference between the asset’s carrying amount and the sum of the consideration received and receivable is recognized in profit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liabilities and equity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as debt or equity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instruments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equity instrument is any contract that evidences a residual interest in the assets of an entity after deducting all of its liabilities. Equity instruments issued by the Company are recognized at the proceeds received, net of direct issue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FVTPL</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liabilities are classified as at FVTPL when the financial liability is (i) contingent consideration of an acquirer in a business combination to which IFRS 3 applies, (ii) held for trading or (iii) it is designated as at FVTPL.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liability is held for trading if:</w:t>
      </w:r>
    </w:p>
    <w:p>
      <w:pPr>
        <w:spacing w:after="0" w:line="225"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acquired principally for the purpose of repurchasing it in the near term; or</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initial recognition it is part of a portfolio of identified financial instruments that the Group manages together and has a recent actual pattern of short-term profit-taking; or</w:t>
      </w: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derivative, except for a derivative that is a financial guarantee contract or a designated and effective hedging instrument.</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financial liability other than a financial liability held for trading or contingent consideration of an acquirer in a business combination may be designated as at FVTPL upon initial recognition if:</w:t>
      </w:r>
    </w:p>
    <w:p>
      <w:pPr>
        <w:spacing w:after="0" w:line="162"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designation eliminates or significantly reduces a measurement or recognition inconsistency that would otherwise arise; or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liability forms part of a group of financial assets or financial liabilities or both, which is managed and its performance is evaluated on a fair value basis, in accordance with the Group’s documented risk management or investment strategy, and information about the grouping is provided internally on that basis; or</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forms part of a contract containing one or more embedded derivatives, and HKFRS 9 permits the entire combined contract to be designated as at</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FVTPL.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9" w:name="page170"/>
    <w:bookmarkEnd w:id="169"/>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liabilities that are designated as at FVTPL, the amount of changes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liabilities at amortized cost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liabilities including other payables and amounts due to an associate/related parties/directors are subsequently measured at amortized cost, using the effective interest method.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 convertible loan notes/redeemable ordinary shares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date of issue, preferred shares, convertible loan notes and redeemable ordinary shares are designated as at FVTPL with both the debt component and derivative components recognized at fair value. In subsequent period, changes in fair value are recognized in profit or loss as fair value gain or loss except for changes in the fair value that is attributable to changes in the credit risk (excluding changes in fair value of the derivatives component) is recognized in other comprehensive income, unless the recognition of the effects of changes in the credit risk in other comprehensive income would create or enlarge an accounting mismatch in profit or loss. Changes in fair value attributable to the credit risk that are recognized in other comprehensive income are not subsequently reclassified to profit or loss, they are transferred to retained profits upon derecognition.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relating to the issue of all these instruments are charged to profit or loss immediately.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Derecognition of financial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party is a person or entity that is related to the Group.</w:t>
      </w:r>
    </w:p>
    <w:p>
      <w:pPr>
        <w:spacing w:after="0" w:line="225"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key management personnel of the Group or the Group’s parent.</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apply:</w:t>
      </w:r>
    </w:p>
    <w:p>
      <w:pPr>
        <w:spacing w:after="0" w:line="225"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ind w:left="980" w:hanging="324"/>
        <w:spacing w:after="0" w:line="250"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the employees of the Group or an entity related to the Group.</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key management personnel of the entity (or of a parent of the entity).</w:t>
      </w:r>
    </w:p>
    <w:p>
      <w:pPr>
        <w:ind w:left="980" w:hanging="324"/>
        <w:spacing w:after="0" w:line="260" w:lineRule="auto"/>
        <w:tabs>
          <w:tab w:leader="none" w:pos="98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parent of the Group.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Current versus non-current classification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presents assets and liabilities in the consolidated statement of financial position based on current/non-current classification. An asset is current when:</w:t>
      </w:r>
    </w:p>
    <w:p>
      <w:pPr>
        <w:spacing w:after="0" w:line="162"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realized or intended to be sold or consumed in normal operating cycle;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realized within twelve months after the reporting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cash or cash equivalent unless restricted from being exchanged or used to settle a liability for at least twelve months after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assets are classified as non-current.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liability is current when:</w:t>
      </w:r>
    </w:p>
    <w:p>
      <w:pPr>
        <w:spacing w:after="0" w:line="225"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to be settled in normal operating cycle;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held primarily for the purpose of trading;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due to be settled within twelve months after the reporting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unconditional right to defer the settlement of the liability for at least twelve months after the reporting 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liabilities are classified as non-current.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KEY SOURCES OF JUDGEMENTS AND ESTIMATION UNCERTAINTY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application of the Group’s accounting policies, which are described in note 3,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Judgements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process of applying the Group’s accounting policies, management has made the following judgements which have the most significant effect on the amounts recognized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Functional currency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contracts, operating expenses and borrowing are primarily in USD, and are expected to remain principally denominated in USD in the future. Management has determined USD as the Company’s functional currency and presented the consolidated financial statements in USD to meet the requirements of users.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process of classifying a financial instrument, management has made various judgments. Judgment is needed to determine whether a financial instrument, or its component parts, on initial recognition is classified as a financial liability, a financial asset or an equity instrument in accordance with the substance of the contractual arrangement and the definitions of a financial liability, a financial asset and an equity instrument. In making its judgment, management considered the detailed criteria and related guidance for the classification of financial instruments as set out in IFRS 9, in particular, whether the instrument includes a contractual obligation to deliver cash or another financial asset to another entity.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i w:val="1"/>
          <w:iCs w:val="1"/>
          <w:color w:val="auto"/>
        </w:rPr>
        <w:t>Segmental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While the Group has revenue from multiple services and geographies, the financial position, performance and cashflow of the Group are considered by the CODM on a consolidated basis, so discrete financial information is not available for each such component. The overall financial performance of the Group is also considered as a whole.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the Group has determined that it operates as one operating segment and one reportable segment. The Group will continue to assess the operating segments reviewed by the CODM and the associated reportable segments per IAS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Estimation uncertainties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reporting date, that may have a significant risk of causing a material adjustment to the carrying amounts of assets and liabilities within the next financial year,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each reporting period, certain of the Group’s financial liabilities, including preferred shares and convertible loan notes, are measured at fair value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of ECL for trade receivables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receivables with significant balances and credit-impaired are assessed for ECL individually. In addition, for trade receivables which are individually insignificant or when the Group does not have reasonable and supportable information that is available without undue cost or effort to measure ECL on individual basis, collective assessment is performed by grouping debtors based on the Group’s internal credit ratings.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of ECL is sensitive to changes in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subject to income taxes in several jurisdictions. Significant estimates are required in determining the provision for income taxes. There are many transactions and calculations for which the ultimate tax determination is uncertain during the ordinary course of business. Where the final tax outcome of these matters is different from the amounts that were initially recorded, such differences will impact the current and deferred tax exposure in the period in which such determination is made.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payment expenses – share options awards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share option awards granted that is determined at the date of grant of the respective share options is expensed over the vesting period, with a corresponding adjustment to the Group’s share option reserve. In assessing the fair value of the share option award, discounted cash flows and the equity allocation model were used to calculate the fair value of the share options. The discounted cash flows and the equity allocation model requires the input of subjective assumptions, including discount rate, volatility of the Company’s ordinary shares and the expected life of options. Any changes in these assumptions can significantly affect the estimate of the fair value of the share option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REVENUE</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analysis of the Group’s revenue from continuing operations for the reporting periods are as follows: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6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Year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Customization income</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1,019,064</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941,902</w:t>
            </w:r>
          </w:p>
        </w:tc>
        <w:tc>
          <w:tcPr>
            <w:tcW w:w="80" w:type="dxa"/>
            <w:vAlign w:val="bottom"/>
          </w:tcPr>
          <w:p>
            <w:pPr>
              <w:spacing w:after="0"/>
              <w:rPr>
                <w:sz w:val="18"/>
                <w:szCs w:val="18"/>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Advisory service income</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248,497</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107,520</w:t>
            </w:r>
          </w:p>
        </w:tc>
        <w:tc>
          <w:tcPr>
            <w:tcW w:w="80" w:type="dxa"/>
            <w:vAlign w:val="bottom"/>
          </w:tcPr>
          <w:p>
            <w:pPr>
              <w:spacing w:after="0"/>
              <w:rPr>
                <w:sz w:val="18"/>
                <w:szCs w:val="18"/>
                <w:color w:val="auto"/>
              </w:rPr>
            </w:pPr>
          </w:p>
        </w:tc>
      </w:tr>
      <w:tr>
        <w:trPr>
          <w:trHeight w:val="250"/>
        </w:trPr>
        <w:tc>
          <w:tcPr>
            <w:tcW w:w="7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 fee income</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358,202</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70,661</w:t>
            </w:r>
          </w:p>
        </w:tc>
      </w:tr>
      <w:tr>
        <w:trPr>
          <w:trHeight w:val="210"/>
        </w:trPr>
        <w:tc>
          <w:tcPr>
            <w:tcW w:w="6980" w:type="dxa"/>
            <w:vAlign w:val="bottom"/>
            <w:tcBorders>
              <w:top w:val="single" w:sz="8" w:color="CCEEFF"/>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606,699</w:t>
            </w:r>
          </w:p>
        </w:tc>
        <w:tc>
          <w:tcPr>
            <w:tcW w:w="32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178,181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0"/>
        </w:trPr>
        <w:tc>
          <w:tcPr>
            <w:tcW w:w="69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1,625,763</w:t>
            </w:r>
          </w:p>
        </w:tc>
        <w:tc>
          <w:tcPr>
            <w:tcW w:w="3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1,120,083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service provided by the Group are for periods of one year or less. As permitted under IFRS 15, the transaction price allocated to the remaining performance obligations is not disclosed.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GENERAL AND ADMINISTRATIVE EXPENSES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Year ended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420" w:type="dxa"/>
            <w:vAlign w:val="bottom"/>
          </w:tcPr>
          <w:p>
            <w:pPr>
              <w:spacing w:after="0"/>
              <w:rPr>
                <w:sz w:val="20"/>
                <w:szCs w:val="20"/>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360" w:type="dxa"/>
            <w:vAlign w:val="bottom"/>
          </w:tcPr>
          <w:p>
            <w:pPr>
              <w:spacing w:after="0"/>
              <w:rPr>
                <w:sz w:val="20"/>
                <w:szCs w:val="20"/>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4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benefits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202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5,025,450</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4,618,709</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IT development and maintenance support</w:t>
            </w:r>
          </w:p>
        </w:tc>
        <w:tc>
          <w:tcPr>
            <w:tcW w:w="5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2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2,661,511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2,140,291</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w:t>
            </w:r>
          </w:p>
        </w:tc>
        <w:tc>
          <w:tcPr>
            <w:tcW w:w="202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479,766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697,032</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6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w:t>
            </w:r>
          </w:p>
        </w:tc>
        <w:tc>
          <w:tcPr>
            <w:tcW w:w="2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275,234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251,937</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Consultancy fees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w:t>
            </w:r>
          </w:p>
        </w:tc>
        <w:tc>
          <w:tcPr>
            <w:tcW w:w="202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126,153</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165,260</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560" w:type="dxa"/>
            <w:vAlign w:val="bottom"/>
          </w:tcPr>
          <w:p>
            <w:pPr>
              <w:spacing w:after="0"/>
              <w:rPr>
                <w:sz w:val="18"/>
                <w:szCs w:val="18"/>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w:t>
            </w:r>
          </w:p>
        </w:tc>
        <w:tc>
          <w:tcPr>
            <w:tcW w:w="2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83,657</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295,568</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w:t>
            </w:r>
          </w:p>
        </w:tc>
        <w:tc>
          <w:tcPr>
            <w:tcW w:w="202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22,294</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19,548</w:t>
            </w: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6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w:t>
            </w:r>
          </w:p>
        </w:tc>
        <w:tc>
          <w:tcPr>
            <w:tcW w:w="20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226,426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288,773</w:t>
            </w:r>
          </w:p>
        </w:tc>
        <w:tc>
          <w:tcPr>
            <w:tcW w:w="80" w:type="dxa"/>
            <w:vAlign w:val="bottom"/>
          </w:tcPr>
          <w:p>
            <w:pPr>
              <w:spacing w:after="0"/>
              <w:rPr>
                <w:sz w:val="20"/>
                <w:szCs w:val="20"/>
                <w:color w:val="auto"/>
              </w:rPr>
            </w:pPr>
          </w:p>
        </w:tc>
      </w:tr>
      <w:tr>
        <w:trPr>
          <w:trHeight w:val="230"/>
        </w:trPr>
        <w:tc>
          <w:tcPr>
            <w:tcW w:w="64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8,900,491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8,477,118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6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Year ended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w w:val="99"/>
              </w:rPr>
              <w:t>31 March 2023</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580" w:type="dxa"/>
            <w:vAlign w:val="bottom"/>
            <w:tcBorders>
              <w:top w:val="single" w:sz="8" w:color="auto"/>
            </w:tcBorders>
            <w:gridSpan w:val="2"/>
          </w:tcPr>
          <w:p>
            <w:pPr>
              <w:spacing w:after="0"/>
              <w:rPr>
                <w:sz w:val="18"/>
                <w:szCs w:val="18"/>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all benefits-in-kind</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4,261,273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4,047,774</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176,356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168,747</w:t>
            </w:r>
          </w:p>
        </w:tc>
        <w:tc>
          <w:tcPr>
            <w:tcW w:w="80" w:type="dxa"/>
            <w:vAlign w:val="bottom"/>
          </w:tcPr>
          <w:p>
            <w:pPr>
              <w:spacing w:after="0"/>
              <w:rPr>
                <w:sz w:val="18"/>
                <w:szCs w:val="18"/>
                <w:color w:val="auto"/>
              </w:rPr>
            </w:pPr>
          </w:p>
        </w:tc>
      </w:tr>
      <w:tr>
        <w:trPr>
          <w:trHeight w:val="25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587,821</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402,188</w:t>
            </w:r>
          </w:p>
        </w:tc>
        <w:tc>
          <w:tcPr>
            <w:tcW w:w="80" w:type="dxa"/>
            <w:vAlign w:val="bottom"/>
            <w:shd w:val="clear" w:color="auto" w:fill="CCEEFF"/>
          </w:tcPr>
          <w:p>
            <w:pPr>
              <w:spacing w:after="0"/>
              <w:rPr>
                <w:sz w:val="21"/>
                <w:szCs w:val="21"/>
                <w:color w:val="auto"/>
              </w:rPr>
            </w:pPr>
          </w:p>
        </w:tc>
      </w:tr>
      <w:tr>
        <w:trPr>
          <w:trHeight w:val="217"/>
        </w:trPr>
        <w:tc>
          <w:tcPr>
            <w:tcW w:w="6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5,025,450</w:t>
            </w: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4,618,709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includes the cost of both employees and contractors. At 31 March 2023 the company had 26 employees and 10 contractors (2022: 26 employees and 9 contractors).</w:t>
      </w:r>
    </w:p>
    <w:p>
      <w:pPr>
        <w:spacing w:after="0" w:line="161" w:lineRule="exact"/>
        <w:rPr>
          <w:rFonts w:ascii="Times New Roman" w:cs="Times New Roman" w:eastAsia="Times New Roman" w:hAnsi="Times New Roman"/>
          <w:sz w:val="18"/>
          <w:szCs w:val="18"/>
          <w:color w:val="auto"/>
        </w:rPr>
      </w:pPr>
    </w:p>
    <w:p>
      <w:pPr>
        <w:ind w:left="660" w:right="20" w:hanging="652"/>
        <w:spacing w:after="0" w:line="184" w:lineRule="auto"/>
        <w:tabs>
          <w:tab w:leader="none" w:pos="660" w:val="left"/>
        </w:tabs>
        <w:numPr>
          <w:ilvl w:val="0"/>
          <w:numId w:val="11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IT development and maintenance support costs relate, primarily, to those associated with a third party that contribute to developing and maintaining the Group commercial products. The costs also include server expenses for hosting the products.</w:t>
      </w:r>
    </w:p>
    <w:p>
      <w:pPr>
        <w:spacing w:after="0" w:line="198" w:lineRule="exact"/>
        <w:rPr>
          <w:rFonts w:ascii="Times New Roman" w:cs="Times New Roman" w:eastAsia="Times New Roman" w:hAnsi="Times New Roman"/>
          <w:sz w:val="34"/>
          <w:szCs w:val="34"/>
          <w:color w:val="auto"/>
          <w:vertAlign w:val="subscript"/>
        </w:rPr>
      </w:pPr>
    </w:p>
    <w:p>
      <w:pPr>
        <w:ind w:left="660" w:hanging="652"/>
        <w:spacing w:after="0"/>
        <w:tabs>
          <w:tab w:leader="none" w:pos="660" w:val="left"/>
        </w:tabs>
        <w:numPr>
          <w:ilvl w:val="0"/>
          <w:numId w:val="11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Advertising and marketing fees relate to costs associated with promoting the product suite via various channels ie social media, conference attendance.</w:t>
      </w:r>
    </w:p>
    <w:p>
      <w:pPr>
        <w:spacing w:after="0" w:line="257" w:lineRule="exact"/>
        <w:rPr>
          <w:rFonts w:ascii="Times New Roman" w:cs="Times New Roman" w:eastAsia="Times New Roman" w:hAnsi="Times New Roman"/>
          <w:sz w:val="34"/>
          <w:szCs w:val="34"/>
          <w:color w:val="auto"/>
          <w:vertAlign w:val="subscript"/>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are primarily related to third party accounting support and legal fees incurred to support fund raises and general business growth.</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Consultancy fees, primarily relate to third party human resources support and other licensing service.</w:t>
      </w:r>
    </w:p>
    <w:p>
      <w:pPr>
        <w:spacing w:after="0" w:line="225" w:lineRule="exact"/>
        <w:rPr>
          <w:rFonts w:ascii="Times New Roman" w:cs="Times New Roman" w:eastAsia="Times New Roman" w:hAnsi="Times New Roman"/>
          <w:sz w:val="18"/>
          <w:szCs w:val="18"/>
          <w:color w:val="auto"/>
        </w:rPr>
      </w:pPr>
    </w:p>
    <w:p>
      <w:pPr>
        <w:ind w:left="660" w:hanging="652"/>
        <w:spacing w:after="0" w:line="184" w:lineRule="auto"/>
        <w:tabs>
          <w:tab w:leader="none" w:pos="660" w:val="left"/>
        </w:tabs>
        <w:numPr>
          <w:ilvl w:val="0"/>
          <w:numId w:val="11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During the year ended 31 March 2023 the Group reduced office size in Hong Kong, the reduction was a follow on from a change in working practices during Covid.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3" w:name="page174"/>
    <w:bookmarkEnd w:id="173"/>
    <w:p>
      <w:pPr>
        <w:ind w:left="660" w:right="20" w:hanging="652"/>
        <w:spacing w:after="0" w:line="184" w:lineRule="auto"/>
        <w:tabs>
          <w:tab w:leader="none" w:pos="660" w:val="left"/>
        </w:tabs>
        <w:numPr>
          <w:ilvl w:val="0"/>
          <w:numId w:val="119"/>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Audit fees are primarily related to statutory audits of group entities in different jurisdictions and are not related to the Public Company Accounting Oversight Board (“PCAOB”) audits of the Group’s consolidated financial statements for each of the year ended 31 March 2023 and 2022.</w:t>
      </w:r>
    </w:p>
    <w:p>
      <w:pPr>
        <w:spacing w:after="0" w:line="198" w:lineRule="exact"/>
        <w:rPr>
          <w:rFonts w:ascii="Times New Roman" w:cs="Times New Roman" w:eastAsia="Times New Roman" w:hAnsi="Times New Roman"/>
          <w:sz w:val="34"/>
          <w:szCs w:val="34"/>
          <w:color w:val="auto"/>
          <w:vertAlign w:val="subscript"/>
        </w:rPr>
      </w:pPr>
    </w:p>
    <w:p>
      <w:pPr>
        <w:ind w:left="660" w:hanging="652"/>
        <w:spacing w:after="0"/>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include travel and entertainment, insurance, bank charges, general office expenses and others.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OTHER INCOME, GAINS OR LOSSES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Year ended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42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 March 2023</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4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w:t>
            </w:r>
          </w:p>
        </w:tc>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(1,841,000)</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(5,619,000)</w:t>
            </w:r>
          </w:p>
        </w:tc>
      </w:tr>
      <w:tr>
        <w:trPr>
          <w:trHeight w:val="216"/>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w:t>
            </w:r>
          </w:p>
        </w:tc>
        <w:tc>
          <w:tcPr>
            <w:tcW w:w="16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(19,000)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Subsidies from government authorities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67,433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29,581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80" w:type="dxa"/>
            <w:vAlign w:val="bottom"/>
          </w:tcPr>
          <w:p>
            <w:pPr>
              <w:spacing w:after="0"/>
              <w:rPr>
                <w:sz w:val="20"/>
                <w:szCs w:val="20"/>
                <w:color w:val="auto"/>
              </w:rPr>
            </w:pPr>
          </w:p>
        </w:tc>
      </w:tr>
      <w:tr>
        <w:trPr>
          <w:trHeight w:val="229"/>
        </w:trPr>
        <w:tc>
          <w:tcPr>
            <w:tcW w:w="64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(1,762,410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(5,609,825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31 March 2022, the Group issued preferred shares for $6,000,000. The preferred shares were fair valued, using an equity</w:t>
      </w:r>
    </w:p>
    <w:p>
      <w:pPr>
        <w:spacing w:after="0" w:line="27" w:lineRule="exact"/>
        <w:rPr>
          <w:sz w:val="20"/>
          <w:szCs w:val="20"/>
          <w:color w:val="auto"/>
        </w:rPr>
      </w:pPr>
    </w:p>
    <w:p>
      <w:pPr>
        <w:ind w:left="660" w:hanging="652"/>
        <w:spacing w:after="0" w:line="260"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model at 31 March 2022 which resulted in a loss of $5,619,000. The preferred shares were fair valued again at 31 March 203 resulting in a further loss of $1,841,000.</w:t>
      </w:r>
    </w:p>
    <w:p>
      <w:pPr>
        <w:spacing w:after="0" w:line="181" w:lineRule="exact"/>
        <w:rPr>
          <w:rFonts w:ascii="Times New Roman" w:cs="Times New Roman" w:eastAsia="Times New Roman" w:hAnsi="Times New Roman"/>
          <w:sz w:val="18"/>
          <w:szCs w:val="18"/>
          <w:color w:val="auto"/>
        </w:rPr>
      </w:pPr>
    </w:p>
    <w:p>
      <w:pPr>
        <w:ind w:left="660" w:hanging="652"/>
        <w:spacing w:after="0" w:line="184" w:lineRule="auto"/>
        <w:tabs>
          <w:tab w:leader="none" w:pos="660" w:val="left"/>
        </w:tabs>
        <w:numPr>
          <w:ilvl w:val="0"/>
          <w:numId w:val="12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During the year ended 31 March 2023, the Group issued 8% convertible loan notes. At 31 March 2023, there was $3,250,000 notes outstanding. The notes were fair valued at 31 March 2023, resulting in a loss of $19,000.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FINANCE COSTS, NET</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Year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78,926</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60,712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0"/>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220,460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current or deferred tax expense for the years ended 31 March 2023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Current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4" w:name="page175"/>
    <w:bookmarkEnd w:id="174"/>
    <w:p>
      <w:pPr>
        <w:spacing w:after="0" w:line="282" w:lineRule="auto"/>
        <w:rPr>
          <w:sz w:val="20"/>
          <w:szCs w:val="20"/>
          <w:color w:val="auto"/>
        </w:rPr>
      </w:pPr>
      <w:r>
        <w:rPr>
          <w:rFonts w:ascii="Times New Roman" w:cs="Times New Roman" w:eastAsia="Times New Roman" w:hAnsi="Times New Roman"/>
          <w:sz w:val="18"/>
          <w:szCs w:val="18"/>
          <w:color w:val="auto"/>
        </w:rPr>
        <w:t>The tax charge for the year can be reconciled to the loss for the year from per the consolidated statement of profit or loss and other comprehensive income as follows:</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0" w:lineRule="exact"/>
        <w:rPr>
          <w:sz w:val="20"/>
          <w:szCs w:val="20"/>
          <w:color w:val="auto"/>
        </w:rPr>
      </w:pPr>
    </w:p>
    <w:p>
      <w:pPr>
        <w:ind w:right="1820"/>
        <w:spacing w:after="0" w:line="261" w:lineRule="auto"/>
        <w:rPr>
          <w:sz w:val="20"/>
          <w:szCs w:val="20"/>
          <w:color w:val="auto"/>
        </w:rPr>
      </w:pPr>
      <w:r>
        <w:rPr>
          <w:rFonts w:ascii="Times New Roman" w:cs="Times New Roman" w:eastAsia="Times New Roman" w:hAnsi="Times New Roman"/>
          <w:sz w:val="18"/>
          <w:szCs w:val="18"/>
          <w:color w:val="auto"/>
        </w:rPr>
        <w:t>Notional tax calculated at the rates applicable to profits in the tax jurisdictions concerned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Tax effect of expenses that are not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Tax effect of tax losses not recognized</w:t>
      </w:r>
    </w:p>
    <w:p>
      <w:pPr>
        <w:spacing w:after="0" w:line="9" w:lineRule="exact"/>
        <w:rPr>
          <w:sz w:val="20"/>
          <w:szCs w:val="20"/>
          <w:color w:val="auto"/>
        </w:rPr>
      </w:pPr>
    </w:p>
    <w:p>
      <w:pPr>
        <w:ind w:right="1720"/>
        <w:spacing w:after="0" w:line="292" w:lineRule="auto"/>
        <w:rPr>
          <w:sz w:val="20"/>
          <w:szCs w:val="20"/>
          <w:color w:val="auto"/>
        </w:rPr>
      </w:pPr>
      <w:r>
        <w:rPr>
          <w:rFonts w:ascii="Times New Roman" w:cs="Times New Roman" w:eastAsia="Times New Roman" w:hAnsi="Times New Roman"/>
          <w:sz w:val="18"/>
          <w:szCs w:val="18"/>
          <w:color w:val="auto"/>
        </w:rPr>
        <w:t>Utilization of tax effect of tax losses previously not recognized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 Deferred income taxes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Year Ended</w:t>
            </w:r>
          </w:p>
        </w:tc>
        <w:tc>
          <w:tcPr>
            <w:tcW w:w="1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1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 March 2022</w:t>
            </w:r>
          </w:p>
        </w:tc>
      </w:tr>
      <w:tr>
        <w:trPr>
          <w:trHeight w:val="198"/>
        </w:trPr>
        <w:tc>
          <w:tcPr>
            <w:tcW w:w="1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7"/>
                <w:szCs w:val="17"/>
                <w:color w:val="auto"/>
              </w:rPr>
            </w:pPr>
          </w:p>
        </w:tc>
        <w:tc>
          <w:tcPr>
            <w:tcW w:w="194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USD</w:t>
            </w:r>
          </w:p>
        </w:tc>
        <w:tc>
          <w:tcPr>
            <w:tcW w:w="40" w:type="dxa"/>
            <w:vAlign w:val="bottom"/>
            <w:gridSpan w:val="2"/>
          </w:tcPr>
          <w:p>
            <w:pPr>
              <w:spacing w:after="0"/>
              <w:rPr>
                <w:sz w:val="17"/>
                <w:szCs w:val="17"/>
                <w:color w:val="auto"/>
              </w:rPr>
            </w:pPr>
          </w:p>
        </w:tc>
      </w:tr>
      <w:tr>
        <w:trPr>
          <w:trHeight w:val="261"/>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(9,257,598)</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(12,966,860)</w:t>
            </w: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7"/>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(1,555,403)</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(2,157,146)</w:t>
            </w: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451,111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1,016,174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1,104,292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1,141,748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30"/>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260" w:space="720"/>
            <w:col w:w="4260"/>
          </w:cols>
          <w:pgMar w:left="320" w:top="661" w:right="339" w:bottom="1440" w:gutter="0" w:footer="0" w:header="0"/>
          <w:type w:val="continuous"/>
        </w:sectPr>
      </w:pPr>
    </w:p>
    <w:p>
      <w:pPr>
        <w:spacing w:after="0" w:line="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has accumulated tax losses of $15,337,860 at 31 March 2023 (2022: $8,806,351) that are available indefinitely for offsetting against future taxable profits of the respective group companies in which the losses arose.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 in respect of accumulated tax losses of $3,696 (2022: $4,703) has been recognized to offset deferred tax liability arising from accelerated depreciation of the Group’s plant and equipment. No deferred tax asset has been recognized in respect of the remaining tax losses of $15,334,164 (2022: $8,801,648).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LOSS PER SHARE</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Year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gridSpan w:val="2"/>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 for the purpose of basic loss per share</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(9,257,598)</w:t>
            </w:r>
          </w:p>
        </w:tc>
        <w:tc>
          <w:tcPr>
            <w:tcW w:w="2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(12,966,860)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23"/>
        </w:trPr>
        <w:tc>
          <w:tcPr>
            <w:tcW w:w="69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9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71"/>
        </w:trPr>
        <w:tc>
          <w:tcPr>
            <w:tcW w:w="698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Weighted average number of ordinary shares for the purpose of basic loss per share and</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6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11,582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10,962</w:t>
            </w:r>
          </w:p>
        </w:tc>
        <w:tc>
          <w:tcPr>
            <w:tcW w:w="80" w:type="dxa"/>
            <w:vAlign w:val="bottom"/>
          </w:tcPr>
          <w:p>
            <w:pPr>
              <w:spacing w:after="0"/>
              <w:rPr>
                <w:sz w:val="22"/>
                <w:szCs w:val="22"/>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losses during the years ended 31 March 2023 and 2022, anti-dilutive instruments were excluded from the calculation of diluted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excluded anti-dilutive instruments include:</w:t>
      </w:r>
    </w:p>
    <w:p>
      <w:pPr>
        <w:spacing w:after="0" w:line="207"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awards of 1,545 at 31 March 2023 (2022: 1,404). Share option awards convert into one ordinary share, see note 21;</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 of 3,000 shares at both 31 March 2023 and 2022, see note 16;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notes with aggregate face values of $3,250,000 (2022: Nil), see note 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11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1 April 2021, 31 March 2022 and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1 April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Charge for the year</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1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 for the year</w:t>
      </w:r>
    </w:p>
    <w:p>
      <w:pPr>
        <w:spacing w:after="0" w:line="18" w:lineRule="exact"/>
        <w:rPr>
          <w:sz w:val="20"/>
          <w:szCs w:val="20"/>
          <w:color w:val="auto"/>
        </w:rPr>
      </w:pPr>
    </w:p>
    <w:p>
      <w:pPr>
        <w:jc w:val="center"/>
        <w:ind w:right="7260"/>
        <w:spacing w:after="0"/>
        <w:rPr>
          <w:sz w:val="20"/>
          <w:szCs w:val="20"/>
          <w:color w:val="auto"/>
        </w:rPr>
      </w:pPr>
      <w:r>
        <w:rPr>
          <w:rFonts w:ascii="Times New Roman" w:cs="Times New Roman" w:eastAsia="Times New Roman" w:hAnsi="Times New Roman"/>
          <w:sz w:val="18"/>
          <w:szCs w:val="18"/>
          <w:color w:val="auto"/>
        </w:rPr>
        <w:t>At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jc w:val="center"/>
        <w:ind w:right="7280"/>
        <w:spacing w:after="0"/>
        <w:rPr>
          <w:sz w:val="20"/>
          <w:szCs w:val="20"/>
          <w:color w:val="auto"/>
        </w:rPr>
      </w:pPr>
      <w:r>
        <w:rPr>
          <w:rFonts w:ascii="Times New Roman" w:cs="Times New Roman" w:eastAsia="Times New Roman" w:hAnsi="Times New Roman"/>
          <w:sz w:val="18"/>
          <w:szCs w:val="18"/>
          <w:b w:val="1"/>
          <w:bCs w:val="1"/>
          <w:color w:val="auto"/>
        </w:rPr>
        <w:t>Net carrying amount: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31 March 2023</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31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TRADE RECEIVABLES, CONTRACT ASSETS, PREPAYMENT, DEPOSITS AND OTHER 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USD</w:t>
      </w:r>
    </w:p>
    <w:p>
      <w:pPr>
        <w:spacing w:after="0" w:line="27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17145</wp:posOffset>
            </wp:positionV>
            <wp:extent cx="13544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4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(335)</w:t>
      </w:r>
    </w:p>
    <w:p>
      <w:pPr>
        <w:spacing w:after="0" w:line="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(335)</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(1,007)</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31750</wp:posOffset>
            </wp:positionV>
            <wp:extent cx="13544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3,696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17145</wp:posOffset>
            </wp:positionV>
            <wp:extent cx="13544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4,703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34290</wp:posOffset>
            </wp:positionV>
            <wp:extent cx="13544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8960" w:space="720"/>
            <w:col w:w="1560"/>
          </w:cols>
          <w:pgMar w:left="320" w:top="657"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 Trade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loss allowance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receivables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 are non-interest bearing and generally have credit terms of 30 days.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8"/>
          <w:szCs w:val="18"/>
          <w:color w:val="auto"/>
        </w:rPr>
        <w:t>At</w:t>
      </w:r>
    </w:p>
    <w:p>
      <w:pPr>
        <w:spacing w:after="0" w:line="27"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7"/>
          <w:szCs w:val="17"/>
          <w:color w:val="auto"/>
        </w:rPr>
        <w:t>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13335</wp:posOffset>
            </wp:positionV>
            <wp:extent cx="121729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9"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294,820</w:t>
      </w:r>
    </w:p>
    <w:p>
      <w:pPr>
        <w:spacing w:after="0" w:line="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(5,032)</w:t>
      </w:r>
    </w:p>
    <w:p>
      <w:pPr>
        <w:spacing w:after="0" w:line="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289,788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34290</wp:posOffset>
            </wp:positionV>
            <wp:extent cx="12172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8"/>
          <w:szCs w:val="18"/>
          <w:color w:val="auto"/>
        </w:rPr>
        <w:t>At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31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13335</wp:posOffset>
            </wp:positionV>
            <wp:extent cx="120840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265,846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265,846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34290</wp:posOffset>
            </wp:positionV>
            <wp:extent cx="12084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3">
            <w:col w:w="7080" w:space="720"/>
            <w:col w:w="1520" w:space="720"/>
            <w:col w:w="1200"/>
          </w:cols>
          <w:pgMar w:left="320" w:top="65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aging analysis of the trade receivables as at the end of the reporting period, based on the invoice date and net of loss provision,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month</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74,078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25,972</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Between 1 month and 3 months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135,691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224,072</w:t>
            </w:r>
          </w:p>
        </w:tc>
        <w:tc>
          <w:tcPr>
            <w:tcW w:w="8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3 months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80,019</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15,802</w:t>
            </w:r>
          </w:p>
        </w:tc>
      </w:tr>
      <w:tr>
        <w:trPr>
          <w:trHeight w:val="217"/>
        </w:trPr>
        <w:tc>
          <w:tcPr>
            <w:tcW w:w="69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289,788</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265,846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loss allowance for impairment of trade receivables are as follows:</w:t>
      </w:r>
    </w:p>
    <w:p>
      <w:pPr>
        <w:sectPr>
          <w:pgSz w:w="11900" w:h="16838" w:orient="portrait"/>
          <w:cols w:equalWidth="0" w:num="1">
            <w:col w:w="11240"/>
          </w:cols>
          <w:pgMar w:left="320" w:top="6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the year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year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13335</wp:posOffset>
            </wp:positionV>
            <wp:extent cx="121729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17295" cy="17145"/>
                    </a:xfrm>
                    <a:prstGeom prst="rect">
                      <a:avLst/>
                    </a:prstGeom>
                    <a:noFill/>
                  </pic:spPr>
                </pic:pic>
              </a:graphicData>
            </a:graphic>
          </wp:anchor>
        </w:drawing>
      </w:r>
    </w:p>
    <w:p>
      <w:pPr>
        <w:spacing w:after="0" w:line="9"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17145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14605</wp:posOffset>
            </wp:positionV>
            <wp:extent cx="713232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jc w:val="right"/>
        <w:ind w:right="420"/>
        <w:spacing w:after="0"/>
        <w:rPr>
          <w:sz w:val="20"/>
          <w:szCs w:val="20"/>
          <w:color w:val="auto"/>
        </w:rPr>
      </w:pPr>
      <w:r>
        <w:rPr>
          <w:rFonts w:ascii="Times New Roman" w:cs="Times New Roman" w:eastAsia="Times New Roman" w:hAnsi="Times New Roman"/>
          <w:sz w:val="18"/>
          <w:szCs w:val="18"/>
          <w:color w:val="auto"/>
        </w:rPr>
        <w:t>5,032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34290</wp:posOffset>
            </wp:positionV>
            <wp:extent cx="12172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13335</wp:posOffset>
            </wp:positionV>
            <wp:extent cx="120840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8405" cy="17145"/>
                    </a:xfrm>
                    <a:prstGeom prst="rect">
                      <a:avLst/>
                    </a:prstGeom>
                    <a:noFill/>
                  </pic:spPr>
                </pic:pic>
              </a:graphicData>
            </a:graphic>
          </wp:anchor>
        </w:drawing>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USD</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34290</wp:posOffset>
            </wp:positionV>
            <wp:extent cx="12084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080" w:space="720"/>
            <w:col w:w="1520" w:space="720"/>
            <w:col w:w="1200"/>
          </w:cols>
          <w:pgMar w:left="320" w:top="657"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31 March 2023, trade receivables of $14,752 (2022: Nil) were written off due to uncollectible as assessed by management. The carrying amounts of trade receivables are approximate their fair values.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76" w:name="page177"/>
    <w:bookmarkEnd w:id="176"/>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12.2 Contract Assets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43"/>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26,989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69,147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assts relates to client contracts that have been complete, revenue recognized but yet to be invoiced.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 Prepayment, deposits and other receivables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At</w:t>
            </w:r>
          </w:p>
        </w:tc>
        <w:tc>
          <w:tcPr>
            <w:tcW w:w="14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642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4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160,343</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43,250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15,733</w:t>
            </w:r>
          </w:p>
        </w:tc>
      </w:tr>
      <w:tr>
        <w:trPr>
          <w:trHeight w:val="25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6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43,392</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176,076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652"/>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at 31 March 2022 related to rental deposit on a Hong Kong office of $88,343 and $72,000 for a marketing project. The deposit in relation to the marketing project has been returned and the Company relocated office in Hong Kong. There is no deposit required for the current Hong Kong office and the deposit relating to the prior office was returned.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TRADE PAYABLES, OTHER PAYABLES AND ACCRUALS</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6420" w:type="dxa"/>
            <w:vAlign w:val="bottom"/>
          </w:tcPr>
          <w:p>
            <w:pPr>
              <w:spacing w:after="0"/>
              <w:rPr>
                <w:sz w:val="20"/>
                <w:szCs w:val="20"/>
                <w:color w:val="auto"/>
              </w:rPr>
            </w:pP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Note</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4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187,584</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376,764</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5,081</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5,091</w:t>
            </w:r>
          </w:p>
        </w:tc>
        <w:tc>
          <w:tcPr>
            <w:tcW w:w="80" w:type="dxa"/>
            <w:vAlign w:val="bottom"/>
          </w:tcPr>
          <w:p>
            <w:pPr>
              <w:spacing w:after="0"/>
              <w:rPr>
                <w:sz w:val="18"/>
                <w:szCs w:val="18"/>
                <w:color w:val="auto"/>
              </w:rPr>
            </w:pPr>
          </w:p>
        </w:tc>
      </w:tr>
      <w:tr>
        <w:trPr>
          <w:trHeight w:val="25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w:t>
            </w:r>
          </w:p>
        </w:tc>
        <w:tc>
          <w:tcPr>
            <w:tcW w:w="17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344,116</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284,578</w:t>
            </w:r>
          </w:p>
        </w:tc>
        <w:tc>
          <w:tcPr>
            <w:tcW w:w="80" w:type="dxa"/>
            <w:vAlign w:val="bottom"/>
            <w:shd w:val="clear" w:color="auto" w:fill="CCEEFF"/>
          </w:tcPr>
          <w:p>
            <w:pPr>
              <w:spacing w:after="0"/>
              <w:rPr>
                <w:sz w:val="21"/>
                <w:szCs w:val="2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536,781</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666,433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82"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include audit fee, salaries and holiday pay accruals for employees, consultancy fee associated with accounting, taxation and human resources services, and others associated with the on-going running of the Group.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DEFERRED REVENUES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gridSpan w:val="2"/>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service income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35,533</w:t>
            </w:r>
          </w:p>
        </w:tc>
        <w:tc>
          <w:tcPr>
            <w:tcW w:w="1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25,380</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Customization income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82,608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income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217,525</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141,338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335,666</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316,711</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1 April 2021, contract liabilities amounted to $Nil.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relates to revenues that have been invoiced to the client but not yet earned. The deferred revenues are expected to be recognized as revenue in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15.1 Transactions with other related parties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those related party transactions and balances disclosed elsewhere in the consolidated financial statements, the Group had the following transactions with its related parties during the reporting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Year ended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400" w:type="dxa"/>
            <w:vAlign w:val="bottom"/>
          </w:tcPr>
          <w:p>
            <w:pPr>
              <w:spacing w:after="0"/>
              <w:rPr>
                <w:sz w:val="20"/>
                <w:szCs w:val="20"/>
                <w:color w:val="auto"/>
              </w:rPr>
            </w:pP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Notes</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4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income</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387,751</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75,638</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Contractor fee</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charges on:</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(c)</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60,712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1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78,926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loan notes</w:t>
            </w:r>
          </w:p>
        </w:tc>
        <w:tc>
          <w:tcPr>
            <w:tcW w:w="16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(e)</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right="20" w:hanging="652"/>
        <w:spacing w:after="0" w:line="184" w:lineRule="auto"/>
        <w:tabs>
          <w:tab w:leader="none" w:pos="660" w:val="left"/>
        </w:tabs>
        <w:numPr>
          <w:ilvl w:val="0"/>
          <w:numId w:val="12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During the year ended 31 March 2023, the Group entered into sales agreements with shareholders amounting to $387,751 in revenue generated (2022: $75,638).</w:t>
      </w:r>
    </w:p>
    <w:p>
      <w:pPr>
        <w:spacing w:after="0" w:line="198" w:lineRule="exact"/>
        <w:rPr>
          <w:rFonts w:ascii="Times New Roman" w:cs="Times New Roman" w:eastAsia="Times New Roman" w:hAnsi="Times New Roman"/>
          <w:sz w:val="34"/>
          <w:szCs w:val="34"/>
          <w:color w:val="auto"/>
          <w:vertAlign w:val="subscript"/>
        </w:rPr>
      </w:pPr>
    </w:p>
    <w:p>
      <w:pPr>
        <w:ind w:left="660" w:right="20" w:hanging="652"/>
        <w:spacing w:after="0" w:line="184" w:lineRule="auto"/>
        <w:tabs>
          <w:tab w:leader="none" w:pos="660" w:val="left"/>
        </w:tabs>
        <w:numPr>
          <w:ilvl w:val="0"/>
          <w:numId w:val="12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During the year end 31 March 2023, Miles Pelham, controller of the immediate holding company Rhino Ventures Limited, engaged as a contractor to provide management services in return for a fee of $250,000 (2022: $250,000).</w:t>
      </w:r>
    </w:p>
    <w:p>
      <w:pPr>
        <w:spacing w:after="0" w:line="198" w:lineRule="exact"/>
        <w:rPr>
          <w:rFonts w:ascii="Times New Roman" w:cs="Times New Roman" w:eastAsia="Times New Roman" w:hAnsi="Times New Roman"/>
          <w:sz w:val="34"/>
          <w:szCs w:val="34"/>
          <w:color w:val="auto"/>
          <w:vertAlign w:val="subscript"/>
        </w:rPr>
      </w:pPr>
    </w:p>
    <w:p>
      <w:pPr>
        <w:ind w:left="660" w:hanging="652"/>
        <w:spacing w:after="0" w:line="184" w:lineRule="auto"/>
        <w:tabs>
          <w:tab w:leader="none" w:pos="660" w:val="left"/>
        </w:tabs>
        <w:numPr>
          <w:ilvl w:val="0"/>
          <w:numId w:val="12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Group has an outstanding loan of $1,000,000 due to Diginex Holdings Limited, a company controlled by Rhino Ventures Limited. The loan bears an 8% annual interest charge and interest of $60,712 accrued during the year ended 31 March 2023 (2022: $ nil).</w:t>
      </w:r>
    </w:p>
    <w:p>
      <w:pPr>
        <w:spacing w:after="0" w:line="198" w:lineRule="exact"/>
        <w:rPr>
          <w:rFonts w:ascii="Times New Roman" w:cs="Times New Roman" w:eastAsia="Times New Roman" w:hAnsi="Times New Roman"/>
          <w:sz w:val="34"/>
          <w:szCs w:val="34"/>
          <w:color w:val="auto"/>
          <w:vertAlign w:val="subscript"/>
        </w:rPr>
      </w:pPr>
    </w:p>
    <w:p>
      <w:pPr>
        <w:ind w:left="660" w:hanging="652"/>
        <w:spacing w:after="0" w:line="184" w:lineRule="auto"/>
        <w:tabs>
          <w:tab w:leader="none" w:pos="660" w:val="left"/>
        </w:tabs>
        <w:numPr>
          <w:ilvl w:val="0"/>
          <w:numId w:val="124"/>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Group has a loan outstanding from the immediate holding company, Rhino Ventures Limited, with an amount of $2,250,000 at 31 March 2023 (2022: $Nil). The loan bears an 8% annual interest charge and interest of $78,926 accrued during the year ended 31 March 2023 (2022: $ nil).</w:t>
      </w:r>
    </w:p>
    <w:p>
      <w:pPr>
        <w:spacing w:after="0" w:line="198" w:lineRule="exact"/>
        <w:rPr>
          <w:rFonts w:ascii="Times New Roman" w:cs="Times New Roman" w:eastAsia="Times New Roman" w:hAnsi="Times New Roman"/>
          <w:sz w:val="34"/>
          <w:szCs w:val="34"/>
          <w:color w:val="auto"/>
          <w:vertAlign w:val="subscript"/>
        </w:rPr>
      </w:pPr>
    </w:p>
    <w:p>
      <w:pPr>
        <w:ind w:left="660"/>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During the year ended 31 March 2023, the Group issued convertible loan notes to existing Group shareholders. There were notes outstanding of</w:t>
      </w:r>
    </w:p>
    <w:p>
      <w:pPr>
        <w:spacing w:after="0" w:line="27" w:lineRule="exact"/>
        <w:rPr>
          <w:rFonts w:ascii="Times New Roman" w:cs="Times New Roman" w:eastAsia="Times New Roman" w:hAnsi="Times New Roman"/>
          <w:sz w:val="34"/>
          <w:szCs w:val="34"/>
          <w:color w:val="auto"/>
          <w:vertAlign w:val="subscript"/>
        </w:rPr>
      </w:pPr>
    </w:p>
    <w:p>
      <w:pPr>
        <w:ind w:left="660" w:right="20" w:hanging="652"/>
        <w:spacing w:after="0" w:line="260"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$3,269,000 at 31 March 2023. The loan note bears an 8% annual interest charge and interest of $80,822 accrued during the year ended 31 March 2023 (2022: $ nil).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 Amounts due from(to) a related company/ immediate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due from a related company, Diginex (Holdings) Limited of $41,532 (2022: Nil), and immediate holding company, Rhino Ventures of $506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$506) are unsecured, interest-free and repayable on demand.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15.3 Loans from a related company/ immediate holding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31 March 2023, loans from immediate holding company, Rhino Ventures Limited, are unsecured, charging at an interest rate of 8% per annum and are repayable on 31 December 2023. At 31 March 2023, the outstanding principal amount was $2,250,000 (2022: Nil). At 31 March 2023, interest accrued on the loan amounted to $78,926 (2022: Nil) resulting in a total outstanding of $2,328,926 (2022: Nil). Subsequently in December 2023, maturity date of the loans were extended to 31 March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31 March 2023, loans from a related company, Diginex (Holdings) Limited, a company controlled by Rhino Ventures Limited, are unsecured, charging at an interest rate of 8% per annum and are repayable on 31 December 2024. At 31 March 2023, the outstanding principal amount was $1,000,000 (2022: Nil). At 31 March 2023, interest accrued on the loan amounted to $60,712 (2022: Nil) resulting in a total outstanding of $1,060,712 (2022: Nil).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15.4 Acquisition of Diginex Services Limited (“DSL”)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2021, Rhino Ventures Limited transferred its 100% equity interest in DSL to the Company at zero consideration (the “Transfer”). On date of Transfer, DSL has net liabilities of approximately GBP15,600. Given the nature of common control for the Transfer, the Group recognize expenses of GBP15,600 (equivalent to approximately $21,372) in profit or loss for the year ended 31 March 2022 accordingly.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15.4 Key management compensation</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Year ended</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34"/>
        </w:trPr>
        <w:tc>
          <w:tcPr>
            <w:tcW w:w="698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20"/>
                <w:szCs w:val="20"/>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20"/>
                <w:szCs w:val="20"/>
                <w:color w:val="auto"/>
              </w:rPr>
            </w:pPr>
          </w:p>
        </w:tc>
      </w:tr>
      <w:tr>
        <w:trPr>
          <w:trHeight w:val="198"/>
        </w:trPr>
        <w:tc>
          <w:tcPr>
            <w:tcW w:w="6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salaries, allowances and all benefits-in-kind</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1,304,369</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1,224,479</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Pension costs - defined contribution plans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7,885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8,269</w:t>
            </w:r>
          </w:p>
        </w:tc>
        <w:tc>
          <w:tcPr>
            <w:tcW w:w="80" w:type="dxa"/>
            <w:vAlign w:val="bottom"/>
          </w:tcPr>
          <w:p>
            <w:pPr>
              <w:spacing w:after="0"/>
              <w:rPr>
                <w:sz w:val="18"/>
                <w:szCs w:val="18"/>
                <w:color w:val="auto"/>
              </w:rPr>
            </w:pPr>
          </w:p>
        </w:tc>
      </w:tr>
      <w:tr>
        <w:trPr>
          <w:trHeight w:val="24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410,912</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315,667</w:t>
            </w:r>
          </w:p>
        </w:tc>
        <w:tc>
          <w:tcPr>
            <w:tcW w:w="80" w:type="dxa"/>
            <w:vAlign w:val="bottom"/>
            <w:shd w:val="clear" w:color="auto" w:fill="CCEEFF"/>
          </w:tcPr>
          <w:p>
            <w:pPr>
              <w:spacing w:after="0"/>
              <w:rPr>
                <w:sz w:val="21"/>
                <w:szCs w:val="21"/>
                <w:color w:val="auto"/>
              </w:rPr>
            </w:pPr>
          </w:p>
        </w:tc>
      </w:tr>
      <w:tr>
        <w:trPr>
          <w:trHeight w:val="217"/>
        </w:trPr>
        <w:tc>
          <w:tcPr>
            <w:tcW w:w="69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1,723,166</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1,548,415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management personnel are considered as senior representatives of the Group.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PREFERRED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2021, the Company allotted 3,000 Series A Preferred Shares to a new shareholder for a consideration of $6,000,000.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Preferred Share carries a number of votes equal to that of the ordinary shares then issuable upon its conversion into ordinary shares at the record date for determination of the shareholders entitled to vote on such matters. The holders of Series A Preferred Shares and ordinary shares shall vote together as a single class unless it is required by applicable law or the Company’s Article of Association that Series A Preferred Shares to vote separately as a class.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Preferred Share shall automatically be converted into ordinary shares, at the conversion price (i) immediately upon the closing of a qualified initial public offering or (ii) upon the prior written approval of the holders of majority of Series A Preferred Shares (voting together as a single class).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converted earlier pursuant to abovesaid, each holder of Series A Preferred Shares shall have the right, at such holder’s sole discretion, to convert all or any portion of the Series A Preferred Shares into ordinary shares at any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Series A Preferred Shares shall be entitled to receive dividends, prior and in preference to any declaration or payment of any dividend on the ordinary shares or any other class or series of shares issued by the Company, at the rate of four percent per annum of the applicable issue price of the Series A Preferred Shares, on a non-cumulative basis, for each Series A Preferred Share held by such holder.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preferred shares are redeemable at the request of the holders at earlier of (i) a qualified initial public offering has not been consummated on or before the fifth anniversary of the date on which the first Series A Preferred Share was issued; or (ii) a redemption right has been triggered by a materially breach of certain transaction documents by the Company; or (iii) the Company materially fails to comply with applicable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31 March 2023, the carrying amount of preferred shares is $13,460,000 (2022: $11,619,000) with fair value loss of $1,841,000 recognized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31 March 2023 (2022: $5,619,000). For details of fair value measurement, please refer to note 24.5 to the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CONVERTIBLE LOAN NOTES (THE “NOTES”)</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Notes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3,269,000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29"/>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31 March 2023, the Company issued a convertible loan note instrument to create unsecured convertible loan notes of up to USD10,000,000 in aggregate, bears fixed interest rate of 8% per annum. Loan Notes have a maturity date on the second anniversary of the effective date of the subscription.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shall automatically convert into ordinary shares at the conversion price on the earlier of the following events, (i) a relevant fund raising, (ii) change of control, or (iii) an initial public offering (“IPO”). Such senior class of shares to be issued to investors in connection with the relevant fund raising or issued at the completion of the change of control or IPO.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31 March 2023, Notes with face values of $1,000,000, $1,000,000, $1,000,000 and $250,000 were issued in August 2022, January 2023, March 2023 and March 2023, respectively, with aggregate face value of $3,250,000 issued. Fair value loss of $19,000 was recognized during the year ended 31 March 2023 (2022: $Nil).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details of fair value measurement, please refer to note 24.5 to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SHARE CAPITAL</w:t>
            </w:r>
          </w:p>
        </w:tc>
        <w:tc>
          <w:tcPr>
            <w:tcW w:w="1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 a Hong Kong incorporated company, the Company’s shares do not have a par value.</w:t>
            </w:r>
          </w:p>
        </w:tc>
        <w:tc>
          <w:tcPr>
            <w:tcW w:w="1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color w:val="auto"/>
              </w:rPr>
              <w:t>Share Capital</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Shares</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r>
      <w:tr>
        <w:trPr>
          <w:trHeight w:val="216"/>
        </w:trPr>
        <w:tc>
          <w:tcPr>
            <w:tcW w:w="6620" w:type="dxa"/>
            <w:vAlign w:val="bottom"/>
          </w:tcPr>
          <w:p>
            <w:pPr>
              <w:spacing w:after="0"/>
              <w:rPr>
                <w:sz w:val="18"/>
                <w:szCs w:val="18"/>
                <w:color w:val="auto"/>
              </w:rPr>
            </w:pPr>
          </w:p>
        </w:tc>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w:t>
            </w: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2021</w:t>
            </w:r>
          </w:p>
        </w:tc>
        <w:tc>
          <w:tcPr>
            <w:tcW w:w="31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w:t>
            </w:r>
          </w:p>
        </w:tc>
      </w:tr>
      <w:tr>
        <w:trPr>
          <w:trHeight w:val="23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Allotment of shares</w:t>
            </w:r>
          </w:p>
        </w:tc>
        <w:tc>
          <w:tcPr>
            <w:tcW w:w="31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1,582</w:t>
            </w:r>
          </w:p>
        </w:tc>
        <w:tc>
          <w:tcPr>
            <w:tcW w:w="3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3,724,019</w:t>
            </w:r>
          </w:p>
        </w:tc>
      </w:tr>
      <w:tr>
        <w:trPr>
          <w:trHeight w:val="23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 2023 and 2022</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in May 2021, the Company allotted 1,111 ordinary shares to a new shareholder at consideration of $2,222,000. In December 2021 and March 2022, the Company further allotted 157 and 314 ordinary shares to two new shareholders for considerations of $500,673 and $1,001,346 respectively. The purpose of shares issuance is to increase the working capital of the Company. These shares rank pari passu with the existing ordinary shares in all respects.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314 shares issued in March 2022 were issued with conditions. The conditions were based on the use of funds and the provision of information by the Company to the shareholder. Should any conditions not be met then there is a 30 day remediation period to resolve the issue. If such issues cannot be resolved the shareholder can demand the Company to buy back the investment at the higher of the fair value of the investment or the initial investment value. Such conditions lapse on an IPO of the Company. Management considers the possibility of such an outcome to be remote and the fair value of the option to redeem the investment to be immaterial.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19 OTHER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and purpose of reserves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19.1 Share option reserve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option reserve comprises of the fair value of share options that have yet to vest.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19.2 Exchange reserve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Exchange reserve comprises all foreign exchange differences arising from the translation of the financial statement of foreign operation. The reserve is dealt with in accordance with the accounting policies set out in note 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19.3 Accumulated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losses are the cumulative net loss of the Group sustained in the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DIVIDEND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paid in the years ended 31 March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21 SHARE-BASED PAYMENTS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the Company (the “Board”) approved and adopted the Share Option Award Scheme (the “Scheme”) which outlines the grant of share option award (the “Award”) to selected employees and/or consultants of the Group (the “Participant”) to subscribe ordinary shares of the Company (the “Share”). The Board may determine the Participant and grant Shares under the Scheme not exceeding 15% of issued shares in the Company on a fully diluted basis. Purpose of the Scheme is to attract and retain the best available talent for the Company to benefit its business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grant the Participant an Award consisting in the right to acquire or receive a certain number, or a percentage, of Shares (the “Ownership Stake”) determined in the Scheme (each event being an “Award Grant”). The Award Grant shall vest after thirty-six (36) calendar months of continuous employment with, or service to, the Company or of any of its affiliates (the “Vesting Date”). Unless exercised, the Award will lapse and expire after six (6) calendar months from the Vesting Date (“Long Stop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Shares the Participant is entitled to under an Award Grant shall be determined at the Vesting Date. The vesting of the Award Grant shall confer to the Participant the same shareholding percentage in the Company as the Ownership Stake. Unless determined at the time of the Award Grant, such shareholding shall be calculated based on the total number of Shares issued at the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Long Stop Date, should the Company give notice of: 1) merger or acquisition or similar event involving change of control of the Company; or</w:t>
      </w:r>
    </w:p>
    <w:p>
      <w:pPr>
        <w:spacing w:after="0" w:line="27" w:lineRule="exact"/>
        <w:rPr>
          <w:sz w:val="20"/>
          <w:szCs w:val="20"/>
          <w:color w:val="auto"/>
        </w:rPr>
      </w:pPr>
    </w:p>
    <w:p>
      <w:pPr>
        <w:jc w:val="both"/>
        <w:ind w:firstLine="8"/>
        <w:spacing w:after="0" w:line="253" w:lineRule="auto"/>
        <w:tabs>
          <w:tab w:leader="none" w:pos="2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its shares on a recognized and regulated stock exchange, all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Option Grant, which will be locked-up for a period of 15 months from the date of change of control or listing, respectively, (the “Lock-up Period”) and will be released in three (3) equal instalments over a period of six (6) months following the expiration of such Lock-up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Award Grant shall be forfeited and cancelled if before the Vesting Date: (a) the Participant hands in a notice of resignation; (b) the Participant gives notice of termination of service; or (c) the Participant’s employment or service with the Company is terminated for any reason, unless otherwise determined by the Board in its sole and absolute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Details of the Awards granted during the year:</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8"/>
              </w:rPr>
              <w:t>% of share</w:t>
            </w:r>
          </w:p>
        </w:tc>
        <w:tc>
          <w:tcPr>
            <w:tcW w:w="2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Fair value per</w:t>
            </w:r>
          </w:p>
        </w:tc>
      </w:tr>
      <w:tr>
        <w:trPr>
          <w:trHeight w:val="230"/>
        </w:trPr>
        <w:tc>
          <w:tcPr>
            <w:tcW w:w="2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option award</w:t>
            </w:r>
          </w:p>
        </w:tc>
        <w:tc>
          <w:tcPr>
            <w:tcW w:w="2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option at</w:t>
            </w:r>
          </w:p>
        </w:tc>
      </w:tr>
      <w:tr>
        <w:trPr>
          <w:trHeight w:val="241"/>
        </w:trPr>
        <w:tc>
          <w:tcPr>
            <w:tcW w:w="346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Grant date</w:t>
            </w:r>
          </w:p>
        </w:tc>
        <w:tc>
          <w:tcPr>
            <w:tcW w:w="17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to vest</w:t>
            </w:r>
          </w:p>
        </w:tc>
        <w:tc>
          <w:tcPr>
            <w:tcW w:w="25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Vesting period</w:t>
            </w: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2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From</w:t>
            </w:r>
          </w:p>
        </w:tc>
        <w:tc>
          <w:tcPr>
            <w:tcW w:w="14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w:t>
            </w:r>
          </w:p>
        </w:tc>
        <w:tc>
          <w:tcPr>
            <w:tcW w:w="20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r>
      <w:tr>
        <w:trPr>
          <w:trHeight w:val="216"/>
        </w:trPr>
        <w:tc>
          <w:tcPr>
            <w:tcW w:w="34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1-Apr-2021</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50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8"/>
              </w:rPr>
              <w:t>1-Apr-2021</w:t>
            </w:r>
          </w:p>
        </w:tc>
        <w:tc>
          <w:tcPr>
            <w:tcW w:w="16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31-Mar-2024</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1,118</w:t>
            </w:r>
          </w:p>
        </w:tc>
      </w:tr>
      <w:tr>
        <w:trPr>
          <w:trHeight w:val="216"/>
        </w:trPr>
        <w:tc>
          <w:tcPr>
            <w:tcW w:w="34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12-Jul-2021</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12-Jul-2021</w:t>
            </w: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7"/>
              </w:rPr>
              <w:t>11-Apr-2024</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3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30-Jul-2021  *</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30-Jul-2021</w:t>
            </w:r>
          </w:p>
        </w:tc>
        <w:tc>
          <w:tcPr>
            <w:tcW w:w="16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1-Jul-2023</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3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25-Apr-2022  *</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50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25-Apr-2022</w:t>
            </w: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31-Mar-2023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3,218</w:t>
            </w:r>
          </w:p>
        </w:tc>
      </w:tr>
      <w:tr>
        <w:trPr>
          <w:trHeight w:val="216"/>
        </w:trPr>
        <w:tc>
          <w:tcPr>
            <w:tcW w:w="34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25-May-2022</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50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rPr>
              <w:t>25-May-2022</w:t>
            </w:r>
          </w:p>
        </w:tc>
        <w:tc>
          <w:tcPr>
            <w:tcW w:w="16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5-Nov-2023</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w:t>
            </w:r>
          </w:p>
        </w:tc>
      </w:tr>
      <w:tr>
        <w:trPr>
          <w:trHeight w:val="216"/>
        </w:trPr>
        <w:tc>
          <w:tcPr>
            <w:tcW w:w="34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26-Sep-2022</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26-Sep-2022</w:t>
            </w: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25-Sep-2025</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3,488</w:t>
            </w:r>
          </w:p>
        </w:tc>
      </w:tr>
      <w:tr>
        <w:trPr>
          <w:trHeight w:val="216"/>
        </w:trPr>
        <w:tc>
          <w:tcPr>
            <w:tcW w:w="3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18-Oct-2022 **</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500" w:type="dxa"/>
            <w:vAlign w:val="bottom"/>
            <w:shd w:val="clear" w:color="auto" w:fill="CCEEFF"/>
          </w:tcPr>
          <w:p>
            <w:pPr>
              <w:jc w:val="center"/>
              <w:ind w:right="530"/>
              <w:spacing w:after="0"/>
              <w:rPr>
                <w:sz w:val="20"/>
                <w:szCs w:val="20"/>
                <w:color w:val="auto"/>
              </w:rPr>
            </w:pPr>
            <w:r>
              <w:rPr>
                <w:rFonts w:ascii="Times New Roman" w:cs="Times New Roman" w:eastAsia="Times New Roman" w:hAnsi="Times New Roman"/>
                <w:sz w:val="18"/>
                <w:szCs w:val="18"/>
                <w:color w:val="auto"/>
                <w:w w:val="99"/>
              </w:rPr>
              <w:t>18-Oct-2022</w:t>
            </w:r>
          </w:p>
        </w:tc>
        <w:tc>
          <w:tcPr>
            <w:tcW w:w="160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1-Sep-2024</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3,515</w:t>
            </w:r>
          </w:p>
        </w:tc>
      </w:tr>
      <w:tr>
        <w:trPr>
          <w:trHeight w:val="216"/>
        </w:trPr>
        <w:tc>
          <w:tcPr>
            <w:tcW w:w="3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23-Nov-2022 **</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25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8"/>
              </w:rPr>
              <w:t>23-Nov-2022</w:t>
            </w: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1-Jul-2023</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3,570</w:t>
            </w:r>
          </w:p>
        </w:tc>
      </w:tr>
      <w:tr>
        <w:trPr>
          <w:trHeight w:val="216"/>
        </w:trPr>
        <w:tc>
          <w:tcPr>
            <w:tcW w:w="34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12-Jan-2023 **</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2500" w:type="dxa"/>
            <w:vAlign w:val="bottom"/>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12-Jan-2023</w:t>
            </w:r>
          </w:p>
        </w:tc>
        <w:tc>
          <w:tcPr>
            <w:tcW w:w="16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1-Jul-2023</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w:t>
            </w:r>
          </w:p>
        </w:tc>
      </w:tr>
    </w:tbl>
    <w:p>
      <w:pPr>
        <w:spacing w:after="0" w:line="198" w:lineRule="exact"/>
        <w:rPr>
          <w:sz w:val="20"/>
          <w:szCs w:val="20"/>
          <w:color w:val="auto"/>
        </w:rPr>
      </w:pPr>
    </w:p>
    <w:p>
      <w:pPr>
        <w:ind w:left="660" w:hanging="652"/>
        <w:spacing w:after="0" w:line="184" w:lineRule="auto"/>
        <w:tabs>
          <w:tab w:leader="none" w:pos="660" w:val="left"/>
        </w:tabs>
        <w:numPr>
          <w:ilvl w:val="0"/>
          <w:numId w:val="12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Fair value of the Awards as of 30 July 2021 is determined using interpolation method between the fair values determined on 1 July 2021 and 1 April 2022. Fair value of the Awards as of 25 April 2022 is approximated to that as of 1 April 2022.</w:t>
      </w:r>
    </w:p>
    <w:p>
      <w:pPr>
        <w:spacing w:after="0" w:line="198" w:lineRule="exact"/>
        <w:rPr>
          <w:sz w:val="20"/>
          <w:szCs w:val="20"/>
          <w:color w:val="auto"/>
        </w:rPr>
      </w:pPr>
    </w:p>
    <w:p>
      <w:pPr>
        <w:ind w:left="660" w:hanging="652"/>
        <w:spacing w:after="0" w:line="184" w:lineRule="auto"/>
        <w:tabs>
          <w:tab w:leader="none" w:pos="660" w:val="left"/>
        </w:tabs>
        <w:numPr>
          <w:ilvl w:val="0"/>
          <w:numId w:val="127"/>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Fair values of the Awards as of 18 October 2022, 23 November 2022 and 1 January 2023 are determined using interpolation method between the fair values determined on 30 September 2022 and 31 March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unvested shares (based on number of the Company’s shares-in-issue at the end of each reporting period) and movement of share option reserve: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Number of</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Share option</w:t>
            </w: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unvested shares</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reserve</w:t>
            </w: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2021</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97,834</w:t>
            </w: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401,974</w:t>
            </w:r>
          </w:p>
        </w:tc>
        <w:tc>
          <w:tcPr>
            <w:tcW w:w="80" w:type="dxa"/>
            <w:vAlign w:val="bottom"/>
          </w:tcPr>
          <w:p>
            <w:pPr>
              <w:spacing w:after="0"/>
              <w:rPr>
                <w:sz w:val="20"/>
                <w:szCs w:val="20"/>
                <w:color w:val="auto"/>
              </w:rPr>
            </w:pP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 2022</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584,462</w:t>
            </w:r>
          </w:p>
        </w:tc>
        <w:tc>
          <w:tcPr>
            <w:tcW w:w="80" w:type="dxa"/>
            <w:vAlign w:val="bottom"/>
          </w:tcPr>
          <w:p>
            <w:pPr>
              <w:spacing w:after="0"/>
              <w:rPr>
                <w:sz w:val="20"/>
                <w:szCs w:val="20"/>
                <w:color w:val="auto"/>
              </w:rPr>
            </w:pP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31 March 2023</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Awards granted is estimated at the grant date using discounted cash flow (“DCF”), Backsolve model (“BM”) and equity allocation model (“EAM”). The following table lists the inputs to those models at respective grant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Lack of</w:t>
            </w:r>
          </w:p>
        </w:tc>
        <w:tc>
          <w:tcPr>
            <w:tcW w:w="17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Lack of</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Dates of fair</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Terminal</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marketability</w:t>
            </w:r>
          </w:p>
        </w:tc>
        <w:tc>
          <w:tcPr>
            <w:tcW w:w="17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control</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approach</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growth rate</w:t>
            </w: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7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discount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0" w:type="dxa"/>
            <w:vAlign w:val="bottom"/>
          </w:tcPr>
          <w:p>
            <w:pPr>
              <w:spacing w:after="0"/>
              <w:rPr>
                <w:sz w:val="1"/>
                <w:szCs w:val="1"/>
                <w:color w:val="auto"/>
              </w:rPr>
            </w:pPr>
          </w:p>
        </w:tc>
      </w:tr>
      <w:tr>
        <w:trPr>
          <w:trHeight w:val="27"/>
        </w:trPr>
        <w:tc>
          <w:tcPr>
            <w:tcW w:w="11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1-Apr-2021</w:t>
            </w:r>
          </w:p>
        </w:tc>
        <w:tc>
          <w:tcPr>
            <w:tcW w:w="22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DCF</w:t>
            </w:r>
          </w:p>
        </w:tc>
        <w:tc>
          <w:tcPr>
            <w:tcW w:w="22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Not used</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1-Jul-2021</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BM</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Not used</w:t>
            </w: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Not used</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41.05%</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1-Apr-2022</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25-May-2022</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1-Sep-2022</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30-Sep-2022</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31-Mar-2023</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DCF &amp; EAM</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equity value at 100% basis is determined using DCF method based on the estimates of cash flows as of the grant date discounted using an appropriate discount rate, having considered relevant risk factors.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22 RECONCILIATION OF LIABILITIES ARISING FROM 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Amount</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due from</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Loan from</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Loan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immediate</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immediate</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from a</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Preferred</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Convertible</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holding</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holding</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related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shares</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loan notes</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company</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company</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company</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3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 2021</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2,269,810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2,269,810</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6,000,000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6,380,000</w:t>
            </w: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(2,649,304)</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(2,649,304)</w:t>
            </w: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5,619,000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5,619,000</w:t>
            </w:r>
          </w:p>
        </w:tc>
        <w:tc>
          <w:tcPr>
            <w:tcW w:w="80" w:type="dxa"/>
            <w:vAlign w:val="bottom"/>
            <w:shd w:val="clear" w:color="auto" w:fill="CCEEFF"/>
          </w:tcPr>
          <w:p>
            <w:pPr>
              <w:spacing w:after="0"/>
              <w:rPr>
                <w:sz w:val="21"/>
                <w:szCs w:val="21"/>
                <w:color w:val="auto"/>
              </w:rPr>
            </w:pPr>
          </w:p>
        </w:tc>
      </w:tr>
      <w:tr>
        <w:trPr>
          <w:trHeight w:val="203"/>
        </w:trPr>
        <w:tc>
          <w:tcPr>
            <w:tcW w:w="4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At 31 March 2022</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11,619,000</w:t>
            </w:r>
          </w:p>
        </w:tc>
        <w:tc>
          <w:tcPr>
            <w:tcW w:w="3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32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11,619,506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3,250,000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600,000</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2,250,000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7,100,000</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(600,000)</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80,822</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78,926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60,712</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220,460</w:t>
            </w:r>
          </w:p>
        </w:tc>
        <w:tc>
          <w:tcPr>
            <w:tcW w:w="80" w:type="dxa"/>
            <w:vAlign w:val="bottom"/>
          </w:tcPr>
          <w:p>
            <w:pPr>
              <w:spacing w:after="0"/>
              <w:rPr>
                <w:sz w:val="18"/>
                <w:szCs w:val="18"/>
                <w:color w:val="auto"/>
              </w:rPr>
            </w:pPr>
          </w:p>
        </w:tc>
      </w:tr>
      <w:tr>
        <w:trPr>
          <w:trHeight w:val="24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1,841,000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19,000</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1,860,000</w:t>
            </w:r>
          </w:p>
        </w:tc>
        <w:tc>
          <w:tcPr>
            <w:tcW w:w="80" w:type="dxa"/>
            <w:vAlign w:val="bottom"/>
            <w:shd w:val="clear" w:color="auto" w:fill="CCEEFF"/>
          </w:tcPr>
          <w:p>
            <w:pPr>
              <w:spacing w:after="0"/>
              <w:rPr>
                <w:sz w:val="21"/>
                <w:szCs w:val="21"/>
                <w:color w:val="auto"/>
              </w:rPr>
            </w:pPr>
          </w:p>
        </w:tc>
      </w:tr>
      <w:tr>
        <w:trPr>
          <w:trHeight w:val="217"/>
        </w:trPr>
        <w:tc>
          <w:tcPr>
            <w:tcW w:w="4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At 31 March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13,460,000</w:t>
            </w: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3,349,822</w:t>
            </w: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2,328,926</w:t>
            </w: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1,060,712</w:t>
            </w: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20,199,966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subsidiaries on March 31, 2023 are set out below. Unless otherwise stated, they have share capital consisting solely of ordinary shares that are held directly by the Group. The country of incorporation or registration is also their principal business place of business. Particulars of the subsidiaries as of March 31, 2023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Place of</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Particulars of</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Percentage of</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Incorporation and</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issued/registered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ownership</w:t>
            </w:r>
          </w:p>
        </w:tc>
      </w:tr>
      <w:tr>
        <w:trPr>
          <w:trHeight w:val="241"/>
        </w:trPr>
        <w:tc>
          <w:tcPr>
            <w:tcW w:w="2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Name of entity</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operation</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Principal activities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w:t>
            </w:r>
          </w:p>
        </w:tc>
      </w:tr>
      <w:tr>
        <w:trPr>
          <w:trHeight w:val="198"/>
        </w:trPr>
        <w:tc>
          <w:tcPr>
            <w:tcW w:w="226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Diginex USA, LLC</w:t>
            </w:r>
          </w:p>
        </w:tc>
        <w:tc>
          <w:tcPr>
            <w:tcW w:w="2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United States of America</w:t>
            </w:r>
          </w:p>
        </w:tc>
        <w:tc>
          <w:tcPr>
            <w:tcW w:w="22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Provision of ESG reporting</w:t>
            </w:r>
          </w:p>
        </w:tc>
        <w:tc>
          <w:tcPr>
            <w:tcW w:w="2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 Class A Units</w:t>
            </w:r>
          </w:p>
        </w:tc>
        <w:tc>
          <w:tcPr>
            <w:tcW w:w="2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Direct 100%</w:t>
            </w:r>
          </w:p>
        </w:tc>
      </w:tr>
      <w:tr>
        <w:trPr>
          <w:trHeight w:val="234"/>
        </w:trPr>
        <w:tc>
          <w:tcPr>
            <w:tcW w:w="2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of $10 each</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 100%)</w:t>
            </w:r>
          </w:p>
        </w:tc>
      </w:tr>
      <w:tr>
        <w:trPr>
          <w:trHeight w:val="198"/>
        </w:trPr>
        <w:tc>
          <w:tcPr>
            <w:tcW w:w="25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Diginex Services</w:t>
            </w:r>
          </w:p>
        </w:tc>
        <w:tc>
          <w:tcPr>
            <w:tcW w:w="22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United Kingdom</w:t>
            </w:r>
          </w:p>
        </w:tc>
        <w:tc>
          <w:tcPr>
            <w:tcW w:w="22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Provision of ESG reporting</w:t>
            </w:r>
          </w:p>
        </w:tc>
        <w:tc>
          <w:tcPr>
            <w:tcW w:w="222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Ordinary shares of</w:t>
            </w:r>
          </w:p>
        </w:tc>
        <w:tc>
          <w:tcPr>
            <w:tcW w:w="2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Direct 100%</w:t>
            </w:r>
          </w:p>
        </w:tc>
      </w:tr>
      <w:tr>
        <w:trPr>
          <w:trHeight w:val="234"/>
        </w:trPr>
        <w:tc>
          <w:tcPr>
            <w:tcW w:w="2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Limited</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solutions services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pence each</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100%)</w:t>
            </w:r>
          </w:p>
        </w:tc>
      </w:tr>
      <w:tr>
        <w:trPr>
          <w:trHeight w:val="439"/>
        </w:trPr>
        <w:tc>
          <w:tcPr>
            <w:tcW w:w="2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F-56</w:t>
            </w:r>
          </w:p>
        </w:tc>
        <w:tc>
          <w:tcPr>
            <w:tcW w:w="2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24 FINANCIAL RISK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 Market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are minimized by the financial management policies and practices described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24.1.2 Foreign currency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is formalizing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24.1.3 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24.2 Credit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exposure to credit risk arising from deposits in banks as well as trade receivables. Credit risk is managed on a Group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the Group’s maximum exposure to credit risk is the amount of the Group’s carrying value of the related financial assets and liabilities as of the end of the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24.2.1 Deposits with bank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Group’s deposit with bank, the Group limits its exposure to credit risk by placing deposits with financial institution with high credit rating and no recent history of default. Given the high credit ratings of the banks, management does not expect any counterparty to fail to meet its obligations. Management will continue to monitor the position and will take appropriate action if their ratings are changed. As at 31 March 2023 and 2022, the Group had a concentration of deposits with one bank but does have additional banking relationships to mitigate any concentration risk.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Despite the Group having a banking relationship with Signature Bank, the collapse of the bank in March 2023 did not significantly affect the Group’s finances. This is due to the fact that the Group had a minimal bank balance held at Signature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24.3 Liquidity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24.3.1 Financing arrangement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24.3.2 Maturities of financial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Within</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642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 year</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 years</w:t>
            </w: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64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gridSpan w:val="2"/>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31 March 2023</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187,584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187,584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349,197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349,197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335,666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335,666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Loan from immediate holding company</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2,328,926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2,328,926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related company</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1,060,712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1,060,712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13,460,000</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13,460,000</w:t>
            </w:r>
          </w:p>
        </w:tc>
        <w:tc>
          <w:tcPr>
            <w:tcW w:w="60" w:type="dxa"/>
            <w:vAlign w:val="bottom"/>
          </w:tcPr>
          <w:p>
            <w:pPr>
              <w:spacing w:after="0"/>
              <w:rPr>
                <w:sz w:val="18"/>
                <w:szCs w:val="18"/>
                <w:color w:val="auto"/>
              </w:rPr>
            </w:pPr>
          </w:p>
        </w:tc>
      </w:tr>
      <w:tr>
        <w:trPr>
          <w:trHeight w:val="25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3,349,822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3,349,822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56"/>
        </w:trPr>
        <w:tc>
          <w:tcPr>
            <w:tcW w:w="6420" w:type="dxa"/>
            <w:vAlign w:val="bottom"/>
            <w:tcBorders>
              <w:top w:val="single" w:sz="8" w:color="CCEEFF"/>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3,201,879</w:t>
            </w:r>
          </w:p>
        </w:tc>
        <w:tc>
          <w:tcPr>
            <w:tcW w:w="360" w:type="dxa"/>
            <w:vAlign w:val="bottom"/>
            <w:tcBorders>
              <w:top w:val="single" w:sz="8" w:color="CCEEFF"/>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17,870,534</w:t>
            </w:r>
          </w:p>
        </w:tc>
        <w:tc>
          <w:tcPr>
            <w:tcW w:w="320" w:type="dxa"/>
            <w:vAlign w:val="bottom"/>
            <w:tcBorders>
              <w:top w:val="single" w:sz="8" w:color="CCEEFF"/>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21,072,413</w:t>
            </w:r>
          </w:p>
        </w:tc>
        <w:tc>
          <w:tcPr>
            <w:tcW w:w="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r>
      <w:tr>
        <w:trPr>
          <w:trHeight w:val="197"/>
        </w:trPr>
        <w:tc>
          <w:tcPr>
            <w:tcW w:w="6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31 March 2022</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376,764</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376,764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and accruals</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289,669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289,669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316,711</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316,711</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18"/>
                <w:szCs w:val="18"/>
                <w:color w:val="auto"/>
              </w:rPr>
            </w:pPr>
          </w:p>
        </w:tc>
      </w:tr>
      <w:tr>
        <w:trPr>
          <w:trHeight w:val="25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11,619,000</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11,619,000</w:t>
            </w:r>
          </w:p>
        </w:tc>
        <w:tc>
          <w:tcPr>
            <w:tcW w:w="60" w:type="dxa"/>
            <w:vAlign w:val="bottom"/>
            <w:shd w:val="clear" w:color="auto" w:fill="CCEEFF"/>
          </w:tcPr>
          <w:p>
            <w:pPr>
              <w:spacing w:after="0"/>
              <w:rPr>
                <w:sz w:val="21"/>
                <w:szCs w:val="21"/>
                <w:color w:val="auto"/>
              </w:rPr>
            </w:pPr>
          </w:p>
        </w:tc>
      </w:tr>
      <w:tr>
        <w:trPr>
          <w:trHeight w:val="216"/>
        </w:trPr>
        <w:tc>
          <w:tcPr>
            <w:tcW w:w="642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983,650</w:t>
            </w:r>
          </w:p>
        </w:tc>
        <w:tc>
          <w:tcPr>
            <w:tcW w:w="3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11,619,000</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12,602,650</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24.4 Capital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objectives when managing capital are to safeguard the Group’s ability to continue as a going concern and to maximize the return to the shareholders through the optimization of the debt and equity balance.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year ended 31 March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24.5 Fair values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24.5.1 Fair value hierarchy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explains the judgements and estimates made in determining the fair values of financial instruments in the consolidated financial statements. To provide an indication about the reliability of the inputs used in determining fair value, the Group has classified its financial instruments and non-financial assets into the three levels prescribed under the accounting standards. An explanation of each level is set out in Note 3. There is no transfer between level 1, 2 or 3 during both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measurements using level 3</w:t>
            </w:r>
          </w:p>
        </w:tc>
        <w:tc>
          <w:tcPr>
            <w:tcW w:w="2780" w:type="dxa"/>
            <w:vAlign w:val="bottom"/>
          </w:tcPr>
          <w:p>
            <w:pPr>
              <w:spacing w:after="0"/>
              <w:rPr>
                <w:sz w:val="18"/>
                <w:szCs w:val="18"/>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4200" w:type="dxa"/>
            <w:vAlign w:val="bottom"/>
            <w:vMerge w:val="continue"/>
          </w:tcPr>
          <w:p>
            <w:pPr>
              <w:spacing w:after="0"/>
              <w:rPr>
                <w:sz w:val="20"/>
                <w:szCs w:val="20"/>
                <w:color w:val="auto"/>
              </w:rPr>
            </w:pPr>
          </w:p>
        </w:tc>
        <w:tc>
          <w:tcPr>
            <w:tcW w:w="27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 fair value</w:t>
            </w:r>
          </w:p>
        </w:tc>
        <w:tc>
          <w:tcPr>
            <w:tcW w:w="2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5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13,460,000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11,619,000</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loan notes</w:t>
            </w:r>
          </w:p>
        </w:tc>
        <w:tc>
          <w:tcPr>
            <w:tcW w:w="5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3,269,000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2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3"/>
          </w:tcPr>
          <w:p>
            <w:pPr>
              <w:jc w:val="right"/>
              <w:ind w:right="3420"/>
              <w:spacing w:after="0"/>
              <w:rPr>
                <w:sz w:val="20"/>
                <w:szCs w:val="20"/>
                <w:color w:val="auto"/>
              </w:rPr>
            </w:pPr>
            <w:r>
              <w:rPr>
                <w:rFonts w:ascii="Times New Roman" w:cs="Times New Roman" w:eastAsia="Times New Roman" w:hAnsi="Times New Roman"/>
                <w:sz w:val="18"/>
                <w:szCs w:val="18"/>
                <w:color w:val="auto"/>
              </w:rPr>
              <w:t>F-58</w:t>
            </w: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24.5.2 Valuation techniques used to determine fair values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lists the valuation techniques and key inputs used by the Group to value its Level 3 financial instruments. There has been no change in valuation technique during the year ended 31 March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Relationship of</w:t>
            </w: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as at</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Valuation techniques and</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Significant unobservable</w:t>
            </w: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unobservable inputs to</w:t>
            </w:r>
          </w:p>
        </w:tc>
      </w:tr>
      <w:tr>
        <w:trPr>
          <w:trHeight w:val="245"/>
        </w:trPr>
        <w:tc>
          <w:tcPr>
            <w:tcW w:w="2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 March 2023</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 and sensitivity</w:t>
            </w:r>
          </w:p>
        </w:tc>
      </w:tr>
      <w:tr>
        <w:trPr>
          <w:trHeight w:val="198"/>
        </w:trPr>
        <w:tc>
          <w:tcPr>
            <w:tcW w:w="20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Preferred shares</w:t>
            </w:r>
          </w:p>
        </w:tc>
        <w:tc>
          <w:tcPr>
            <w:tcW w:w="3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USD13,460,000</w:t>
            </w:r>
          </w:p>
        </w:tc>
        <w:tc>
          <w:tcPr>
            <w:tcW w:w="3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Discounted cash flows and</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Discount rate, revenue</w:t>
            </w:r>
          </w:p>
        </w:tc>
        <w:tc>
          <w:tcPr>
            <w:tcW w:w="2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slight increase in the</w:t>
            </w: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USD11,619,000)</w:t>
            </w: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allocation model</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rate</w:t>
            </w:r>
          </w:p>
        </w:tc>
        <w:tc>
          <w:tcPr>
            <w:tcW w:w="2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discount rate or decrease in</w:t>
            </w: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revenue growth rate used in</w:t>
            </w:r>
          </w:p>
        </w:tc>
      </w:tr>
      <w:tr>
        <w:trPr>
          <w:trHeight w:val="216"/>
        </w:trPr>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isolation would result in a</w:t>
            </w:r>
          </w:p>
        </w:tc>
      </w:tr>
      <w:tr>
        <w:trPr>
          <w:trHeight w:val="234"/>
        </w:trPr>
        <w:tc>
          <w:tcPr>
            <w:tcW w:w="2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 the fair value</w:t>
            </w:r>
          </w:p>
        </w:tc>
      </w:tr>
      <w:tr>
        <w:trPr>
          <w:trHeight w:val="198"/>
        </w:trPr>
        <w:tc>
          <w:tcPr>
            <w:tcW w:w="238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rPr>
              <w:t>Convertible loan notes</w:t>
            </w: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USD3,269,000</w:t>
            </w:r>
          </w:p>
        </w:tc>
        <w:tc>
          <w:tcPr>
            <w:tcW w:w="2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Binomial Model</w:t>
            </w:r>
          </w:p>
        </w:tc>
        <w:tc>
          <w:tcPr>
            <w:tcW w:w="2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Discount rate</w:t>
            </w:r>
          </w:p>
        </w:tc>
        <w:tc>
          <w:tcPr>
            <w:tcW w:w="2220" w:type="dxa"/>
            <w:vAlign w:val="bottom"/>
            <w:gridSpan w:val="5"/>
          </w:tcPr>
          <w:p>
            <w:pPr>
              <w:ind w:left="200"/>
              <w:spacing w:after="0" w:line="198" w:lineRule="exact"/>
              <w:rPr>
                <w:sz w:val="20"/>
                <w:szCs w:val="20"/>
                <w:color w:val="auto"/>
              </w:rPr>
            </w:pPr>
            <w:r>
              <w:rPr>
                <w:rFonts w:ascii="Times New Roman" w:cs="Times New Roman" w:eastAsia="Times New Roman" w:hAnsi="Times New Roman"/>
                <w:sz w:val="18"/>
                <w:szCs w:val="18"/>
                <w:color w:val="auto"/>
              </w:rPr>
              <w:t>A slight increase in the</w:t>
            </w: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(2022: Nil)</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discount rate used in</w:t>
            </w: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isolation would result in a</w:t>
            </w:r>
          </w:p>
        </w:tc>
      </w:tr>
      <w:tr>
        <w:trPr>
          <w:trHeight w:val="234"/>
        </w:trPr>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decrease in the fair value</w:t>
            </w:r>
          </w:p>
        </w:tc>
      </w:tr>
      <w:tr>
        <w:trPr>
          <w:trHeight w:val="432"/>
        </w:trPr>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24.5.3 Reconciliation of Level 3 fair value measurements</w:t>
            </w: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4"/>
        </w:trPr>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At</w:t>
            </w:r>
          </w:p>
        </w:tc>
        <w:tc>
          <w:tcPr>
            <w:tcW w:w="200" w:type="dxa"/>
            <w:vAlign w:val="bottom"/>
          </w:tcPr>
          <w:p>
            <w:pPr>
              <w:spacing w:after="0"/>
              <w:rPr>
                <w:sz w:val="24"/>
                <w:szCs w:val="24"/>
                <w:color w:val="auto"/>
              </w:rPr>
            </w:pPr>
          </w:p>
        </w:tc>
        <w:tc>
          <w:tcPr>
            <w:tcW w:w="2020" w:type="dxa"/>
            <w:vAlign w:val="bottom"/>
            <w:gridSpan w:val="4"/>
          </w:tcPr>
          <w:p>
            <w:pPr>
              <w:ind w:left="1680"/>
              <w:spacing w:after="0"/>
              <w:rPr>
                <w:sz w:val="20"/>
                <w:szCs w:val="20"/>
                <w:color w:val="auto"/>
              </w:rPr>
            </w:pPr>
            <w:r>
              <w:rPr>
                <w:rFonts w:ascii="Times New Roman" w:cs="Times New Roman" w:eastAsia="Times New Roman" w:hAnsi="Times New Roman"/>
                <w:sz w:val="18"/>
                <w:szCs w:val="18"/>
                <w:color w:val="auto"/>
              </w:rPr>
              <w:t>At</w:t>
            </w:r>
          </w:p>
        </w:tc>
      </w:tr>
      <w:tr>
        <w:trPr>
          <w:trHeight w:val="241"/>
        </w:trPr>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March 2023</w:t>
            </w:r>
          </w:p>
        </w:tc>
        <w:tc>
          <w:tcPr>
            <w:tcW w:w="200" w:type="dxa"/>
            <w:vAlign w:val="bottom"/>
          </w:tcPr>
          <w:p>
            <w:pPr>
              <w:spacing w:after="0"/>
              <w:rPr>
                <w:sz w:val="20"/>
                <w:szCs w:val="20"/>
                <w:color w:val="auto"/>
              </w:rPr>
            </w:pPr>
          </w:p>
        </w:tc>
        <w:tc>
          <w:tcPr>
            <w:tcW w:w="20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r>
      <w:tr>
        <w:trPr>
          <w:trHeight w:val="216"/>
        </w:trPr>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gridSpan w:val="2"/>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1 April</w:t>
            </w:r>
          </w:p>
        </w:tc>
        <w:tc>
          <w:tcPr>
            <w:tcW w:w="2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12,620,346</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3,250,000</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7,001,346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adjustments</w:t>
            </w:r>
          </w:p>
        </w:tc>
        <w:tc>
          <w:tcPr>
            <w:tcW w:w="2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1,860,000</w:t>
            </w:r>
          </w:p>
        </w:tc>
        <w:tc>
          <w:tcPr>
            <w:tcW w:w="2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5,619,000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6"/>
        </w:trPr>
        <w:tc>
          <w:tcPr>
            <w:tcW w:w="23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At 31 March</w:t>
            </w:r>
          </w:p>
        </w:tc>
        <w:tc>
          <w:tcPr>
            <w:tcW w:w="20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17,730,346</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12,620,346</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24.5.4 Financial assets and financial liabilities measured at amortized cost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At</w:t>
            </w:r>
          </w:p>
        </w:tc>
        <w:tc>
          <w:tcPr>
            <w:tcW w:w="202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rPr>
                <w:sz w:val="1"/>
                <w:szCs w:val="1"/>
                <w:color w:val="auto"/>
              </w:rPr>
            </w:pPr>
          </w:p>
        </w:tc>
      </w:tr>
      <w:tr>
        <w:trPr>
          <w:trHeight w:val="241"/>
        </w:trPr>
        <w:tc>
          <w:tcPr>
            <w:tcW w:w="698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 March 2023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 March 2022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USD</w:t>
            </w:r>
          </w:p>
        </w:tc>
        <w:tc>
          <w:tcPr>
            <w:tcW w:w="320" w:type="dxa"/>
            <w:vAlign w:val="bottom"/>
          </w:tcPr>
          <w:p>
            <w:pPr>
              <w:spacing w:after="0"/>
              <w:rPr>
                <w:sz w:val="18"/>
                <w:szCs w:val="18"/>
                <w:color w:val="auto"/>
              </w:rPr>
            </w:pPr>
          </w:p>
        </w:tc>
        <w:tc>
          <w:tcPr>
            <w:tcW w:w="1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289,788</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26,989</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69,147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related company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41,532</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1,183,176</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1,274,494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1,541,627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187,584</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5,081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immediate holding company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506</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Loan from a related company</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1,060,712</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immediate holding company</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2,328,926</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98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3,582,809</w:t>
            </w:r>
          </w:p>
        </w:tc>
        <w:tc>
          <w:tcPr>
            <w:tcW w:w="320" w:type="dxa"/>
            <w:vAlign w:val="bottom"/>
            <w:tcBorders>
              <w:top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382,361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IAS 10 “Events after the Reporting Period”, which establishes general standards of accounting for and disclosure of events that occur after the balance sheet date but before financial statements are issued, the Company has evaluated all events or transactions that occurred after the balance sheet date, up through the date the Company issued the financial statements.</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28 September 2023, the Company entered into a share subscription agreement with Rhino Ventures Limited. Pursuant to the share subscription agreement, Rhino Ventures Limited agreed to subscribe for and purchase and the Company agreed to issue, allot and sell 5,086 ordinary shares and 10,172 warrants of the Company to Rhino Ventures Limited with total consideration by cash of $8 million. Each warrants can purchase one ordinary share and are exercisable for a period of three years from the date they are issued and shall be exercisable at a valuation of $50 million. Up to the date of these consolidated financial statements, the Company has received $5.3 million of the total subscription amount. The shares and warrants will be issued when the subscription is paid in full.</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5 October 2023, the Company issued 44 shares to an employee via the exercising of vesting employee share options.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30 December 2023, the Company and Rhino Ventures Limited extended the repayment terms of the loan agreement between both parties to 31 March 2024. See note 15.3.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25 January 2024, the Company signed an engagement letter with Chardan Capital Markets LLC (“Chardan”) to act as lead underwriter, financial advisor, sole bookrunner and investment banker with respect to U.S. investors in connection with the proposed initial public offering of the Company. The Company shall pay to Chardan an underwriting discount or spread of six percent (6.0%) (the “Gross Spread”) or the aggregate</w:t>
      </w:r>
    </w:p>
    <w:p>
      <w:pPr>
        <w:sectPr>
          <w:pgSz w:w="11900" w:h="16838" w:orient="portrait"/>
          <w:cols w:equalWidth="0" w:num="1">
            <w:col w:w="11240"/>
          </w:cols>
          <w:pgMar w:left="320" w:top="657" w:right="339" w:bottom="0" w:gutter="0" w:footer="0" w:header="0"/>
        </w:sectPr>
      </w:pPr>
    </w:p>
    <w:bookmarkStart w:id="187" w:name="page188"/>
    <w:bookmarkEnd w:id="187"/>
    <w:p>
      <w:pPr>
        <w:jc w:val="both"/>
        <w:spacing w:after="0" w:line="254" w:lineRule="auto"/>
        <w:rPr>
          <w:sz w:val="20"/>
          <w:szCs w:val="20"/>
          <w:color w:val="auto"/>
        </w:rPr>
      </w:pPr>
      <w:r>
        <w:rPr>
          <w:rFonts w:ascii="Times New Roman" w:cs="Times New Roman" w:eastAsia="Times New Roman" w:hAnsi="Times New Roman"/>
          <w:sz w:val="18"/>
          <w:szCs w:val="18"/>
          <w:color w:val="auto"/>
        </w:rPr>
        <w:t>gross proceeds actually received from the issuance of Securities (the “Gross Proceeds”), it being understood that two and one-half percent (2.5%) shall be paid to Chardan with respect to any Shares (or other Securities) sold in the Offering to investors with whom the Company has prior relationship with (the “Excluded Investors”). The Gross Spread is subject to a minimum cash compensation of four hundred and fifty thousand ($450,000) dollars. Other expenses incurred by Chardan that the Company will reimburse Chardan for shall not exceed $300,000 in aggregate. In addition, the Company will sell to Chardan and/or their designees, at the time of Closing, for an aggregate of $100, an option (“Representatives’ Option”) to purchase two-and-one-half percent (2.5%) of the aggregate number of Securities issued in the Offering. The Representatives’ Option will be exercisable, in whole or in part, at a price at an exercise price of the Offering Price. The securities in the Representatives’ Option will be identical to the IPO Securities. There is a minimum cash compensation of $750,000 of which at the time of issuance of the interim condensed consolidated financial statements for the six months ended 30 September 2023 and 2022 the Company had paid $50,000.</w:t>
      </w:r>
    </w:p>
    <w:p>
      <w:pPr>
        <w:spacing w:after="0" w:line="18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Xxxxx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Amended and Restated Memorandum and Articles provide to the extent permitted by Cayman Islands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No such existing or former director (including alternate director), secretary or officer, however, shall be indemnified in respect of any matter arising out of his own dishonesty.</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permitted by the Companies Act,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exhibits are included or incorporated by reference in this registration statement on Form F-1: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1"/>
                <w:szCs w:val="21"/>
                <w:color w:val="auto"/>
              </w:rPr>
            </w:pPr>
          </w:p>
        </w:tc>
        <w:tc>
          <w:tcPr>
            <w:tcW w:w="1014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98"/>
        </w:trPr>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tcPr>
          <w:p>
            <w:pPr>
              <w:spacing w:after="0"/>
              <w:rPr>
                <w:sz w:val="17"/>
                <w:szCs w:val="17"/>
                <w:color w:val="auto"/>
              </w:rPr>
            </w:pPr>
          </w:p>
        </w:tc>
        <w:tc>
          <w:tcPr>
            <w:tcW w:w="10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Form of Underwriting Agreement by and between Diginex Limited and Chardan Capital Markets, LLC.</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 Exchange Agreement dated ________, 2024, by and between Diginex Limited and the equity holders of Diginex Solutions (HK)</w:t>
            </w:r>
          </w:p>
        </w:tc>
      </w:tr>
      <w:tr>
        <w:trPr>
          <w:trHeight w:val="216"/>
        </w:trPr>
        <w:tc>
          <w:tcPr>
            <w:tcW w:w="980" w:type="dxa"/>
            <w:vAlign w:val="bottom"/>
          </w:tcPr>
          <w:p>
            <w:pPr>
              <w:spacing w:after="0"/>
              <w:rPr>
                <w:sz w:val="18"/>
                <w:szCs w:val="18"/>
                <w:color w:val="auto"/>
              </w:rPr>
            </w:pP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Limited</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Form of Amended and Restated Memorandum and Articles of Association</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Specimen Share Certificate for Ordinary Shares</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Specimen Share Certificate for Preferred Shares</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Legal Opinion of Ogier LLP regarding the validity of Ordinary Shares being registered</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List of Subsidiaries</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UHY LLP</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Ogier LLP (included in Exhibit 5.1)</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Code of Business Conduct</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Director Nominee]</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Director Nominee]</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Director Nominee]</w:t>
            </w:r>
          </w:p>
        </w:tc>
      </w:t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99.5**</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Director Nominee]</w:t>
            </w:r>
          </w:p>
        </w:tc>
      </w:tr>
      <w:tr>
        <w:trPr>
          <w:trHeight w:val="23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Calculation of Filing Fee Tables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are not applicable or the information is otherwise set forth in the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900" w:hanging="244"/>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1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91"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however, that: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Paragraphs (i), (ii) and (iii)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80" w:lineRule="exact"/>
        <w:rPr>
          <w:sz w:val="20"/>
          <w:szCs w:val="20"/>
          <w:color w:val="auto"/>
        </w:rPr>
      </w:pPr>
    </w:p>
    <w:p>
      <w:pPr>
        <w:jc w:val="both"/>
        <w:ind w:left="660" w:firstLine="644"/>
        <w:spacing w:after="0" w:line="266" w:lineRule="auto"/>
        <w:tabs>
          <w:tab w:leader="none" w:pos="156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1" w:name="page192"/>
    <w:bookmarkEnd w:id="191"/>
    <w:p>
      <w:pPr>
        <w:jc w:val="both"/>
        <w:ind w:left="4" w:firstLine="644"/>
        <w:spacing w:after="0" w:line="276" w:lineRule="auto"/>
        <w:tabs>
          <w:tab w:leader="none" w:pos="907"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w:t>
      </w:r>
    </w:p>
    <w:p>
      <w:pPr>
        <w:jc w:val="both"/>
        <w:ind w:left="4" w:hanging="4"/>
        <w:spacing w:after="0" w:line="252" w:lineRule="auto"/>
        <w:tabs>
          <w:tab w:leader="none" w:pos="28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the registration statement.</w:t>
      </w:r>
    </w:p>
    <w:p>
      <w:pPr>
        <w:spacing w:after="0" w:line="189"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09"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644" w:firstLine="652"/>
        <w:spacing w:after="0" w:line="253" w:lineRule="auto"/>
        <w:tabs>
          <w:tab w:leader="none" w:pos="1559" w:val="left"/>
        </w:tabs>
        <w:numPr>
          <w:ilvl w:val="2"/>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0" w:lineRule="exact"/>
        <w:rPr>
          <w:sz w:val="20"/>
          <w:szCs w:val="20"/>
          <w:color w:val="auto"/>
        </w:rPr>
      </w:pPr>
    </w:p>
    <w:p>
      <w:pPr>
        <w:jc w:val="both"/>
        <w:ind w:left="4" w:firstLine="644"/>
        <w:spacing w:after="0" w:line="254" w:lineRule="auto"/>
        <w:tabs>
          <w:tab w:leader="none" w:pos="9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884" w:hanging="236"/>
        <w:spacing w:after="0"/>
        <w:tabs>
          <w:tab w:leader="none" w:pos="88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61" w:lineRule="auto"/>
        <w:tabs>
          <w:tab w:leader="none" w:pos="1514"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9"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6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Form F-1 and has duly caused this registration statement to be signed on its behalf by the undersigned, thereunto duly authorized, in the Cayman Islands on [ ],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Diginex Limited</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on behalf of the Registrant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Capacity in Which Signed</w:t>
            </w:r>
          </w:p>
        </w:tc>
        <w:tc>
          <w:tcPr>
            <w:tcW w:w="9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400" w:type="dxa"/>
            <w:vAlign w:val="bottom"/>
          </w:tcPr>
          <w:p>
            <w:pPr>
              <w:spacing w:after="0"/>
              <w:rPr>
                <w:sz w:val="20"/>
                <w:szCs w:val="20"/>
                <w:color w:val="auto"/>
              </w:rPr>
            </w:pPr>
          </w:p>
        </w:tc>
      </w:tr>
      <w:tr>
        <w:trPr>
          <w:trHeight w:val="27"/>
        </w:trPr>
        <w:tc>
          <w:tcPr>
            <w:tcW w:w="3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r>
      <w:tr>
        <w:trPr>
          <w:trHeight w:val="439"/>
        </w:trPr>
        <w:tc>
          <w:tcPr>
            <w:tcW w:w="3380" w:type="dxa"/>
            <w:vAlign w:val="bottom"/>
            <w:tcBorders>
              <w:bottom w:val="single" w:sz="8" w:color="auto"/>
            </w:tcBorders>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 Blick</w:t>
            </w: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and Director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 2024</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Miles Pelham</w:t>
            </w:r>
          </w:p>
        </w:tc>
        <w:tc>
          <w:tcPr>
            <w:tcW w:w="2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Attorney-in-fact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the undersigned has signed this registration statement, solely in its capacity as the duly authorized representative of Diginex Limited, in the City of, on the [ ] day of , 2024.</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1)"/>
      <w:numFmt w:val="lowerRoman"/>
      <w:start w:val="3"/>
    </w:lvl>
  </w:abstractNum>
  <w:abstractNum w:abstractNumId="2">
    <w:nsid w:val="5DB70AE5"/>
    <w:multiLevelType w:val="hybridMultilevel"/>
    <w:lvl w:ilvl="0">
      <w:lvlJc w:val="left"/>
      <w:lvlText w:val="(%1)"/>
      <w:numFmt w:val="decimal"/>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amp;"/>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1)"/>
      <w:numFmt w:val="lowerRoman"/>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1)"/>
      <w:numFmt w:val="lowerRoman"/>
      <w:start w:val="3"/>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1"/>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1"/>
      <w:numFmt w:val="decimal"/>
      <w:start w:val="19"/>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1)"/>
      <w:numFmt w:val="lowerLetter"/>
      <w:start w:val="1"/>
    </w:lvl>
    <w:lvl w:ilvl="1">
      <w:lvlJc w:val="left"/>
      <w:lvlText w:val="%2."/>
      <w:numFmt w:val="lowerRoman"/>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lvl w:ilvl="1">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2"/>
      <w:numFmt w:val="bullet"/>
      <w:start w:val="1"/>
    </w:lvl>
  </w:abstractNum>
  <w:abstractNum w:abstractNumId="50">
    <w:nsid w:val="39EE015C"/>
    <w:multiLevelType w:val="hybridMultilevel"/>
    <w:lvl w:ilvl="0">
      <w:lvlJc w:val="left"/>
      <w:lvlText w:val="3"/>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6"/>
      <w:numFmt w:val="bullet"/>
      <w:start w:val="1"/>
    </w:lvl>
  </w:abstractNum>
  <w:abstractNum w:abstractNumId="53">
    <w:nsid w:val="43F18422"/>
    <w:multiLevelType w:val="hybridMultilevel"/>
    <w:lvl w:ilvl="0">
      <w:lvlJc w:val="left"/>
      <w:lvlText w:val="●"/>
      <w:numFmt w:val="bullet"/>
      <w:start w:val="1"/>
    </w:lvl>
    <w:lvl w:ilvl="1">
      <w:lvlJc w:val="left"/>
      <w:lvlText w:val="○"/>
      <w:numFmt w:val="bullet"/>
      <w:start w:val="1"/>
    </w:lvl>
  </w:abstractNum>
  <w:abstractNum w:abstractNumId="54">
    <w:nsid w:val="60EF0119"/>
    <w:multiLevelType w:val="hybridMultilevel"/>
    <w:lvl w:ilvl="0">
      <w:lvlJc w:val="left"/>
      <w:lvlText w:val="%1."/>
      <w:numFmt w:val="decimal"/>
      <w:start w:val="1"/>
    </w:lvl>
    <w:lvl w:ilvl="1">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lowerRoman"/>
      <w:start w:val="1"/>
    </w:lvl>
  </w:abstractNum>
  <w:abstractNum w:abstractNumId="70">
    <w:nsid w:val="7DE67713"/>
    <w:multiLevelType w:val="hybridMultilevel"/>
    <w:lvl w:ilvl="0">
      <w:lvlJc w:val="left"/>
      <w:lvlText w:val="(%1)"/>
      <w:numFmt w:val="lowerLetter"/>
      <w:start w:val="2"/>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lvl w:ilvl="1">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1)"/>
      <w:numFmt w:val="decimal"/>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1)"/>
      <w:numFmt w:val="lowerLetter"/>
      <w:start w:val="1"/>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5"/>
    </w:lvl>
  </w:abstractNum>
  <w:abstractNum w:abstractNumId="94">
    <w:nsid w:val="E7FFA2B"/>
    <w:multiLevelType w:val="hybridMultilevel"/>
    <w:lvl w:ilvl="0">
      <w:lvlJc w:val="left"/>
      <w:lvlText w:val="(%1)"/>
      <w:numFmt w:val="lowerLetter"/>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1)"/>
      <w:numFmt w:val="lowerLetter"/>
      <w:start w:val="1"/>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decimal"/>
      <w:start w:val="2"/>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
      <w:numFmt w:val="bullet"/>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1)"/>
      <w:numFmt w:val="lowerLetter"/>
      <w:start w:val="1"/>
    </w:lvl>
    <w:lvl w:ilvl="1">
      <w:lvlJc w:val="left"/>
      <w:lvlText w:val="%2."/>
      <w:numFmt w:val="lowerRoman"/>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7"/>
    </w:lvl>
  </w:abstractNum>
  <w:abstractNum w:abstractNumId="119">
    <w:nsid w:val="2C6E4AFD"/>
    <w:multiLevelType w:val="hybridMultilevel"/>
    <w:lvl w:ilvl="0">
      <w:lvlJc w:val="left"/>
      <w:lvlText w:val="(%1)"/>
      <w:numFmt w:val="lowerLetter"/>
      <w:start w:val="1"/>
    </w:lvl>
  </w:abstractNum>
  <w:abstractNum w:abstractNumId="120">
    <w:nsid w:val="17A1B582"/>
    <w:multiLevelType w:val="hybridMultilevel"/>
    <w:lvl w:ilvl="0">
      <w:lvlJc w:val="left"/>
      <w:lvlText w:val="●"/>
      <w:numFmt w:val="bullet"/>
      <w:start w:val="1"/>
    </w:lvl>
  </w:abstractNum>
  <w:abstractNum w:abstractNumId="121">
    <w:nsid w:val="4DF72E4E"/>
    <w:multiLevelType w:val="hybridMultilevel"/>
    <w:lvl w:ilvl="0">
      <w:lvlJc w:val="left"/>
      <w:lvlText w:val="(%1)"/>
      <w:numFmt w:val="lowerLetter"/>
      <w:start w:val="1"/>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decimal"/>
      <w:start w:val="2"/>
    </w:lvl>
  </w:abstractNum>
  <w:abstractNum w:abstractNumId="125">
    <w:nsid w:val="5EC6AFD4"/>
    <w:multiLevelType w:val="hybridMultilevel"/>
    <w:lvl w:ilvl="0">
      <w:lvlJc w:val="left"/>
      <w:lvlText w:val="*"/>
      <w:numFmt w:val="bullet"/>
      <w:start w:val="1"/>
    </w:lvl>
  </w:abstractNum>
  <w:abstractNum w:abstractNumId="126">
    <w:nsid w:val="19E21BB2"/>
    <w:multiLevelType w:val="hybridMultilevel"/>
    <w:lvl w:ilvl="0">
      <w:lvlJc w:val="left"/>
      <w:lvlText w:val="**"/>
      <w:numFmt w:val="bullet"/>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9">
    <w:nsid w:val="5399C654"/>
    <w:multiLevelType w:val="hybridMultilevel"/>
    <w:lvl w:ilvl="0">
      <w:lvlJc w:val="left"/>
      <w:lvlText w:val="(%1)"/>
      <w:numFmt w:val="decimal"/>
      <w:start w:val="2"/>
    </w:lvl>
  </w:abstractNum>
  <w:abstractNum w:abstractNumId="130">
    <w:nsid w:val="20EE1348"/>
    <w:multiLevelType w:val="hybridMultilevel"/>
    <w:lvl w:ilvl="0">
      <w:lvlJc w:val="left"/>
      <w:lvlText w:val="%1"/>
      <w:numFmt w:val="decimal"/>
      <w:start w:val="1"/>
    </w:lvl>
    <w:lvl w:ilvl="1">
      <w:lvlJc w:val="left"/>
      <w:lvlText w:val="(%2)"/>
      <w:numFmt w:val="decimal"/>
      <w:start w:val="4"/>
    </w:lvl>
    <w:lvl w:ilvl="2">
      <w:lvlJc w:val="left"/>
      <w:lvlText w:val="%3"/>
      <w:numFmt w:val="lowerRoman"/>
      <w:start w:val="1"/>
    </w:lvl>
  </w:abstractNum>
  <w:abstractNum w:abstractNumId="131">
    <w:nsid w:val="4427069A"/>
    <w:multiLevelType w:val="hybridMultilevel"/>
    <w:lvl w:ilvl="0">
      <w:lvlJc w:val="left"/>
      <w:lvlText w:val="(%1)"/>
      <w:numFmt w:val="decimal"/>
      <w:start w:val="3"/>
    </w:lvl>
    <w:lvl w:ilvl="1">
      <w:lvlJc w:val="left"/>
      <w:lvlText w:val="(%2)"/>
      <w:numFmt w:val="decimal"/>
      <w:start w:val="5"/>
    </w:lvl>
    <w:lvl w:ilvl="2">
      <w:lvlJc w:val="left"/>
      <w:lvlText w:val="(%3)"/>
      <w:numFmt w:val="lowerRoman"/>
      <w:start w:val="1"/>
    </w:lvl>
  </w:abstractNum>
  <w:abstractNum w:abstractNumId="132">
    <w:nsid w:val="B37E80A"/>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2024-09-14T05:44:40Z</dcterms:created>
  <dcterms:modified xsi:type="dcterms:W3CDTF">2024-09-14T05:44:40Z</dcterms:modified>
</cp:coreProperties>
</file>