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2026, Diginex Limited (the “Company”), entered into a Sale and Purchase Agreement (the “Agreement”) with the several sellers party thereto (collectively, the “Sellers”), pursuant to which the Company agreed to acquire all of the issued and outstanding share capital of Resulticks Global Companies Pte. Limited and its subsidiaries (“Resulticks”).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is US$1.5 billion, payable entirely in equity through the issuance of 1,133,333,333 newly issued ordinary shares of the Company (the “Consideration Shares”) to the Sellers pro rata to their respective ownership at an average DGNX stock price of US$1.32 per share. The Consideration Shares will be issued with staggered lock-up restrictions with portions subject to customary transfer restrictions, registration rights and lock-up agreement to be entered into at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Closing is subject to customary conditions, including required regulatory and third-party consents, shareholder approval for the share issuance, Nasdaq approval for the listing of the Consideration Shares, implementation of agreed governance changes, cancellation of substantially all outstanding founder warrants, and the absence of material adverse effects.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closing, the Company has agreed that 85% of any capital injections through to March 31, 2027 will be committed to funding to Resulticks up to US$200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representations and warranties, covenants regarding the conduct of the parties’ businesses prior to closing, and indemnification provisions subject to negotiated limitations.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an exhibit to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374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Sale and Purchase Agreement, dated April 16, 2026</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top w:val="single" w:sz="8" w:color="0000EE"/>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DIGINEX LIMITED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Miles Pelham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Miles Pelham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154305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April 2026</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several persons whose names and addresses are set out in Schedule 1 as Sellers</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SALE AND PURCHASE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SELLERS’ PRE-COMPLETION OBLIGATIONS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PURCHASER’S PRE-COMPLETION OBLIGATIONS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SELLERS’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U.S. SECURITIES LAW MATTERS AND TRANSFER RESTRICTIONS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SELLERS’ LIMITATIONS ON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PURCHASER’S WARRANTIES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PURCHASER’S LIMITATIONS ON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POST-COMPLETION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ANNOUNCEMENTS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VARIATIONS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REMEDIES AND WAIVERS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 OF COMPLETION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FURTHER ASSURANCE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THIRD PARTY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 AND DISPUTE RESOLUTION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Sellers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1 – Particulars of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 Notice Details of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3 – Consideration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1 - Details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 Details of the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Arrangements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1 - Seller’s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 Purchaser’s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3 – Further Actions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Sellers’ Warranties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1 – Fundamental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 Non-Fundamental Warranties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Purchaser’s Warranties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1 – Fundamental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 Non-Fundamental Warranties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Technical Expert Board Addition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Intentionally omitted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ind w:left="4380"/>
        <w:spacing w:after="0"/>
        <w:rPr>
          <w:sz w:val="20"/>
          <w:szCs w:val="20"/>
          <w:color w:val="auto"/>
        </w:rPr>
      </w:pPr>
      <w:r>
        <w:rPr>
          <w:rFonts w:ascii="Times New Roman" w:cs="Times New Roman" w:eastAsia="Times New Roman" w:hAnsi="Times New Roman"/>
          <w:sz w:val="18"/>
          <w:szCs w:val="18"/>
          <w:b w:val="1"/>
          <w:bCs w:val="1"/>
          <w:color w:val="auto"/>
        </w:rPr>
        <w:t>SALE AND PURCHASE AGREEMENT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16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several persons whose names and addresses are set out in column (1) of Part 1 of Schedule 1 (collectively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DIGINEX LIMITED</w:t>
      </w:r>
      <w:r>
        <w:rPr>
          <w:rFonts w:ascii="Times New Roman" w:cs="Times New Roman" w:eastAsia="Times New Roman" w:hAnsi="Times New Roman"/>
          <w:sz w:val="18"/>
          <w:szCs w:val="18"/>
          <w:color w:val="auto"/>
        </w:rPr>
        <w:t>, an exempted company incorporated with limited liability under the laws of the Cayman Islands with company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406606 and having its registered office at 89 Nexus Way, Camana Bay, Grand Cayman, KY1-9009, Cayman Islands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Particulars of the Group Companies are set out in Schedule 2.</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sell, and the Purchaser has agreed to purchase, the Sale Shares on the terms and conditions of this Agreement.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issue within five (5) Business Days a notice in the agreed form to all members of the Purchaser that would be entitled to vote at a shareholder meeting to approve the Issuance Ordinary Resolution if it were otherwise approved at such a meeting in accordance with the Purchaser’s memorandum and articles of association (the “</w:t>
      </w:r>
      <w:r>
        <w:rPr>
          <w:rFonts w:ascii="Times New Roman" w:cs="Times New Roman" w:eastAsia="Times New Roman" w:hAnsi="Times New Roman"/>
          <w:sz w:val="18"/>
          <w:szCs w:val="18"/>
          <w:b w:val="1"/>
          <w:bCs w:val="1"/>
          <w:color w:val="auto"/>
        </w:rPr>
        <w:t>Issuance Ordinary Resolution Notice</w:t>
      </w:r>
      <w:r>
        <w:rPr>
          <w:rFonts w:ascii="Times New Roman" w:cs="Times New Roman" w:eastAsia="Times New Roman" w:hAnsi="Times New Roman"/>
          <w:sz w:val="18"/>
          <w:szCs w:val="18"/>
          <w:color w:val="auto"/>
        </w:rPr>
        <w:t>”), for the purposes of passing the Issuance Ordinary Resolution constituting the Purchaser Shareholder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means the unaudited Management Accounts of the Group for the accounting reference period ended on the Accounts Date, together with the auditors’ report and the notes to the audited financial statements available, such financial statements comprising, a statement of financial position, statement of comprehensive income, statement of changes in equity, and statement of cash flows;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 Date</w:t>
      </w:r>
      <w:r>
        <w:rPr>
          <w:rFonts w:ascii="Times New Roman" w:cs="Times New Roman" w:eastAsia="Times New Roman" w:hAnsi="Times New Roman"/>
          <w:sz w:val="18"/>
          <w:szCs w:val="18"/>
          <w:color w:val="auto"/>
        </w:rPr>
        <w:t>” means 31 December 2025;</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Tax Liability</w:t>
      </w:r>
      <w:r>
        <w:rPr>
          <w:rFonts w:ascii="Times New Roman" w:cs="Times New Roman" w:eastAsia="Times New Roman" w:hAnsi="Times New Roman"/>
          <w:sz w:val="18"/>
          <w:szCs w:val="18"/>
          <w:color w:val="auto"/>
        </w:rPr>
        <w:t>” means the amount of a liability or increase in liability of any Group Company to make a payment of or in respect of any Tax or of an amount representing Tax, or any payment in respect of the same;</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Technical Expert Appointment</w:t>
      </w:r>
      <w:r>
        <w:rPr>
          <w:rFonts w:ascii="Times New Roman" w:cs="Times New Roman" w:eastAsia="Times New Roman" w:hAnsi="Times New Roman"/>
          <w:sz w:val="18"/>
          <w:szCs w:val="18"/>
          <w:color w:val="auto"/>
        </w:rPr>
        <w:t>” means the appointment of one (1) additional Non-Independent Director (as defined in Schedule 7) on the board of directors of the Purchaser, nominated by the Founders based on expertise relating to Seller’s business and subject to the Purchaser’s board nomination committee’s standard processes;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has the meaning given to it in Clause 15.4(a);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 person:</w:t>
      </w:r>
    </w:p>
    <w:p>
      <w:pPr>
        <w:spacing w:after="0" w:line="22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which, directly or indirectly Controls, is Controlled by, or is under common Control with the first mentioned person;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 managed and/or advised by any adviser or manager of such person defined in limb (a) above or of any (direct or indirect) holding company of such person defined in limb (a) above or any investor in or director, employee or partner of any of them;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partner, limited partner, trustee, nominee, operator, arranger of, manager of, or investment adviser to, such person described in limb (a) above or of any (direct or indirect) parent of such person defined in limb (a) above, or of or to any fund managed and/or advised by any investment adviser or manager of such person or of any (direct or indirect) parent as defined in limb (b) above,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provided that in relation to a person who is a natural person,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also include (i) such person’s “</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which shall mean the spouse, parents, grandparents, children, siblings of such person, and (ii) any entity that is Controlled by such person and/or any of such person’s immediate family members;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in relation to a person, that person’s directors, officers, employees, advisers, financiers, auditors, agents and representatives;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Agreed Technical Expert Board Addition</w:t>
      </w:r>
      <w:r>
        <w:rPr>
          <w:rFonts w:ascii="Times New Roman" w:cs="Times New Roman" w:eastAsia="Times New Roman" w:hAnsi="Times New Roman"/>
          <w:sz w:val="18"/>
          <w:szCs w:val="18"/>
          <w:color w:val="auto"/>
        </w:rPr>
        <w:t>” means the changes to the expertise and composition of the board of directors (and board committees) of the Purchaser, and the executive management of the Purchaser, in each case agreed between the Parties and set out in Schedule 7 (and which may, to the extent the Founders require taking into account the governance requirements of the business of the Group, also include the Additional Technical Expert Appointment);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sale and purchase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Founder Warrant Agreement</w:t>
      </w:r>
      <w:r>
        <w:rPr>
          <w:rFonts w:ascii="Times New Roman" w:cs="Times New Roman" w:eastAsia="Times New Roman" w:hAnsi="Times New Roman"/>
          <w:sz w:val="18"/>
          <w:szCs w:val="18"/>
          <w:color w:val="auto"/>
        </w:rPr>
        <w:t>” means the amended Founder Warrant Agreement, in the agreed form, which shall provide that the aggregate “Subscription Price” (as defined in the Founder Warrant Agreement) for the exercise of the Exercisable Warrants shall be USD 30,347,712.77, which may be paid by RVL (as warrant holder) in two (2) equal tranches, on such date being one (1) year after Completion and two (2) years after Completion respectively, provided that such “Subscription Price” shall accrue interest at a rate of 10% per annum, for the period between Completion and such date on which the “Subscription Price” (or tranche thereof) is paid in full;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Anicut</w:t>
      </w:r>
      <w:r>
        <w:rPr>
          <w:rFonts w:ascii="Times New Roman" w:cs="Times New Roman" w:eastAsia="Times New Roman" w:hAnsi="Times New Roman"/>
          <w:sz w:val="18"/>
          <w:szCs w:val="18"/>
          <w:color w:val="auto"/>
        </w:rPr>
        <w:t>” means Grand Anicut Fund - 4 and/ or Grand Anicut LVF -1 and its affiliates;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Anicut Investment Agreement</w:t>
      </w:r>
      <w:r>
        <w:rPr>
          <w:rFonts w:ascii="Times New Roman" w:cs="Times New Roman" w:eastAsia="Times New Roman" w:hAnsi="Times New Roman"/>
          <w:sz w:val="18"/>
          <w:szCs w:val="18"/>
          <w:color w:val="auto"/>
        </w:rPr>
        <w:t xml:space="preserve">” means the investment agreement dated 31 January 2025 entered into amongst,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Resulticks Edge Solution Technologies Private Limited and Anicut;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Anicut Share Subscription Agreement</w:t>
      </w:r>
      <w:r>
        <w:rPr>
          <w:rFonts w:ascii="Times New Roman" w:cs="Times New Roman" w:eastAsia="Times New Roman" w:hAnsi="Times New Roman"/>
          <w:sz w:val="18"/>
          <w:szCs w:val="18"/>
          <w:color w:val="auto"/>
        </w:rPr>
        <w:t>” means the securities subscription agreement dated 28 June 2024 entered into between the Company, Resulticks Digitals India Private Limited and Anicut;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(i) the Foreign Corrupt Practices Act of 1977 as amended (Laws of United States); (ii) the Prevention of Corruption Act 1960; (iii) the Bribery Act 2010 (in the United Kingdom); (iv) the Organization for Economic Co-operation and Development (OECD) Convention on Combating Bribery of Foreign Officials in International Business Transactions; and (v) applicable laws, regulations or orders which are applicable to the Group, the Sellers or the Purchaser’s Group (as the case may be) and which are broadly equivalent to (i), (ii) or (iii) or were intended to enact the provisions of the OECD Convention described in (iv) or which has as its objective the prevention of corruption;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Regulations</w:t>
      </w:r>
      <w:r>
        <w:rPr>
          <w:rFonts w:ascii="Times New Roman" w:cs="Times New Roman" w:eastAsia="Times New Roman" w:hAnsi="Times New Roman"/>
          <w:sz w:val="18"/>
          <w:szCs w:val="18"/>
          <w:color w:val="auto"/>
        </w:rPr>
        <w:t>” means all applicable financial record keeping and reporting requirements and anti-money laundering laws in each of the jurisdictions in which a Party or any Affiliates of that Party is incorporated or domiciled (as the case may be) and of all jurisdictions in which a Party and each Affiliate of that Party conducts business, the rules and regulations thereunder and any related or similar laws or guidelines, issued, administered or enforced by any Governmental Authority;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applicable federal, state, territorial, foreign or local law, common law, statute, ordinance, rule, regulation, code, measure, notice, circular, opinion or order of any Governmental Authority, including any rules promulgated by any applicable stock exchange or regulatory body, whether or not having the force of law;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Ascertis Facilities Documents</w:t>
      </w:r>
      <w:r>
        <w:rPr>
          <w:rFonts w:ascii="Times New Roman" w:cs="Times New Roman" w:eastAsia="Times New Roman" w:hAnsi="Times New Roman"/>
          <w:sz w:val="18"/>
          <w:szCs w:val="18"/>
          <w:color w:val="auto"/>
        </w:rPr>
        <w:t xml:space="preserve">” means the facility agreement dated 2 December 2024 entered into amongst,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Ascertis Credit – India Fund III Limited and Madison Pacific Trust Limited, and all other related and/or ancillary agreements or documents entered into pursuant to or in connection with such facility agreement, in each case as may be amended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business of the Group as conducted by it as at the date of this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8" w:name="page9"/>
    <w:bookmarkEnd w:id="8"/>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or a public holiday) when commercial banks are open for ordinary banking business in Singapore, New York City, U.S.A., and the Cayman Islands;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IP</w:t>
      </w:r>
      <w:r>
        <w:rPr>
          <w:rFonts w:ascii="Times New Roman" w:cs="Times New Roman" w:eastAsia="Times New Roman" w:hAnsi="Times New Roman"/>
          <w:sz w:val="18"/>
          <w:szCs w:val="18"/>
          <w:color w:val="auto"/>
        </w:rPr>
        <w:t>” means all Intellectual Property which has in the last three years been used or is used primarily in or in connection with the business of any Group Company and which is material to the business of the Group;</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IT</w:t>
      </w:r>
      <w:r>
        <w:rPr>
          <w:rFonts w:ascii="Times New Roman" w:cs="Times New Roman" w:eastAsia="Times New Roman" w:hAnsi="Times New Roman"/>
          <w:sz w:val="18"/>
          <w:szCs w:val="18"/>
          <w:color w:val="auto"/>
        </w:rPr>
        <w:t>” means all Information Technology which has in the last three years been used or is used primarily in connection with the business of any Group Company and which is material to the business of the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means all Losses asserted against, incurred, suffered or incurred by, as the case may be:</w:t>
      </w:r>
    </w:p>
    <w:p>
      <w:pPr>
        <w:spacing w:after="0" w:line="229" w:lineRule="exact"/>
        <w:rPr>
          <w:sz w:val="20"/>
          <w:szCs w:val="20"/>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Indemnitees, arising out of, relating to or which results from the matters set out in Clause 13.1;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Indemnitees, arising out of, relating to or which results from the matters set out in Clause 13.2;</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RESULTICKS GLOBAL COMPANIES PTE. LIMITED</w:t>
      </w:r>
      <w:r>
        <w:rPr>
          <w:rFonts w:ascii="Times New Roman" w:cs="Times New Roman" w:eastAsia="Times New Roman" w:hAnsi="Times New Roman"/>
          <w:sz w:val="18"/>
          <w:szCs w:val="18"/>
          <w:color w:val="auto"/>
        </w:rPr>
        <w:t>, a company incorporated under the laws of Singapore with company registration number 202127753C and having its registered office at 3 Temasek Avenue, #21-27, Centennial Tower, Singapore 039190;</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Change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change, circumstance or effect which results in a net decrease of 30% or more in the consolidated gross revenue of the Group (taken as a whole) for the 12-month period ending on the date of this Agreement, provided that any such decrease resulting from any of the following shall be excluded in determining whether a Company Material Adverse Change has occurred: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or escalation of war or major hostilities or any act of terrorism;</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financial markets or general economic, regulatory or political conditions in the jurisdictions in which the Group operates;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that generally affect the industry(ies) or market(s) in which the Group operates;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Relevant Accounting Standards or Applicable Law;</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Disclosed;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Group to meet any published or internally prepared projections, budgets, plans or forecasts of revenues, earnings, or other financial performance measures or operating statistics; and/or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force of the Transaction Documents or any transaction contemplated thereunder, or the public announcement or other publicity related to the Transaction Documents and/or any such transaction,</w:t>
      </w:r>
    </w:p>
    <w:p>
      <w:pPr>
        <w:spacing w:after="0" w:line="162" w:lineRule="exact"/>
        <w:rPr>
          <w:sz w:val="20"/>
          <w:szCs w:val="20"/>
          <w:color w:val="auto"/>
        </w:rPr>
      </w:pPr>
    </w:p>
    <w:p>
      <w:pPr>
        <w:ind w:left="644" w:right="20"/>
        <w:spacing w:after="0" w:line="282" w:lineRule="auto"/>
        <w:rPr>
          <w:sz w:val="20"/>
          <w:szCs w:val="20"/>
          <w:color w:val="auto"/>
        </w:rPr>
      </w:pPr>
      <w:r>
        <w:rPr>
          <w:rFonts w:ascii="Times New Roman" w:cs="Times New Roman" w:eastAsia="Times New Roman" w:hAnsi="Times New Roman"/>
          <w:sz w:val="18"/>
          <w:szCs w:val="18"/>
          <w:color w:val="auto"/>
        </w:rPr>
        <w:t>except in the case of paragraphs (ii) and (iii), to the extent such event, change, circumstance or effect has a disproportionate effect on a Group Company (as compared with business operating in the industry(ies) in which the Group operates); or</w:t>
      </w:r>
    </w:p>
    <w:p>
      <w:pPr>
        <w:spacing w:after="0" w:line="162" w:lineRule="exact"/>
        <w:rPr>
          <w:sz w:val="20"/>
          <w:szCs w:val="20"/>
          <w:color w:val="auto"/>
        </w:rPr>
      </w:pPr>
    </w:p>
    <w:p>
      <w:pPr>
        <w:jc w:val="both"/>
        <w:ind w:left="644" w:hanging="644"/>
        <w:spacing w:after="0" w:line="26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change, circumstance, effect or other matter that has, or would reasonably be expected to have, either individually or in the aggregate with all other events, changes, circumstances, effects or other matters, a material adverse effect on the ability of the Sellers to consummate the Transaction;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Transaction in accordance with Clause 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9" w:name="page10"/>
    <w:bookmarkEnd w:id="9"/>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a date no later than 15th May 2026, or such other date as the Sellers’ Representative and the Purchaser may agree in writing, in each case subject to the satisfaction or, to the extent permitted by Applicable Law, waiver of all Conditions;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means the conditions set out in Clauses 4.1, 4.2 and 4.3, and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means any one of them;</w:t>
      </w:r>
    </w:p>
    <w:p>
      <w:pPr>
        <w:spacing w:after="0" w:line="22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 the existence and the provisions of the Transaction Documents or the negotiations relating to the Transaction Documents and (b) all information (whether written, oral, visual, electronic or in any other form or medium) disclosed by or on behalf of the disclosing party to the recipient, whether before or after the date of this Agreement, that is marked as confidential or that, by its nature or the circumstances of its disclosure, ought reasonably to be understood to be confidential. “Confidential Information” includes, without limitation, all Know-How, trade secrets, proprietary technical, industrial and commercial information, formulas, processes, product information, designs, specifications, data, research and development, marketing and business plans, strategies, pricing, financial information, customer and supplier details, software (including source code and object code), inventions (whether patentable or not), and any analyses, compilations, studies or other documents prepared by the recipient that contain or reflect such information, in each case in whatever form held, such as paper, electronically stored data, magnetic media film and microfilm or orally;</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Clause 3.1;</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the 1,133,333,333 Diginex Shares credited as fully paid, to be allotted and issued to the Sellers in accordance with Clause 3, as may be adjusted in accordance with Clause 3.4;</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Provisions</w:t>
      </w:r>
      <w:r>
        <w:rPr>
          <w:rFonts w:ascii="Times New Roman" w:cs="Times New Roman" w:eastAsia="Times New Roman" w:hAnsi="Times New Roman"/>
          <w:sz w:val="18"/>
          <w:szCs w:val="18"/>
          <w:color w:val="auto"/>
        </w:rPr>
        <w:t>” means Clause 1, Clause 3.3(b), Clause 3.3(c), Clause 14.2, Clause 16, Clause 17, Clause 18, Clause 19, Clause 20, Clause 21, Clause 22, Clause 25, Clause 26, Clause 27, Clause 28, Clause 29 and Clause 30 and each other provision expressly provided to survive termination and/or rescission of this Agreement;</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relation to any person or entity, the possession, directly or indirectly, whether by ownership of shares, voting rights, contract or otherwise, of the power to:</w:t>
      </w:r>
    </w:p>
    <w:p>
      <w:pPr>
        <w:spacing w:after="0" w:line="159" w:lineRule="exact"/>
        <w:rPr>
          <w:sz w:val="20"/>
          <w:szCs w:val="20"/>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direct or cause the direction of the management and policies of that entity by way of:</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issued shares entitled to vote for the election of directors (or analogous persons) of that body corporate;</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a majority of the members of the board of directors (or analogous body or bodies, including management boards and supervisory boards) of that body corporate;</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rights exercisable at general meetings of the members of that body corporate on all, or substantially all, matters;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person, the ownership of or the ability to direct a majority of the voting rights in that person,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22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any Applicable Law which relates to data protection, privacy, or the collection, use, storage, transfer, disclosure or other processing of personal data (including, without limitation, the EU General Data Protection Regulation (Regulation (EU) 2016/679) and any national implementing legislation, the Singapore Personal Data Protection Act 2012 (as amended), and any other relevant foreign, federal or state privacy or data protection laws) and, where relevant, any binding decisions or regulatory requirements of data protection authorities;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means the data room comprising copies of documents and other information relating to the Business and the Group made available</w:t>
      </w:r>
    </w:p>
    <w:p>
      <w:pPr>
        <w:spacing w:after="0" w:line="31"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to the Purchaser at https://azureresulticks-my.sharepoint.com/personal/docs_resulticks_com/_layouts/15/onedrive.aspx? viewid=af4f9735%2Dc1ec%2D494e%2D8fb1%2D4b885e1c8197&amp;ct=1774861285663&amp;or=Teams%2DHL&amp;LOF=1, as itemised in the Data Room Index;</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 Index</w:t>
      </w:r>
      <w:r>
        <w:rPr>
          <w:rFonts w:ascii="Times New Roman" w:cs="Times New Roman" w:eastAsia="Times New Roman" w:hAnsi="Times New Roman"/>
          <w:sz w:val="18"/>
          <w:szCs w:val="18"/>
          <w:color w:val="auto"/>
        </w:rPr>
        <w:t>” means an index of the Data Room which is attached as Appendix B of the Disclosure Letter;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 Information</w:t>
      </w:r>
      <w:r>
        <w:rPr>
          <w:rFonts w:ascii="Times New Roman" w:cs="Times New Roman" w:eastAsia="Times New Roman" w:hAnsi="Times New Roman"/>
          <w:sz w:val="18"/>
          <w:szCs w:val="18"/>
          <w:color w:val="auto"/>
        </w:rPr>
        <w:t>” means the contents of the Data Room on the date of this Agreement, a copy of which will be provided to the Purchaser within 5 Business Days from the date of this Agreement on a USB thumb drive;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Diginex Incentive Plan</w:t>
      </w:r>
      <w:r>
        <w:rPr>
          <w:rFonts w:ascii="Times New Roman" w:cs="Times New Roman" w:eastAsia="Times New Roman" w:hAnsi="Times New Roman"/>
          <w:sz w:val="18"/>
          <w:szCs w:val="18"/>
          <w:color w:val="auto"/>
        </w:rPr>
        <w:t>” means the Diginex Limited 2024 Omnibus Incentive Plan established by the Purchaser pursuant to which key employees and/or consultants of the Purchaser’s Group may be granted share options to subscribe to the Diginex Shares, as may be amended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Diginex Shares</w:t>
      </w:r>
      <w:r>
        <w:rPr>
          <w:rFonts w:ascii="Times New Roman" w:cs="Times New Roman" w:eastAsia="Times New Roman" w:hAnsi="Times New Roman"/>
          <w:sz w:val="18"/>
          <w:szCs w:val="18"/>
          <w:color w:val="auto"/>
        </w:rPr>
        <w:t>” means the ordinary shares of the Purchaser;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means fairly disclosed in the Disclosed Information with such details to enable a reasonable purchaser to be aware of and identify the existence, nature, scope and impact of the relevant fact, matter or circumstance disclosed and to form a view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 Information</w:t>
      </w:r>
      <w:r>
        <w:rPr>
          <w:rFonts w:ascii="Times New Roman" w:cs="Times New Roman" w:eastAsia="Times New Roman" w:hAnsi="Times New Roman"/>
          <w:sz w:val="18"/>
          <w:szCs w:val="18"/>
          <w:color w:val="auto"/>
        </w:rPr>
        <w:t>” means the Data Room Information and all information included in, or referred to in the Transaction Documents;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the letter of the same date as this Agreement (including the contents of any schedule or appendix thereto) from the Sellers to the Purchaser containing general and specific disclosures against the Sellers’ Warranties;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Award SPV Seller</w:t>
      </w:r>
      <w:r>
        <w:rPr>
          <w:rFonts w:ascii="Times New Roman" w:cs="Times New Roman" w:eastAsia="Times New Roman" w:hAnsi="Times New Roman"/>
          <w:sz w:val="18"/>
          <w:szCs w:val="18"/>
          <w:color w:val="auto"/>
        </w:rPr>
        <w:t>” means the special purpose vehicle to be incorporated prior to Completion for the purposes of holding a portion of the Sale Shares in accordance with share awards to employees of the Group;</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pledge, charge, lien (other than a lien arising by operation of law in the ordinary course of trading), mortgage, debenture, hypothecation, security interest, pre-emption right or option, and “</w:t>
      </w:r>
      <w:r>
        <w:rPr>
          <w:rFonts w:ascii="Times New Roman" w:cs="Times New Roman" w:eastAsia="Times New Roman" w:hAnsi="Times New Roman"/>
          <w:sz w:val="18"/>
          <w:szCs w:val="18"/>
          <w:b w:val="1"/>
          <w:bCs w:val="1"/>
          <w:color w:val="auto"/>
        </w:rPr>
        <w:t>Encumber</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includes (without limitation), the expiry of a period of time, a Group Company becoming or ceasing to be associated with any other person for any Tax purpose or ceasing to be or becoming resident in any country for any Tax purpose, the death, winding up or dissolution of any person, the earning, receipt or accrual for any Tax purpose of any income, profit or gains, the incurring of any loss or expenditure, and any transaction, reorganisation, restructuring, event, act, or omission whatsoever (including the signing of this Agreement and Completion);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has the meaning given to it in paragraph 2.1 of Part 2 of Schedule 6;</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respect of each amount that is to be converted from one currency into another currency, the mid-point spot rate of exchange for converting the first-mentioned currency into the other currency, displayed on the relevant page of Bloomberg on the relevant date or, if such exchange rate cannot be determined that particular day, the mid-point spot rate of exchange appearing on the relevant page of Bloomberg as at the close of business on the immediately preceding day;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Exercisable Warrants</w:t>
      </w:r>
      <w:r>
        <w:rPr>
          <w:rFonts w:ascii="Times New Roman" w:cs="Times New Roman" w:eastAsia="Times New Roman" w:hAnsi="Times New Roman"/>
          <w:sz w:val="18"/>
          <w:szCs w:val="18"/>
          <w:color w:val="auto"/>
        </w:rPr>
        <w:t>” means such portion of the Founder Warrants, at the election of Miles Pelham, which when exercised will amount to up to (and not more than) 228,441,349 Diginex Shares, subject to adjustment at Completion such that the number of Diginex Shares which, when aggregated with all Diginex Shares held directly or indirectly by Miles Pelham (including through Rhino Ventures Limited, a British Virgin Islands company, and Rhino Ventures Limited, a Cayman Islands company) on a Fully Diluted Basis (but excluding the Outstanding IPO Warrants only) as at Completion, is equal to the number of Diginex Shares issued to any one of the Founders (and not both) at Completion;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Sale Process</w:t>
      </w:r>
      <w:r>
        <w:rPr>
          <w:rFonts w:ascii="Times New Roman" w:cs="Times New Roman" w:eastAsia="Times New Roman" w:hAnsi="Times New Roman"/>
          <w:sz w:val="18"/>
          <w:szCs w:val="18"/>
          <w:color w:val="auto"/>
        </w:rPr>
        <w:t>” has the meaning given to it in Clause 15.4(a);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Warrant Agreement</w:t>
      </w:r>
      <w:r>
        <w:rPr>
          <w:rFonts w:ascii="Times New Roman" w:cs="Times New Roman" w:eastAsia="Times New Roman" w:hAnsi="Times New Roman"/>
          <w:sz w:val="18"/>
          <w:szCs w:val="18"/>
          <w:color w:val="auto"/>
        </w:rPr>
        <w:t>” means the warrant issuance and cancellation deed dated 15 July 2024, as amended on 30 January 2026, entered into between the Purchaser, Diginex Solutions (HK) Limited and Rhino Ventures Limited;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Warrants</w:t>
      </w:r>
      <w:r>
        <w:rPr>
          <w:rFonts w:ascii="Times New Roman" w:cs="Times New Roman" w:eastAsia="Times New Roman" w:hAnsi="Times New Roman"/>
          <w:sz w:val="18"/>
          <w:szCs w:val="18"/>
          <w:color w:val="auto"/>
        </w:rPr>
        <w:t>” means the 4,170,520 warrants to purchase Diginex Shares at a subscription price of USD 6.13 per warrant (as may be adjusted in accordance with the terms of the Founder Warrant Agreement), granted by Diginex to Rhino Ventures Limited (as warrant holder) to purchase Diginex Shares pursuant to and on the terms of the Founder Warrant Agreement;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 means Radhika Sundaram and Rambacthavachalam Dhakshina Moorthy and each, a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Lock-up Restrictions</w:t>
      </w:r>
      <w:r>
        <w:rPr>
          <w:rFonts w:ascii="Times New Roman" w:cs="Times New Roman" w:eastAsia="Times New Roman" w:hAnsi="Times New Roman"/>
          <w:sz w:val="18"/>
          <w:szCs w:val="18"/>
          <w:color w:val="auto"/>
        </w:rPr>
        <w:t>” has the meaning given to it in Clause 15.3(a);</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Basis</w:t>
      </w:r>
      <w:r>
        <w:rPr>
          <w:rFonts w:ascii="Times New Roman" w:cs="Times New Roman" w:eastAsia="Times New Roman" w:hAnsi="Times New Roman"/>
          <w:sz w:val="18"/>
          <w:szCs w:val="18"/>
          <w:color w:val="auto"/>
        </w:rPr>
        <w:t>” means a calculation assuming that all and any Diginex Shares, securities, rights, options, warrants or instruments (including debt instruments) that are convertible into or entitle the holder to acquire or receive any Diginex Shares or any options to purchase rights to subscribe for securities by their terms convertible into or exchangeable for Diginex Shares, or any other Diginex Shares with voting rights or economic rights, including any options issued (whether vested or unvested) or reserved for issuance under any share option plan or scheme by whatever name called of Diginex, existing at the time of determination have been exercised or converted into equity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means a Claim for breach of a Sellers’ Fundamental Warranty or a Purchaser’s Fundamental Warranty, as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Claim</w:t>
      </w:r>
      <w:r>
        <w:rPr>
          <w:rFonts w:ascii="Times New Roman" w:cs="Times New Roman" w:eastAsia="Times New Roman" w:hAnsi="Times New Roman"/>
          <w:sz w:val="18"/>
          <w:szCs w:val="18"/>
          <w:color w:val="auto"/>
        </w:rPr>
        <w:t>” means a Claim other than a Fundamental Warranty Claim and a Tax Claim;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(i) any official, officer, employee or representative of, or any person acting in an official capacity for or on behalf of, any Governmental Authority, (ii) any political party or party official or candidate for political office or (iii) any company, business, enterprise or other entity owned, in whole or in part, or controlled by any person or entity described in the foregoing (i) or (ii) of this definition;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supra-national, national, state, municipal or local government (including any sub-division, court, administrative agency or commission or other authority of any supra-national, national, state, municipal or local government) or any governmental or quasi-governmental or private body exercising any regulatory, taxing, importing or other governmental or quasi-governmental authority (including any tribunal, securities exchange, competition or antitrust authority, or supervisory body);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group of companies comprising the Company and the Subsidiaries, and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one of them;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Financial Statements</w:t>
      </w:r>
      <w:r>
        <w:rPr>
          <w:rFonts w:ascii="Times New Roman" w:cs="Times New Roman" w:eastAsia="Times New Roman" w:hAnsi="Times New Roman"/>
          <w:sz w:val="18"/>
          <w:szCs w:val="18"/>
          <w:color w:val="auto"/>
        </w:rPr>
        <w:t>” has the meaning given to it in Clause 15.1(a)(ii);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SEC Financial Information</w:t>
      </w:r>
      <w:r>
        <w:rPr>
          <w:rFonts w:ascii="Times New Roman" w:cs="Times New Roman" w:eastAsia="Times New Roman" w:hAnsi="Times New Roman"/>
          <w:sz w:val="18"/>
          <w:szCs w:val="18"/>
          <w:color w:val="auto"/>
        </w:rPr>
        <w:t>” has the meaning given to it in Clause 15.1(b);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means His Majesty’s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issued by the International Accounting Standards Board;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without duplication (but before taking account the consummation of the transactions contemplated hereby), (a) the unpaid principal amount and accrued interest in respect of (i) all indebtedness for borrowed money of the Group, (ii) indebtedness evidenced by notes, debentures, bonds or other similar instruments, and (iii) all obligations with respect to interest-rate hedging, swaps or similar financial arrangements (valued at the termination value thereof and net of all payments owed to the Group thereunder); (b) all obligations of the Group evidenced by any surety bonds, letters of credit or bankers’ acceptances or similar facilities; (c) all obligations under capitalized leases with respect to which any Group Company is liable, determined on a consolidated basis in accordance with SFRS; (d) all indebtedness created or arising under any conditional sale or other title retention agreement with respect to property acquired by the Group; and (e) all obligations of the type referred to in clauses (a) through (d) of other persons for the payment of which any Group Company is responsible or liable, as obligor, guarantor, surety or otherwise, including any guarantee of such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to it in paragraph 3.1 of Schedule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given to it in paragraph 3.1 of Schedule 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India Facilities Documents</w:t>
      </w:r>
      <w:r>
        <w:rPr>
          <w:rFonts w:ascii="Times New Roman" w:cs="Times New Roman" w:eastAsia="Times New Roman" w:hAnsi="Times New Roman"/>
          <w:sz w:val="18"/>
          <w:szCs w:val="18"/>
          <w:color w:val="auto"/>
        </w:rPr>
        <w:t>” means: (a) the debenture trust deed dated 31 January 2025 entered into between Resulticks Edge Solution Technologies Private Limited and Catalyst Trusteeship Limited; (b) the debenture trust deed dated 19 February 2025 entered into between Resulticks Edge Solution Technologies Private Limited and Catalyst Trusteeship Limited; (c) the debenture trust deed dated 31 December 2022 entered into between Resulticks Digitals India Private Limited and Catalyst Trusteeship Limited; (d) the debenture trust deed dated 22 December 2022 entered into between Resulticks Digitals India Private Limited and Catalyst Trusteeship Limited; (e) the Anicut Investment Agreement; (f) the Anicut Share Subscription Agreement, and (g) all other related and/or ancillary agreements or documents entered into pursuant to or in connection with such trust deeds and/or agreements, in each case as may be amended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Initiating Shareholder</w:t>
      </w:r>
      <w:r>
        <w:rPr>
          <w:rFonts w:ascii="Times New Roman" w:cs="Times New Roman" w:eastAsia="Times New Roman" w:hAnsi="Times New Roman"/>
          <w:sz w:val="18"/>
          <w:szCs w:val="18"/>
          <w:color w:val="auto"/>
        </w:rPr>
        <w:t>” has the meaning given to it in Clause 15.4(a);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Technology</w:t>
      </w:r>
      <w:r>
        <w:rPr>
          <w:rFonts w:ascii="Times New Roman" w:cs="Times New Roman" w:eastAsia="Times New Roman" w:hAnsi="Times New Roman"/>
          <w:sz w:val="18"/>
          <w:szCs w:val="18"/>
          <w:color w:val="auto"/>
        </w:rPr>
        <w:t>” means computer systems, communication systems, software and hardware;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Initiating Shareholder</w:t>
      </w:r>
      <w:r>
        <w:rPr>
          <w:rFonts w:ascii="Times New Roman" w:cs="Times New Roman" w:eastAsia="Times New Roman" w:hAnsi="Times New Roman"/>
          <w:sz w:val="18"/>
          <w:szCs w:val="18"/>
          <w:color w:val="auto"/>
        </w:rPr>
        <w:t>” has the meaning given to it in Clause 15.4(a);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rights in and in relation to Confidential Information, trade marks, service marks, trade and business names, logos and get up (including any and all goodwill associated with or attached to any of the same), domain names, patents, inventions (whether or not patentable), registered designs, design rights, copyrights (including rights in software) and moral rights, database rights, semi-conductor topography rights, utility models and all rights or forms of protection having an equivalent or similar nature or effect anywhere in the world, whether enforceable, registered, unregistered or registrable (including, where applicable, all renewals, extensions and applications for registration) and the right to sue for damages for past and current infringement (including passing off and unfair competition) in respect of any of the same;</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Ordinary Resolution</w:t>
      </w:r>
      <w:r>
        <w:rPr>
          <w:rFonts w:ascii="Times New Roman" w:cs="Times New Roman" w:eastAsia="Times New Roman" w:hAnsi="Times New Roman"/>
          <w:sz w:val="18"/>
          <w:szCs w:val="18"/>
          <w:color w:val="auto"/>
        </w:rPr>
        <w:t>” means an ordinary resolution of members of the Purchaser, in the agreed form, approved in writing without holding a meeting in accordance with the rules and regulations of Nasdaq and the Purchaser’s memorandum and articles of association;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Ordinary Resolution Notice</w:t>
      </w:r>
      <w:r>
        <w:rPr>
          <w:rFonts w:ascii="Times New Roman" w:cs="Times New Roman" w:eastAsia="Times New Roman" w:hAnsi="Times New Roman"/>
          <w:sz w:val="18"/>
          <w:szCs w:val="18"/>
          <w:color w:val="auto"/>
        </w:rPr>
        <w:t>” means the notice, in the agreed form, that the Purchaser will issue within five (5) Business Days to all members of the Purchaser that would be entitled to vote at a shareholder meeting to approve the Issuance Ordinary Resolution if it were otherwise approved at such a meeting in accordance with the Purchaser’s memorandum and articles of association;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confidential and proprietary information, data, or materials (whether or not protectable by intellectual property rights and whether or not reduced to writing) that is: (a) not in the public domain or not generally known or readily accessible to persons within the relevant industry; (b) substantial, specific, and identifiable in form or substance; and (c) developed, acquired or used by the Group or the Purchaser’s Group (as the case may be) in the course of its business activities, including (without limitation): (i) inventions, discoveries, improvements, trade secrets, techniques, processes, methods, specifications, formulations, designs, protocols, technical data, schematics, diagrams, software algorithms, source code, models, databases, and compilations of information; (ii) operational, commercial and marketing knowledge, strategies, plans, costings, pricing information, customer or supplier lists, sales and market analysis; and (iii) all other technical or business knowledge and expertise, in any form or medium, whether written, oral, electronic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Business IP</w:t>
      </w:r>
      <w:r>
        <w:rPr>
          <w:rFonts w:ascii="Times New Roman" w:cs="Times New Roman" w:eastAsia="Times New Roman" w:hAnsi="Times New Roman"/>
          <w:sz w:val="18"/>
          <w:szCs w:val="18"/>
          <w:color w:val="auto"/>
        </w:rPr>
        <w:t>” means Business IP other than Owned Business 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has the meaning given to it in the Registration Rights and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means 15th May 2026, or such other later date as may be agreed in writing between the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all losses, liabilities, costs, damages, charges, expenses, penalties, interest, actions, proceedings, claims, damages, awards, judgments, Taxes, demands and expenses (including reasonable attorneys’ fees, costs and other reasonable out-of-pocket expenses incurred in investigating, preparing or defending the foregoing);</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each of the following contracts that a Group Company is party to or bound by:</w:t>
      </w:r>
    </w:p>
    <w:p>
      <w:pPr>
        <w:spacing w:after="0" w:line="229" w:lineRule="exact"/>
        <w:rPr>
          <w:sz w:val="20"/>
          <w:szCs w:val="20"/>
          <w:color w:val="auto"/>
        </w:rPr>
      </w:pPr>
    </w:p>
    <w:p>
      <w:pPr>
        <w:ind w:left="644" w:right="20"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Group has a benefit or obligation with an aggregate contract value in excess of USD 10,000,000 per annum;</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Material Customer or Material Supplier;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requires a consent to or otherwise contains a provision relating to a “change of control,” or that would prohibit or delay the consummation of the transactions contemplated by the Transaction Documents;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any Group Company;</w:t>
      </w:r>
    </w:p>
    <w:p>
      <w:pPr>
        <w:spacing w:after="0" w:line="172"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Customer</w:t>
      </w:r>
      <w:r>
        <w:rPr>
          <w:rFonts w:ascii="Times New Roman" w:cs="Times New Roman" w:eastAsia="Times New Roman" w:hAnsi="Times New Roman"/>
          <w:sz w:val="18"/>
          <w:szCs w:val="18"/>
          <w:color w:val="auto"/>
        </w:rPr>
        <w:t>” means top ten largest customers of the Group taken as a whole (based on the total amount of revenues from such customer) for the 12 month period ending 31 December 2025</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Supplier</w:t>
      </w:r>
      <w:r>
        <w:rPr>
          <w:rFonts w:ascii="Times New Roman" w:cs="Times New Roman" w:eastAsia="Times New Roman" w:hAnsi="Times New Roman"/>
          <w:sz w:val="18"/>
          <w:szCs w:val="18"/>
          <w:color w:val="auto"/>
        </w:rPr>
        <w:t>” means top ten largest service providers to the Group (other than in respect of the Transaction) based on purchase volume in the 12 month period ending 31 December 2025</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Matter Dispute</w:t>
      </w:r>
      <w:r>
        <w:rPr>
          <w:rFonts w:ascii="Times New Roman" w:cs="Times New Roman" w:eastAsia="Times New Roman" w:hAnsi="Times New Roman"/>
          <w:sz w:val="18"/>
          <w:szCs w:val="18"/>
          <w:color w:val="auto"/>
        </w:rPr>
        <w:t>” means the claim by SG Analytics Private Limited against Matter DK ApS in the amount of approximately USD 350,000 for certain work done;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LAS Notification</w:t>
      </w:r>
      <w:r>
        <w:rPr>
          <w:rFonts w:ascii="Times New Roman" w:cs="Times New Roman" w:eastAsia="Times New Roman" w:hAnsi="Times New Roman"/>
          <w:sz w:val="18"/>
          <w:szCs w:val="18"/>
          <w:color w:val="auto"/>
        </w:rPr>
        <w:t>” has the meaning given to it in Clause 3.4(b);</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Investors</w:t>
      </w:r>
      <w:r>
        <w:rPr>
          <w:rFonts w:ascii="Times New Roman" w:cs="Times New Roman" w:eastAsia="Times New Roman" w:hAnsi="Times New Roman"/>
          <w:sz w:val="18"/>
          <w:szCs w:val="18"/>
          <w:color w:val="auto"/>
        </w:rPr>
        <w:t>” has the meaning given to it in Clause 4.1(g);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has the meaning given to it in Clause 28;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in the capital of the Company;</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IPO Warrants</w:t>
      </w:r>
      <w:r>
        <w:rPr>
          <w:rFonts w:ascii="Times New Roman" w:cs="Times New Roman" w:eastAsia="Times New Roman" w:hAnsi="Times New Roman"/>
          <w:sz w:val="18"/>
          <w:szCs w:val="18"/>
          <w:color w:val="auto"/>
        </w:rPr>
        <w:t>” means, collectively, all of the outstanding warrants to purchase Diginex Shares issued by the Purchaser to Rhino Ventures Limited in connection with the initial public offering of the Purchaser, including:</w:t>
      </w:r>
    </w:p>
    <w:p>
      <w:pPr>
        <w:spacing w:after="0" w:line="159" w:lineRule="exact"/>
        <w:rPr>
          <w:sz w:val="20"/>
          <w:szCs w:val="20"/>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18,000,000 Diginex Shares at a subscription price of USD 1.03 per Diginex Share, which expire on 23 April 2028, pursuant to a warrant instrument dated 23 January 2025 issued by the Purchaser;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18,000,000 Diginex Shares at a subscription price of USD 1.28 per Diginex Share, which expire on 23 July 2028, pursuant to a warrant instrument dated 23 January 2025 issued by the Purchaser;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18,000,000 Diginex Shares at a subscription price of USD 1.54 per Diginex Share, which expire on 23 January 2029, pursuant to a warrant instrument dated 23 January 2025 issued by the Purchaser, and “</w:t>
      </w:r>
      <w:r>
        <w:rPr>
          <w:rFonts w:ascii="Times New Roman" w:cs="Times New Roman" w:eastAsia="Times New Roman" w:hAnsi="Times New Roman"/>
          <w:sz w:val="18"/>
          <w:szCs w:val="18"/>
          <w:b w:val="1"/>
          <w:bCs w:val="1"/>
          <w:color w:val="auto"/>
        </w:rPr>
        <w:t>Outstanding IPO Warrant Agreements</w:t>
      </w:r>
      <w:r>
        <w:rPr>
          <w:rFonts w:ascii="Times New Roman" w:cs="Times New Roman" w:eastAsia="Times New Roman" w:hAnsi="Times New Roman"/>
          <w:sz w:val="18"/>
          <w:szCs w:val="18"/>
          <w:color w:val="auto"/>
        </w:rPr>
        <w:t>” shall mean the warrant instruments referred to in (a) to (c) above;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Business IP</w:t>
      </w:r>
      <w:r>
        <w:rPr>
          <w:rFonts w:ascii="Times New Roman" w:cs="Times New Roman" w:eastAsia="Times New Roman" w:hAnsi="Times New Roman"/>
          <w:sz w:val="18"/>
          <w:szCs w:val="18"/>
          <w:color w:val="auto"/>
        </w:rPr>
        <w:t>” means Business IP which is owned by any Group Company;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 Financing</w:t>
      </w:r>
      <w:r>
        <w:rPr>
          <w:rFonts w:ascii="Times New Roman" w:cs="Times New Roman" w:eastAsia="Times New Roman" w:hAnsi="Times New Roman"/>
          <w:sz w:val="18"/>
          <w:szCs w:val="18"/>
          <w:color w:val="auto"/>
        </w:rPr>
        <w:t>” means a bona fide transaction or series of transactions with the principal purpose of raising capital, pursuant to which the Company issues Ordinary Shares and/or Preference Shares</w:t>
      </w:r>
    </w:p>
    <w:p>
      <w:pPr>
        <w:spacing w:after="0" w:line="15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information relating to an identified or identifiable natural person that is processed by or on behalf of any Group Company (whether recorded automatically or manually), including any such information that identifies or can be linked, directly or indirectly, to that person (such as name, address, location data, online identifiers, account identifiers, employment data, customer data, biometric or other sensitive data) but excluding information which has been irreversibly anonymised;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4" w:name="page15"/>
    <w:bookmarkEnd w:id="14"/>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Post-Completion Funding Commitment</w:t>
      </w:r>
      <w:r>
        <w:rPr>
          <w:rFonts w:ascii="Times New Roman" w:cs="Times New Roman" w:eastAsia="Times New Roman" w:hAnsi="Times New Roman"/>
          <w:sz w:val="18"/>
          <w:szCs w:val="18"/>
          <w:color w:val="auto"/>
        </w:rPr>
        <w:t>” means an amount equal to USD 200,000,000, or such other amount as may be agreed in writing between the Founders and the Purchaser;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M&amp;A</w:t>
      </w:r>
      <w:r>
        <w:rPr>
          <w:rFonts w:ascii="Times New Roman" w:cs="Times New Roman" w:eastAsia="Times New Roman" w:hAnsi="Times New Roman"/>
          <w:sz w:val="18"/>
          <w:szCs w:val="18"/>
          <w:color w:val="auto"/>
        </w:rPr>
        <w:t>” has the meaning given to it in Clause 6.1(d);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Preference Shares</w:t>
      </w:r>
      <w:r>
        <w:rPr>
          <w:rFonts w:ascii="Times New Roman" w:cs="Times New Roman" w:eastAsia="Times New Roman" w:hAnsi="Times New Roman"/>
          <w:sz w:val="18"/>
          <w:szCs w:val="18"/>
          <w:color w:val="auto"/>
        </w:rPr>
        <w:t>” means the preference shares in the capital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means the land and premises particulars of which are set out in Schedule 11;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Indemnitees</w:t>
      </w:r>
      <w:r>
        <w:rPr>
          <w:rFonts w:ascii="Times New Roman" w:cs="Times New Roman" w:eastAsia="Times New Roman" w:hAnsi="Times New Roman"/>
          <w:sz w:val="18"/>
          <w:szCs w:val="18"/>
          <w:color w:val="auto"/>
        </w:rPr>
        <w:t>” has the meaning given in Clause 13.2;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Material Adverse Change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change, circumstance or effect which results in a net decrease of 30% or more in the consolidated gross revenue of the Purchaser’s Group (taken as a whole) for the 12-month period ending on the date of this Agreement, provided that any such decrease resulting from any of the following shall be excluded in determining whether a Purchaser Material Adverse Change has occurred: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or escalation of war or major hostilities or any act of terrorism;</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financial markets or general economic, regulatory or political conditions in the jurisdictions in which the Purchaser’s Group operates;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that generally affect the industry(ies) or market(s) in which the Purchaser’s Group operates;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IFRS or Applicable Law;</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Purchaser’s Group to meet any published or internally prepared projections, budgets, plans or forecasts of revenues, earnings, or other financial performance measures or operating statistics; and/or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force of the Transaction Documents or any transaction contemplated thereunder, or the public announcement or other publicity related to the Transaction Documents and/or any such transaction;</w:t>
      </w:r>
    </w:p>
    <w:p>
      <w:pPr>
        <w:spacing w:after="0" w:line="162" w:lineRule="exact"/>
        <w:rPr>
          <w:sz w:val="20"/>
          <w:szCs w:val="20"/>
          <w:color w:val="auto"/>
        </w:rPr>
      </w:pPr>
    </w:p>
    <w:p>
      <w:pPr>
        <w:ind w:left="644" w:right="20"/>
        <w:spacing w:after="0" w:line="282" w:lineRule="auto"/>
        <w:rPr>
          <w:sz w:val="20"/>
          <w:szCs w:val="20"/>
          <w:color w:val="auto"/>
        </w:rPr>
      </w:pPr>
      <w:r>
        <w:rPr>
          <w:rFonts w:ascii="Times New Roman" w:cs="Times New Roman" w:eastAsia="Times New Roman" w:hAnsi="Times New Roman"/>
          <w:sz w:val="18"/>
          <w:szCs w:val="18"/>
          <w:color w:val="auto"/>
        </w:rPr>
        <w:t>except in the case of paragraphs (ii) and (iii), to the extent such event, change, circumstance or effect has a disproportionate effect on a Group Company (as compared with business operating in the industry(ies) in which the Purchaser’s Group operates); or</w:t>
      </w:r>
    </w:p>
    <w:p>
      <w:pPr>
        <w:spacing w:after="0" w:line="162" w:lineRule="exact"/>
        <w:rPr>
          <w:sz w:val="20"/>
          <w:szCs w:val="20"/>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change, circumstance, effect or other matter that has, or would reasonably be expected to have, either individually or in the aggregate with all other events, changes, circumstances, effects or other matters, a material adverse effect on the ability of the Purchaser to consummate the Transaction;</w:t>
      </w:r>
    </w:p>
    <w:p>
      <w:pPr>
        <w:spacing w:after="0" w:line="172"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Shareholder Approval</w:t>
      </w:r>
      <w:r>
        <w:rPr>
          <w:rFonts w:ascii="Times New Roman" w:cs="Times New Roman" w:eastAsia="Times New Roman" w:hAnsi="Times New Roman"/>
          <w:sz w:val="18"/>
          <w:szCs w:val="18"/>
          <w:color w:val="auto"/>
        </w:rPr>
        <w:t>” means the approval of the issuance by the Purchaser of the Consideration Shares by the affirmative vote of a majority of the members of the Purchaser entitled vote thereon pursuant to an ordinary resolution in writing, in the agreed form, without holding a meeting in accordance with the rules and regulations of Nasdaq and the constitutional documents of Purchaser;</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Business IP</w:t>
      </w:r>
      <w:r>
        <w:rPr>
          <w:rFonts w:ascii="Times New Roman" w:cs="Times New Roman" w:eastAsia="Times New Roman" w:hAnsi="Times New Roman"/>
          <w:sz w:val="18"/>
          <w:szCs w:val="18"/>
          <w:color w:val="auto"/>
        </w:rPr>
        <w:t>” means all Intellectual Property which has in the last three years been used primarily in or in connection with the business of any Purchaser’s Group Company and which is material to the business of the Purchaser’s Group;</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Business IT</w:t>
      </w:r>
      <w:r>
        <w:rPr>
          <w:rFonts w:ascii="Times New Roman" w:cs="Times New Roman" w:eastAsia="Times New Roman" w:hAnsi="Times New Roman"/>
          <w:sz w:val="18"/>
          <w:szCs w:val="18"/>
          <w:color w:val="auto"/>
        </w:rPr>
        <w:t>” means all Information Technology which has in the last three years been used primarily in connection with the business of any Purchaser’s Group Company and which is material to the business of the Purchaser’s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Licensed Business IP</w:t>
      </w:r>
      <w:r>
        <w:rPr>
          <w:rFonts w:ascii="Times New Roman" w:cs="Times New Roman" w:eastAsia="Times New Roman" w:hAnsi="Times New Roman"/>
          <w:sz w:val="18"/>
          <w:szCs w:val="18"/>
          <w:color w:val="auto"/>
        </w:rPr>
        <w:t>” means Purchaser’s Business IP other than Purchaser’s Owned Business IP;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Owned Business IP</w:t>
      </w:r>
      <w:r>
        <w:rPr>
          <w:rFonts w:ascii="Times New Roman" w:cs="Times New Roman" w:eastAsia="Times New Roman" w:hAnsi="Times New Roman"/>
          <w:sz w:val="18"/>
          <w:szCs w:val="18"/>
          <w:color w:val="auto"/>
        </w:rPr>
        <w:t>” means Purchaser’s Business IP which is owned by any Purchaser’s Group Company;</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Fundamental Warranties</w:t>
      </w:r>
      <w:r>
        <w:rPr>
          <w:rFonts w:ascii="Times New Roman" w:cs="Times New Roman" w:eastAsia="Times New Roman" w:hAnsi="Times New Roman"/>
          <w:sz w:val="18"/>
          <w:szCs w:val="18"/>
          <w:color w:val="auto"/>
        </w:rPr>
        <w:t>” means the Purchaser’s Warranties set out in Part 1 of Schedule 6, and “</w:t>
      </w:r>
      <w:r>
        <w:rPr>
          <w:rFonts w:ascii="Times New Roman" w:cs="Times New Roman" w:eastAsia="Times New Roman" w:hAnsi="Times New Roman"/>
          <w:sz w:val="18"/>
          <w:szCs w:val="18"/>
          <w:b w:val="1"/>
          <w:bCs w:val="1"/>
          <w:color w:val="auto"/>
        </w:rPr>
        <w:t>Purchaser’s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means any one of them as the context requires;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Group</w:t>
      </w:r>
      <w:r>
        <w:rPr>
          <w:rFonts w:ascii="Times New Roman" w:cs="Times New Roman" w:eastAsia="Times New Roman" w:hAnsi="Times New Roman"/>
          <w:sz w:val="18"/>
          <w:szCs w:val="18"/>
          <w:color w:val="auto"/>
        </w:rPr>
        <w:t>” means the group of companies comprising the Purchaser and its subsidiaries from time to time (and including, after Completion, the Group), and “</w:t>
      </w:r>
      <w:r>
        <w:rPr>
          <w:rFonts w:ascii="Times New Roman" w:cs="Times New Roman" w:eastAsia="Times New Roman" w:hAnsi="Times New Roman"/>
          <w:sz w:val="18"/>
          <w:szCs w:val="18"/>
          <w:b w:val="1"/>
          <w:bCs w:val="1"/>
          <w:color w:val="auto"/>
        </w:rPr>
        <w:t>Purchaser’s Group Company</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Warranties</w:t>
      </w:r>
      <w:r>
        <w:rPr>
          <w:rFonts w:ascii="Times New Roman" w:cs="Times New Roman" w:eastAsia="Times New Roman" w:hAnsi="Times New Roman"/>
          <w:sz w:val="18"/>
          <w:szCs w:val="18"/>
          <w:color w:val="auto"/>
        </w:rPr>
        <w:t>” means the warranties referred to in Clause 11 and set out in Schedule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and Lock-Up Agreement</w:t>
      </w:r>
      <w:r>
        <w:rPr>
          <w:rFonts w:ascii="Times New Roman" w:cs="Times New Roman" w:eastAsia="Times New Roman" w:hAnsi="Times New Roman"/>
          <w:sz w:val="18"/>
          <w:szCs w:val="18"/>
          <w:color w:val="auto"/>
        </w:rPr>
        <w:t>” means the registration rights and lock-up agreement in the form set out in Schedule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Accounting Standards</w:t>
      </w:r>
      <w:r>
        <w:rPr>
          <w:rFonts w:ascii="Times New Roman" w:cs="Times New Roman" w:eastAsia="Times New Roman" w:hAnsi="Times New Roman"/>
          <w:sz w:val="18"/>
          <w:szCs w:val="18"/>
          <w:color w:val="auto"/>
        </w:rPr>
        <w:t>” has the meaning given to it in paragraph 2.1 of Part 2 of Schedule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Founders Shares</w:t>
      </w:r>
      <w:r>
        <w:rPr>
          <w:rFonts w:ascii="Times New Roman" w:cs="Times New Roman" w:eastAsia="Times New Roman" w:hAnsi="Times New Roman"/>
          <w:sz w:val="18"/>
          <w:szCs w:val="18"/>
          <w:color w:val="auto"/>
        </w:rPr>
        <w:t>” has the meaning given to it in Clause 15.3(a);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Proportion</w:t>
      </w:r>
      <w:r>
        <w:rPr>
          <w:rFonts w:ascii="Times New Roman" w:cs="Times New Roman" w:eastAsia="Times New Roman" w:hAnsi="Times New Roman"/>
          <w:sz w:val="18"/>
          <w:szCs w:val="18"/>
          <w:color w:val="auto"/>
        </w:rPr>
        <w:t>” means, in respect of each Seller, the percentage set out against such Seller’s name in column (3) of Part 1 of Schedule 1 (as may be adjusted for New Investors that accede to this Agreement pursuant to Clause 4.1(g));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Records</w:t>
      </w:r>
      <w:r>
        <w:rPr>
          <w:rFonts w:ascii="Times New Roman" w:cs="Times New Roman" w:eastAsia="Times New Roman" w:hAnsi="Times New Roman"/>
          <w:sz w:val="18"/>
          <w:szCs w:val="18"/>
          <w:color w:val="auto"/>
        </w:rPr>
        <w:t>” has the meaning given to it in paragraph 18 of Schedule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Resigning Directors</w:t>
      </w:r>
      <w:r>
        <w:rPr>
          <w:rFonts w:ascii="Times New Roman" w:cs="Times New Roman" w:eastAsia="Times New Roman" w:hAnsi="Times New Roman"/>
          <w:sz w:val="18"/>
          <w:szCs w:val="18"/>
          <w:color w:val="auto"/>
        </w:rPr>
        <w:t>” means Noor Mohamed Farooq, Athanasios Charlaftis, Giandeo Pittea and Roger Michael Jupp;</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 person that is: (i) listed on, or owned or controlled by a person listed on, or acting on behalf of a person listed on, any Sanctions List; (ii) located in, incorporated under the laws of, or Controlled by a person located in or organised under the laws of, a country or territory that is the target of Sanctions (“</w:t>
      </w:r>
      <w:r>
        <w:rPr>
          <w:rFonts w:ascii="Times New Roman" w:cs="Times New Roman" w:eastAsia="Times New Roman" w:hAnsi="Times New Roman"/>
          <w:sz w:val="18"/>
          <w:szCs w:val="18"/>
          <w:b w:val="1"/>
          <w:bCs w:val="1"/>
          <w:color w:val="auto"/>
        </w:rPr>
        <w:t>target of Sanctions</w:t>
      </w:r>
      <w:r>
        <w:rPr>
          <w:rFonts w:ascii="Times New Roman" w:cs="Times New Roman" w:eastAsia="Times New Roman" w:hAnsi="Times New Roman"/>
          <w:sz w:val="18"/>
          <w:szCs w:val="18"/>
          <w:color w:val="auto"/>
        </w:rPr>
        <w:t>” signifying a person with whom a US person or other national of a Sanctions Authority would be prohibited or restricted by law from engaging in trade, business or other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Resulticks Shareholders Agreement</w:t>
      </w:r>
      <w:r>
        <w:rPr>
          <w:rFonts w:ascii="Times New Roman" w:cs="Times New Roman" w:eastAsia="Times New Roman" w:hAnsi="Times New Roman"/>
          <w:sz w:val="18"/>
          <w:szCs w:val="18"/>
          <w:color w:val="auto"/>
        </w:rPr>
        <w:t>” means the shareholders’ agreement dated 31 May 2022 in relation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RVL</w:t>
      </w:r>
      <w:r>
        <w:rPr>
          <w:rFonts w:ascii="Times New Roman" w:cs="Times New Roman" w:eastAsia="Times New Roman" w:hAnsi="Times New Roman"/>
          <w:sz w:val="18"/>
          <w:szCs w:val="18"/>
          <w:color w:val="auto"/>
        </w:rPr>
        <w:t>” means Rhino Ventures Limited, a company incorporated under the laws of the Cayman Islands with company registration number 984500497CB2711A4730 and having its registered office at Suite 303, 90 Fort Street, George Town, Grand Cayman, Cayman Islands;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 Ordinary Shares and Preference Shares set out in Part 1 of Schedule 1, collectively representing the entire issued and paid-up share capital of the Company;</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the economic sanctions laws, regulations, embargoes or restrictive measures administered, enacted or enforced by: (i) the United States government; (ii) the United Nations Security Council; (iii) the European Union; (iv) the United Kingdom; (v) the jurisdiction(s) of incorporation of the Company and the Purchaser; or (vi) the respective governmental institutions and agencies of any of the foregoing, including, without limitation, the Office of Foreign Assets Control of the US Department of Treasury, the United States Department of State, and HMT (together the “</w:t>
      </w:r>
      <w:r>
        <w:rPr>
          <w:rFonts w:ascii="Times New Roman" w:cs="Times New Roman" w:eastAsia="Times New Roman" w:hAnsi="Times New Roman"/>
          <w:sz w:val="18"/>
          <w:szCs w:val="18"/>
          <w:b w:val="1"/>
          <w:bCs w:val="1"/>
          <w:color w:val="auto"/>
        </w:rPr>
        <w:t>Sanctions Authorities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have the meaning given to them in Clause 1.1;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means the “Specially Designated Nationals and Blocked Persons” list maintained by the Office of Foreign Assets Control of the US Department of Treasury, the Consolidated List of Financial Sanctions Targets and the Investment Ban List maintained by HMT, or any similar list maintained by, or public announcement of Sanctions designation made by, any of the Sanctions Authorities;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out in paragraph 4.1 of Schedule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Indemnitees</w:t>
      </w:r>
      <w:r>
        <w:rPr>
          <w:rFonts w:ascii="Times New Roman" w:cs="Times New Roman" w:eastAsia="Times New Roman" w:hAnsi="Times New Roman"/>
          <w:sz w:val="18"/>
          <w:szCs w:val="18"/>
          <w:color w:val="auto"/>
        </w:rPr>
        <w:t>” has the meaning given in Clause 13.1;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6" w:name="page17"/>
    <w:bookmarkEnd w:id="16"/>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Fundamental Warranties</w:t>
      </w:r>
      <w:r>
        <w:rPr>
          <w:rFonts w:ascii="Times New Roman" w:cs="Times New Roman" w:eastAsia="Times New Roman" w:hAnsi="Times New Roman"/>
          <w:sz w:val="18"/>
          <w:szCs w:val="18"/>
          <w:color w:val="auto"/>
        </w:rPr>
        <w:t>” means the Sellers’ Warranties set out in Part 1 of Schedule 4, and “</w:t>
      </w:r>
      <w:r>
        <w:rPr>
          <w:rFonts w:ascii="Times New Roman" w:cs="Times New Roman" w:eastAsia="Times New Roman" w:hAnsi="Times New Roman"/>
          <w:sz w:val="18"/>
          <w:szCs w:val="18"/>
          <w:b w:val="1"/>
          <w:bCs w:val="1"/>
          <w:color w:val="auto"/>
        </w:rPr>
        <w:t>Sellers’ Fundamental Warranty</w:t>
      </w:r>
      <w:r>
        <w:rPr>
          <w:rFonts w:ascii="Times New Roman" w:cs="Times New Roman" w:eastAsia="Times New Roman" w:hAnsi="Times New Roman"/>
          <w:sz w:val="18"/>
          <w:szCs w:val="18"/>
          <w:color w:val="auto"/>
        </w:rPr>
        <w:t>” means any one of them as the context requires;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Representative</w:t>
      </w:r>
      <w:r>
        <w:rPr>
          <w:rFonts w:ascii="Times New Roman" w:cs="Times New Roman" w:eastAsia="Times New Roman" w:hAnsi="Times New Roman"/>
          <w:sz w:val="18"/>
          <w:szCs w:val="18"/>
          <w:color w:val="auto"/>
        </w:rPr>
        <w:t>” means Radhika Sundaram, acting on behalf of all the Sellers;</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Warranties</w:t>
      </w:r>
      <w:r>
        <w:rPr>
          <w:rFonts w:ascii="Times New Roman" w:cs="Times New Roman" w:eastAsia="Times New Roman" w:hAnsi="Times New Roman"/>
          <w:sz w:val="18"/>
          <w:szCs w:val="18"/>
          <w:color w:val="auto"/>
        </w:rPr>
        <w:t>” means the warranties referred to in Clause 8 and set out in Schedule 4, and “</w:t>
      </w:r>
      <w:r>
        <w:rPr>
          <w:rFonts w:ascii="Times New Roman" w:cs="Times New Roman" w:eastAsia="Times New Roman" w:hAnsi="Times New Roman"/>
          <w:sz w:val="18"/>
          <w:szCs w:val="18"/>
          <w:b w:val="1"/>
          <w:bCs w:val="1"/>
          <w:color w:val="auto"/>
        </w:rPr>
        <w:t>Seller’s Warranty</w:t>
      </w:r>
      <w:r>
        <w:rPr>
          <w:rFonts w:ascii="Times New Roman" w:cs="Times New Roman" w:eastAsia="Times New Roman" w:hAnsi="Times New Roman"/>
          <w:sz w:val="18"/>
          <w:szCs w:val="18"/>
          <w:color w:val="auto"/>
        </w:rPr>
        <w:t>” shall mean any one of them;</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Employee</w:t>
      </w:r>
      <w:r>
        <w:rPr>
          <w:rFonts w:ascii="Times New Roman" w:cs="Times New Roman" w:eastAsia="Times New Roman" w:hAnsi="Times New Roman"/>
          <w:sz w:val="18"/>
          <w:szCs w:val="18"/>
          <w:color w:val="auto"/>
        </w:rPr>
        <w:t>” means each of the employees identified by Radhika Sundaram at the time of Completion;</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SFRS</w:t>
      </w:r>
      <w:r>
        <w:rPr>
          <w:rFonts w:ascii="Times New Roman" w:cs="Times New Roman" w:eastAsia="Times New Roman" w:hAnsi="Times New Roman"/>
          <w:sz w:val="18"/>
          <w:szCs w:val="18"/>
          <w:color w:val="auto"/>
        </w:rPr>
        <w:t>” means the Singapore Financial Reporting Standards promulgated by the Accounting Standards Council Singapore from time to time applicable to the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Stamp Duty Documents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E4A and Working Sheet D for computing the net asset value per Sale Share in the form prescribed by the Stamp Duty Branch of the Inland Revenue; and/or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may be prescribed from time to time by the Stamp Duty Branch of the Inland Revenue for the purpose of assessing the stamp duty payable on a transfer of shares;</w:t>
      </w:r>
    </w:p>
    <w:p>
      <w:pPr>
        <w:spacing w:after="0" w:line="158"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the subsidiaries of the Company from time to time, including, as at the date of this Agreement, the companies, details of which are set out in Part 2 of Schedule 2;</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and includes all forms of taxation and statutory and governmental, state, provincial, local governmental or municipal charges, duties, contributions and levies, withholdings and deductions, in each case whether of India, Singapore, the United States of America or elsewhere and whenever imposed and all related penalties, fines, charges, costs, interest;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competent to impose Tax or assess, administer or collect Tax;</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means a Claim for breach of a Tax Warranty or a Tax Indemnity Claim;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Indemnity Claim</w:t>
      </w:r>
      <w:r>
        <w:rPr>
          <w:rFonts w:ascii="Times New Roman" w:cs="Times New Roman" w:eastAsia="Times New Roman" w:hAnsi="Times New Roman"/>
          <w:sz w:val="18"/>
          <w:szCs w:val="18"/>
          <w:color w:val="auto"/>
        </w:rPr>
        <w:t>” means a claim against the Sellers under paragraph 1 of Schedule 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Liability</w:t>
      </w:r>
      <w:r>
        <w:rPr>
          <w:rFonts w:ascii="Times New Roman" w:cs="Times New Roman" w:eastAsia="Times New Roman" w:hAnsi="Times New Roman"/>
          <w:sz w:val="18"/>
          <w:szCs w:val="18"/>
          <w:color w:val="auto"/>
        </w:rPr>
        <w:t>” means any Actual Tax Liability, or any other liability which gives or may give rise to a Tax Claim;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Relief</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relief, loss, allowance, exemption, set-off or credit in respect of any Tax;</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deduction or any set off used in computing any income, profits or gains for the purposes of any Tax;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repayment of Tax including any repayment supplement or interest in respect of Tax;</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Warranties</w:t>
      </w:r>
      <w:r>
        <w:rPr>
          <w:rFonts w:ascii="Times New Roman" w:cs="Times New Roman" w:eastAsia="Times New Roman" w:hAnsi="Times New Roman"/>
          <w:sz w:val="18"/>
          <w:szCs w:val="18"/>
          <w:color w:val="auto"/>
        </w:rPr>
        <w:t>” means the Sellers’ Warranties set out in paragraph 14 of Part 2 of Schedule 4 and “Tax Warranty” means any one of them as the context requires;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sale and purchase of the Sale Shares pursuant to, and in accordance with,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Disclosure Letter, the Registration Rights and Lock-Up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Consideration Shares</w:t>
      </w:r>
      <w:r>
        <w:rPr>
          <w:rFonts w:ascii="Times New Roman" w:cs="Times New Roman" w:eastAsia="Times New Roman" w:hAnsi="Times New Roman"/>
          <w:sz w:val="18"/>
          <w:szCs w:val="18"/>
          <w:color w:val="auto"/>
        </w:rPr>
        <w:t>” means, collectively:</w:t>
      </w:r>
    </w:p>
    <w:p>
      <w:pPr>
        <w:spacing w:after="0" w:line="227" w:lineRule="exact"/>
        <w:rPr>
          <w:sz w:val="20"/>
          <w:szCs w:val="20"/>
          <w:color w:val="auto"/>
        </w:rPr>
      </w:pPr>
    </w:p>
    <w:p>
      <w:pPr>
        <w:ind w:left="644" w:hanging="644"/>
        <w:spacing w:after="0" w:line="284"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Consideration Shares to be allotted and issued to each Seller in accordance with its Relevant Proportion, amounting to an aggregate of 200,000,000 Diginex Shares, as may be adjusted in accordance with Clause 3.4; and</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7" w:name="page18"/>
    <w:bookmarkEnd w:id="17"/>
    <w:p>
      <w:pPr>
        <w:ind w:left="1300" w:right="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remaining Consideration Shares to be allotted and issued to each of the Founders in accordance with their respective Relevant Proportion;</w:t>
      </w:r>
    </w:p>
    <w:p>
      <w:pPr>
        <w:spacing w:after="0" w:line="15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GAAS</w:t>
      </w:r>
      <w:r>
        <w:rPr>
          <w:rFonts w:ascii="Times New Roman" w:cs="Times New Roman" w:eastAsia="Times New Roman" w:hAnsi="Times New Roman"/>
          <w:sz w:val="18"/>
          <w:szCs w:val="18"/>
          <w:color w:val="auto"/>
        </w:rPr>
        <w:t>” means United States Generally Accepted Accounting Standards as issued by the American Institute of Certified Public Accountants;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 “U.S. person” as defined in Rule 902(k) of Regulation S under the U.S. Securities Act.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Statutory provisions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References to any statute or statutory provision include a reference to that statute or statutory provision as amended, supplemented, consolidated or replaced from time to time (whether before or after the date of this Agreement) and include any subsidiary legislation made under the relevant statute or statutory provision except to the extent that any amendment, supplement, consolidation or replacement would increase or extend the liability of the Seller under this Agreement.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Meaning of references</w:t>
      </w:r>
    </w:p>
    <w:p>
      <w:pPr>
        <w:spacing w:after="0" w:line="225" w:lineRule="exact"/>
        <w:rPr>
          <w:sz w:val="20"/>
          <w:szCs w:val="20"/>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words in the singular include the plural and vice versa and a reference to any gender includes all other genders.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means any method of reproducing words in a legible and non-transitory form (including fax and email).</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are to be construed without limitation.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include any company, corporation or other body corporate wherever and however incorporated or established.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 any individual, company, partnership, joint venture, firm, association, trust, Governmental Authority or other body or entity (whether or not having separate legal personality).</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“material” mean, save where the context requires otherwise, material having regard to the business, profits or assets of the Group or the Purchaser’s Group (as the case may be), taken as a whole.</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the expression “</w:t>
      </w:r>
      <w:r>
        <w:rPr>
          <w:rFonts w:ascii="Times New Roman" w:cs="Times New Roman" w:eastAsia="Times New Roman" w:hAnsi="Times New Roman"/>
          <w:sz w:val="18"/>
          <w:szCs w:val="18"/>
          <w:b w:val="1"/>
          <w:bCs w:val="1"/>
          <w:color w:val="auto"/>
        </w:rPr>
        <w:t>procure</w:t>
      </w:r>
      <w:r>
        <w:rPr>
          <w:rFonts w:ascii="Times New Roman" w:cs="Times New Roman" w:eastAsia="Times New Roman" w:hAnsi="Times New Roman"/>
          <w:sz w:val="18"/>
          <w:szCs w:val="18"/>
          <w:color w:val="auto"/>
        </w:rPr>
        <w:t>”, where used in the context of each of Sellers, means undertaking to exercise its voting rights and to use any and all other powers vested in it from time to time as a shareholder of the Group.</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w:t>
      </w:r>
      <w:r>
        <w:rPr>
          <w:rFonts w:ascii="Times New Roman" w:cs="Times New Roman" w:eastAsia="Times New Roman" w:hAnsi="Times New Roman"/>
          <w:sz w:val="18"/>
          <w:szCs w:val="18"/>
          <w:b w:val="1"/>
          <w:bCs w:val="1"/>
          <w:color w:val="auto"/>
        </w:rPr>
        <w:t>indemnify</w:t>
      </w:r>
      <w:r>
        <w:rPr>
          <w:rFonts w:ascii="Times New Roman" w:cs="Times New Roman" w:eastAsia="Times New Roman" w:hAnsi="Times New Roman"/>
          <w:sz w:val="18"/>
          <w:szCs w:val="18"/>
          <w:color w:val="auto"/>
        </w:rPr>
        <w:t>” and to “</w:t>
      </w:r>
      <w:r>
        <w:rPr>
          <w:rFonts w:ascii="Times New Roman" w:cs="Times New Roman" w:eastAsia="Times New Roman" w:hAnsi="Times New Roman"/>
          <w:sz w:val="18"/>
          <w:szCs w:val="18"/>
          <w:b w:val="1"/>
          <w:bCs w:val="1"/>
          <w:color w:val="auto"/>
        </w:rPr>
        <w:t>indemnifying</w:t>
      </w:r>
      <w:r>
        <w:rPr>
          <w:rFonts w:ascii="Times New Roman" w:cs="Times New Roman" w:eastAsia="Times New Roman" w:hAnsi="Times New Roman"/>
          <w:sz w:val="18"/>
          <w:szCs w:val="18"/>
          <w:color w:val="auto"/>
        </w:rPr>
        <w:t>” any person against any Losses by reference to any matter, event or circumstance includes indemnifying and keeping that person indemnified against all Losses from time to time made, suffered or incurred as a direct or indirect consequence of or which would not have arisen but for that matter, event or circumstance.</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words “</w:t>
      </w:r>
      <w:r>
        <w:rPr>
          <w:rFonts w:ascii="Times New Roman" w:cs="Times New Roman" w:eastAsia="Times New Roman" w:hAnsi="Times New Roman"/>
          <w:sz w:val="18"/>
          <w:szCs w:val="18"/>
          <w:b w:val="1"/>
          <w:bCs w:val="1"/>
          <w:color w:val="auto"/>
        </w:rPr>
        <w:t>reasonable endeavours</w:t>
      </w:r>
      <w:r>
        <w:rPr>
          <w:rFonts w:ascii="Times New Roman" w:cs="Times New Roman" w:eastAsia="Times New Roman" w:hAnsi="Times New Roman"/>
          <w:sz w:val="18"/>
          <w:szCs w:val="18"/>
          <w:color w:val="auto"/>
        </w:rPr>
        <w:t>” are used in this Agreement in relation to the performance of any act by a Party, the words shall not give rise to an obligation on the part of that Party to assume any material expenditure to achieve the same or require that Party to take such action which would be likely to have such a detrimental effect on the current or future development of the business of that Party that it would be unreasonable to expect that Party to take it.</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means the lawful currency of the United States of America, as at the date of this Agreement.</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books, records or other information means books, records or other information in any form including paper, electronically stored data, magnetic media, film and microfilm.</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Clauses, paragraphs, Parts and Schedules are to clauses, paragraphs and parts of, and schedules to, this Agreement. The Schedules form part of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1300" w:hanging="644"/>
        <w:spacing w:after="0" w:line="26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to a document in the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to the form of the relevant document in the form and on terms to be agreed between the Sellers’ Representative (acting on behalf of all Sellers) and the Purchaser (in each case with such amendments as may be agreed in writing by or on behalf of each of them).</w:t>
      </w:r>
    </w:p>
    <w:p>
      <w:pPr>
        <w:spacing w:after="0" w:line="17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this Agreement, subject to any express provision in this Agreement to the contrary, a warranty, covenant or obligation given or entered into by more than one (1) person binds them jointly and severally.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Headings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of contents and headings are inserted for convenience only and do not affect the construction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Awareness of the Sellers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Where any statement in the Sellers’ Warranties given by a Seller is qualified by the expression “to the best of the Seller’s knowledge” or any similar expression, the expression shall mean the actual knowledge, belief, or awareness of such Seller only (such that each Seller is deemed to have actual knowledge of all facts, matters and circumstances within his own knowledge and not the knowledge of any other Seller), and the knowledge that such Seller ought reasonably to have had after making reasonable enquiries.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Several liability of the Sellers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provision in this Agreement or any other Transaction Document to the contrary, the Parties acknowledge and agree that:</w:t>
      </w:r>
    </w:p>
    <w:p>
      <w:pPr>
        <w:spacing w:after="0" w:line="225" w:lineRule="exact"/>
        <w:rPr>
          <w:sz w:val="20"/>
          <w:szCs w:val="20"/>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obligations and undertakings of the Sellers under this Agreement (including in respect of the Sellers’ Warranties) and the other Transaction Documents shall be several (and not joint or joint and several);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Clause 1.7(a):</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Seller shall give the Sellers’ Fundamental Warranties severally and only in respect of itself/himself, and in respect of the Sale Shares held by it/him and (B) subject to Clause 1.7(c), each Seller shall give all other Sellers’ Warranties on a several (and not joint or joint and several) basis;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shall be severally responsible for its/his own (A) respective obligations on Completion specified in Schedule 3, and not for the obligations of any other Seller on Completion specified in Schedule 3, and (B) compliance with the obligations under Clauses 16 and 17;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by the Purchaser under this Agreement or the other Transaction Documents against any Seller (whether in respect of any breach of the Sellers’ Warranties or otherwise) shall be made based on such Seller’s Relevant Proportion.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Sellers’ Representative</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of the Sellers (other than the Sellers’ Representative) irrevocably appoints the Sellers’ Representative, and the Sellers’ Representative hereby accepts such appointment, as agent for and on behalf of the Sellers with full and exclusive authority to negotiate and agree the terms of this Agreement or any Transaction Documents, and to take all actions specifically mandated by the terms of this Agreement, the Transaction Documents or any ancillary agreements, it being acknowledged and agreed that any Notice made by the Purchaser to the Sellers shall be made to each Seller individually.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Awareness of the Purchaser</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any statement in the Purchaser’s Warranties given by the Purchaser is qualified by the expression “to the best of the Purchaser’s knowledge” or any similar expression, the expression shall mean the actual knowledge, belief, or awareness of the Purchaser, and the knowledge that the Purchaser ought reasonably to have had after making reasonable enquiries.</w:t>
      </w:r>
    </w:p>
    <w:p>
      <w:pPr>
        <w:spacing w:after="0" w:line="17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Exchange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in this Agreement, if any amount is to be converted to USD:</w:t>
      </w:r>
    </w:p>
    <w:p>
      <w:pPr>
        <w:spacing w:after="0" w:line="225" w:lineRule="exact"/>
        <w:rPr>
          <w:sz w:val="20"/>
          <w:szCs w:val="20"/>
          <w:color w:val="auto"/>
        </w:rPr>
      </w:pPr>
    </w:p>
    <w:p>
      <w:pPr>
        <w:ind w:left="1300" w:right="2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making any payment under this Agreement, such amount shall be converted into USD at the Exchange Rate applicable on the date which falls three (3) Business Days prior to the relevant payment date;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determining whether a monetary limit or threshold set out in Schedule 5 has been reached or exceeded and the value of the Claim is expressed in a currency other than USD, the value of that Claim shall be converted into USD at the Exchange Rate applicable on the date which falls on the date of receipt of notice by the Seller of such Claim in accordance with paragraph 3 of Schedule 5.</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Sale and purchase of Sale Shares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each Seller shall sell, and the Purchaser shall purchase, the entire legal and beneficial ownership in the Sale Shares listed against that Seller’s name in column (3) of Part 1 of Schedule 1, with all rights attaching to them at Completion, free from all Encumbrances, on the terms and conditions of this Agreement.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Sellers or the Purchaser shall be obliged to complete the sale and purchase of any of the Sale Shares unless the sale and purchase of all of the Sale Shares are completed simultaneously.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Waivers of restrictions on transfer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Seller hereby waives, subject only to Completion, any rights it may have in respect of the redemption, pre-emption, first refusal or any other restrictions in relation to the transfer of the Sale Shares, whether under the constitution of the Company or otherwise.</w:t>
      </w:r>
    </w:p>
    <w:p>
      <w:pPr>
        <w:spacing w:after="0" w:line="158"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Total purchase price</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The total purchase price for the Sale Shares to be paid by the Purchaser is USD 1,500,000,000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which shall be satisfied by the allotment and issuance of the Consideration Shares by the Purchaser to the Sellers in accordance with this Agreement.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Sellers’ proportional entitlement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Sellers shall be entitled to the Consideration Shares in their Relevant Proportions.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Consideration Shares</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Allotment and issuance of Consideration Shares</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the Purchaser shall allot and issue to each of the Sellers (or its nominee(s)), such Seller’s Relevant Proportion of the Consideration Shares (rounded to the nearest whole share), free from all Encumbrances, at a nil or nominal subscription price, in accordance with Clause 3.4. The Unrestricted Consideration Shares shall be allotted and issued on an immediately tradeable basis, subject to compliance with Applicable Law, and which shall not be subject to any lock-up restrictions, in accordance with Clause 3.3(b), except, in respect of the Unrestricted Consideration Shares to be issued to the Founders, as otherwise agreed in writing by the Founders.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legend</w:t>
      </w:r>
    </w:p>
    <w:p>
      <w:pPr>
        <w:spacing w:after="0" w:line="225"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forthwith after the execution of this Agreement and at its own expense, coordinate in advance with the Purchaser’s transfer agent to effect removal of any legend on any of the Unrestricted Consideration Shares as soon as any such legend is not required under applicable requirements of the Securities Act (including judicial interpretations and pronouncements issued by the staff of the Commission). For the avoidance of doubt, Purchaser agrees that any such legends included pursuant to Clause 9.2(c) shall not be required on the 40th day after each of the Unrestricted Consideration Shares is issued pursuant to Clause 3.3(a), and shall arrange in advance for removal on such dates. In connection with any legend removal, if required by the Purchaser’s transfer agent, the Purchaser shall cause an opinion of counsel to be delivered to and maintained with the Purchaser’s transfer agent, together with any other authorizations, certificates and directions required by the transfer agent that authorize and direct the transfer agent to issue the Unrestricted Consideration Shares, as applicable, without any such legend. The Purchaser shall bear all direct costs and expenses associated with the removal of a legend.</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 later than 5 days prior to the date the legends referred to in Clause 3.3(b) above are removed, issue a public press release or file with the Securities and Exchange Commission a report on Form 6-K containing any material non-public information about the Purchaser that has been disclosed by the Purchaser to any Seller, provided that the Purchaser shall provide each applicable Seller to which such information has been disclosed a reasonable opportunity to review and comment on such disclosure and shall not include in any such disclosure any confidential information relating to the Company or any of the Founders without the written consent of each, as applicable.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Issuance of Shares; Purchaser Shareholder Approval</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Purchaser undertakes any corporate action to reclassify, combine (including by reverse share split), combine, split, subdivide or redeem, or repurchase or otherwise acquire, or otherwise reorganize, its authorised or issued share capital or issues any bonus shares during or by reference to any period between the date of this Agreement and the date of allotment of any of the Consideration Shares, the number of such Consideration Shares, and/or the relevant subscription price, shall be appropriately adjusted by such amount as shall be necessary to take account of the same to provide to the Sellers the same economic effect as contemplated by this Agreement prior to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Clause 3.4(a) shall be construed to permit the Purchaser to take any action with respect to any securities that is prohibited by this Agreement, including Clause 6.1.</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forthwith after the execution of this Agreement and at its own expense, file a Nasdaq Listing Of Additional Shares Notification Form (a “</w:t>
      </w:r>
      <w:r>
        <w:rPr>
          <w:rFonts w:ascii="Times New Roman" w:cs="Times New Roman" w:eastAsia="Times New Roman" w:hAnsi="Times New Roman"/>
          <w:sz w:val="18"/>
          <w:szCs w:val="18"/>
          <w:b w:val="1"/>
          <w:bCs w:val="1"/>
          <w:color w:val="auto"/>
        </w:rPr>
        <w:t>Nasdaq LAS Notification</w:t>
      </w:r>
      <w:r>
        <w:rPr>
          <w:rFonts w:ascii="Times New Roman" w:cs="Times New Roman" w:eastAsia="Times New Roman" w:hAnsi="Times New Roman"/>
          <w:sz w:val="18"/>
          <w:szCs w:val="18"/>
          <w:color w:val="auto"/>
        </w:rPr>
        <w:t>”). For the avoidance of doubt, the Purchaser agrees to comply with all requirements of Nasdaq, and take all actions that may be required, for the listing of the Consideration Shares on Nasdaq, which may include an initial listing application, and shall ensure that such Nasdaq LAS Notification and initial listing application, if required, and Nasdaq permission therefor, is obtained by the date such shares are required to be issued in accordance with this Agreement. The Purchaser shall supply all such information, give all such undertakings, execute all such documents, pay all such fees and do or procure to be done all such things as may be required to be done by Nasdaq in respect of such listing and approval.</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file a registration statement registering for resale securities held by the Sellers in accordance with the Registration Rights and Lock-Up Agreement, substantially in the form as set out in Schedule 8.</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issue the Issuance Ordinary Resolution Notice within five (5) business days of the execution and delivery of this Agreement to all members of the Purchaser to procure the Purchaser Shareholder Approval in accordance with the Purchaser’s memorandum and articles of association. The Purchaser shall not withdraw or amend the Issuance Ordinary Resolution Notice without the consent of the Sellers. Without limiting the generality of the foregoing, the Purchaser shall, as promptly as practicable following date of this Agreement (and in any event prior to the issuance of any Unrestricted Consideration Shares), procure delivery of the Purchaser Shareholder Approval required to authorise the issuance of the Consideration Shares in full compliance with the rules and regulations of Nasdaq, the Companies Act (as amended) of the Cayman Islands, the Purchaser’s memorandum and articles of association and by way of written resolutions of the members. Such Purchaser Shareholder Approval shall be effective prior to the issuance of any Consideration Shares.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Purchaser’s Funding Commitment</w:t>
      </w:r>
    </w:p>
    <w:p>
      <w:pPr>
        <w:spacing w:after="0" w:line="225" w:lineRule="exact"/>
        <w:rPr>
          <w:sz w:val="20"/>
          <w:szCs w:val="20"/>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the Purchaser shall provide to the Company the Post-Completion Funding Commitment in cash as funding.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Completion until 31 March 2027 (or such earlier date on which the entire amount of the Post-Completion Funding Commitment has been provided to the Company in accordance with Clause 3.5(a)), the Purchaser shall procure that at least 85% of the proceeds of fundraisings conducted by the Purchaser shall be allocated to and utilised towards the funding of the Post-Completion Funding Commitment as referred to in Clause 3.5(a).</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any amount provided by the Purchaser to the Company from time to time under this Clause 3.5 may be utilised by the Company in such manner as the Founders may determine, for the purposes of the Business and in accordance with the relevant annual budget of the Group and any applicable delegated authority framework adopted by the board of directors of the Purchaser and agreed with the Founders.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Conditions to obligations of the Parties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obligations of the Parties to complete the Transaction are subject to the satisfaction (or waiver in writing) of the following Conditions: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clearances, permissions and/or waivers required under Applicable Law or from any Governmental Authority (including any competition authority) for the execution of this Agreement and the consummation of the transactions contemplated hereunder having been obtained and remaining in full force and effect, and all applicable waiting periods having expired, lapsed or been terminated;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LAS Notification and, if applicable, any other required listing application, having been submitted by the Purchaser to, and approved by, Nasdaq (the “</w:t>
      </w:r>
      <w:r>
        <w:rPr>
          <w:rFonts w:ascii="Times New Roman" w:cs="Times New Roman" w:eastAsia="Times New Roman" w:hAnsi="Times New Roman"/>
          <w:sz w:val="18"/>
          <w:szCs w:val="18"/>
          <w:b w:val="1"/>
          <w:bCs w:val="1"/>
          <w:color w:val="auto"/>
        </w:rPr>
        <w:t>Nasdaq Notification Condition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nomination committee and the board of directors of the Purchaser having been passed, approving the Agreed Technical Expert Board Addition and resolving to implement the Agreed Technical Expert Board Addition with effect on Completion, and such resolutions not having been withdrawn, amended or otherwise revoked, and the Agreed Technical Expert Board Addition having been effected at Completion;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Shareholder Approval having been obtained and not withdrawn, amended or otherwise revoked;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written consents to the Transaction and the resulting change of control of the Group having been obtained from each of: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Ascertis Credit – India Fund III Limited and Madison Pacific Trust Limited, in accordance with the terms of the Ascertis Facilities Documents;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Anicut and Catalyst Trusteeship Limited in accordance with the terms of the India Facilities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having been given to HDFC Bank Limited. in accordance with the terms of the Master Services Agreement signed on 6th February 2018, and Sonata Information Technology Limited, in accordance with the terms of the Google Cloud Platform Services Agreement signed on 27 October 2025, notifying both parties of the proposed change of control of the Company arising from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Permitted Equity Financing occurs between the date of this Agreement and Completion, each of the investors participating in such transaction(s) (“</w:t>
      </w:r>
      <w:r>
        <w:rPr>
          <w:rFonts w:ascii="Times New Roman" w:cs="Times New Roman" w:eastAsia="Times New Roman" w:hAnsi="Times New Roman"/>
          <w:sz w:val="18"/>
          <w:szCs w:val="18"/>
          <w:b w:val="1"/>
          <w:bCs w:val="1"/>
          <w:color w:val="auto"/>
        </w:rPr>
        <w:t>New Investors</w:t>
      </w:r>
      <w:r>
        <w:rPr>
          <w:rFonts w:ascii="Times New Roman" w:cs="Times New Roman" w:eastAsia="Times New Roman" w:hAnsi="Times New Roman"/>
          <w:sz w:val="18"/>
          <w:szCs w:val="18"/>
          <w:color w:val="auto"/>
        </w:rPr>
        <w:t>”) shall have executed and delivered to the Purchaser a deed of adherence to this Agreement under which such investor agrees to be bound by the terms hereof;</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Founder Warrants, other than the Exercisable Warrants to the extent exercised by RVL, at Completion, having been terminated and cancelled in full with no further liability to the Purchaser’s Group, with effect from Completion, for nil or nominal consideration;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Purchaser in extraordinary general meeting having been duly obtained to increase the authorised share capital of the Purchaser to the extent necessary to permit the allotment and issuance of the Consideration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Conditions to obligations of the Sellers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obligations of the Sellers to complete the Transaction are subject to the satisfaction (or waiver in writing by the Sellers’ Representative) of the following Conditions:</w:t>
      </w:r>
    </w:p>
    <w:p>
      <w:pPr>
        <w:spacing w:after="0" w:line="162"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Material Adverse Change having occurred;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Purchaser’s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Purchaser’s Warranties being true and accurate in all material respects as of the date of this Agreement and as at Completion as if made at Completion (except to the extent such representations and warranties expressly relate to an earlier date, in which case as of such earlier date);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having complied in all material respects with all of its obligations under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having delivered an irrevocable written notice to each of the Senior Employees confirming their eligibility to participate in the Diginex Incentive Plan on and from the Completion Date;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having used all reasonable endeavours to procure the satisfaction of the Conditions set out in Clauses 4.1(a), 4.1(b), 4.1(c), 4.1(d), 4.1(h) and 4.1(i).</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Conditions to obligations of the Purchaser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Purchaser to complete the Transaction are subject to the satisfaction (or waiver in writing by the Purchaser) of the following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Change having occurred;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Sellers’ Fundamental Warranties being true and accurate in all respects as of the date of this Agreement and as at Completion as if made at Completion (except to the extent such warranties expressly relate to an earlier date, in which case as of such earlier date), and (ii) all of the other Sellers’ Warranties being true and accurate in all material respects as of the date of this Agreement and as at Completion as if made at Completion (except to the extent such warranties expressly relate to an earlier date, in which case as of such earlier date);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having complied in all material respects with all of their obligations under this Agreement;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having used all reasonable endeavours to procure the satisfaction of the Conditions set out in Clauses 4.1(a), 4.1(e), 4.1(f) and 4.1(g).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Parties’ Commitments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reasonable endeavours to procure the satisfaction of the Conditions (other than Conditions which by their nature can only be satisfied on and subject to Completion taking place) set out in Clause 4.2 as soon as reasonably practicable following the date of this Agreement and in any event prior to the Long Stop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use their respective reasonable endeavours to procure the satisfaction of the Conditions (other than Conditions which by their nature can only be satisfied on and subject to Completion taking place) set out in Clause 4.3 as soon as reasonably practicable following the date of this Agreement and in any event prior to the Long Stop Date.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44"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and the Purchaser shall provide such assistance to the other as is necessary or desirable to ensure the satisfaction of the Conditions as soon as reasonably practicable and in any event before the Long Stop Date.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undertakes not to take any action, enter into any transaction (including any merger or acquisition) or enter into any agreement to effect any such transaction, that might reasonably be expected to preclude or make it materially more difficult, or to increase materially the time required, to satisfy the Conditions.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Nasdaq Notification Condition: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primarily responsible for preparing and submitting the Nasdaq LAS Notification and any documentation required by Nasdaq in connection therewith;</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Clause 4.4(a), the Purchaser shall procure that the Nasdaq LAS Notification is submitted to Nasdaq as soon as reasonably practicable after the date of this Agreement;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shall provide (A) such assistance to the Purchaser as is reasonably required to ensure that the Nasdaq LAS Notification is submitted in accordance with Clause 4.4(e)(ii) and (B) such information as may be required in connection with the Nasdaq LAS Notification (in redacted form if deemed appropriate for reasons of confidentiality, legal privilege or compliance with Applicable Law);</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provide such information about it and its Affiliates as may be reasonably required to ensure that any request for information by Nasdaq or any other Governmental Authority is fulfilled promptly and in any event in accordance with any applicable time limit;</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consult with the Sellers’ Representative as to the form and contents of the Nasdaq LAS Notification prior to submission. The Nasdaq LAS Notification and all documents proposed to be submitted to Nasdaq in connection therewith shall be subject to the prior written consent of the Sellers’ Representative (such consent not to be unreasonably withheld or delayed); and</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period during which the Nasdaq LAS Notification and the Transaction are being considered by Nasdaq and/or any other the Governmental Authority:</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consult with the Sellers’ Representative sufficiently in advance of any material communication (whether written or otherwise) which it or its advisers or representatives propose to make or submit to Nasdaq and/or any other Governmental Authority or publicly announce, in relation to the Nasdaq LAS Notification and/or the Transaction. The Purchaser undertakes to incorporate into any such communication any reasonable comments that the Sellers’ Representative may provide to the Purchaser prior to the Purchaser making such communication;</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keep the Sellers’ Representative promptly and fully informed as to the progress of the Nasdaq LAS Notification and any material communication with Nasdaq and/or any other Governmental Authority, including, without limitation, providing copies to the Sellers’ Representative of any written communications sent to, or received from, Nasdaq and/or any other Governmental Authority, or publicly announced by the Purchaser, in each case in relation to the Nasdaq LAS Notification and/or the Transaction;</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Nasdaq and/or any other Governmental Authority requests a meeting with the Purchaser and/or the Sellers, the Purchaser shall promptly notify the Sellers’ Representative sufficiently in advance of such meeting, and consult with the Sellers’ Representative as to the proposed contents of and attendees at such meeting;</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4" w:name="page25"/>
    <w:bookmarkEnd w:id="24"/>
    <w:p>
      <w:pPr>
        <w:ind w:left="2600" w:hanging="648"/>
        <w:spacing w:after="0" w:line="282" w:lineRule="auto"/>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Sellers shall fully co-operate in any consultation process undertaken by Nasdaq and/or any other Governmental Authority in connection with the Nasdaq LAS Notification and/or the Transaction; and</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Nasdaq and/or any other Governmental Authority indicates that the Nasdaq Notification Condition may only be satisfied if the Parties accept certain conditions, obligations or modifications to the terms of the Transaction, the Purchaser shall promptly inform the Sellers’ Representative of the same and consult with the Sellers’ Representative in relation thereto.</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4.4(e) shall apply equally to any other Nasdaq listing requirement or application required in connection with the Transaction.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Notification of Satisfaction of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Parties becomes aware:</w:t>
      </w:r>
    </w:p>
    <w:p>
      <w:pPr>
        <w:spacing w:after="0" w:line="22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developments in relation to the satisfaction of any Condition;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Condition has been satisfied;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Condition has become incapable of being satisfied prior to the Long Stop Date,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that Party shall as soon as reasonably practicable notify the other Parties in writing of such circumstances, setting forth in reasonable detail the facts or circumstances related thereto.</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Failure to Fulfil Conditions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If any of the Conditions have not been fulfilled, satisfied or waived pursuant to this Clause 4 by the Long Stop Date, then, subject to the remainder of this Clause, each of the Sellers’ Representative (on behalf of the Sellers) and the Purchaser shall have the right to terminate this Agreement by written notice to the other; provided, that neither the Sellers’ Representative (on behalf of the Sellers) nor the Purchaser shall have the right to terminate this Agreement pursuant to this Clause 4.6 if a Seller’s (in the case of purported termination by the Sellers’ Representative) or the Purchaser’s (in the case of purported termination by the Purchaser) failure to fulfill in any material respect any of its obligations under this Agreement has been the primary cause of, or the primary factor that resulted in, the failure of any Condition to be satisfied by the Long Stop Date. Upon such termination, this Agreement shall cease to have further effect except for the Continuing Provisions (which shall remain in force) but without prejudice to any rights or liabilities arising in respect of claims arising out of any antecedent breach of this Agreement.</w:t>
      </w:r>
    </w:p>
    <w:p>
      <w:pPr>
        <w:spacing w:after="0" w:line="18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PRE-COMPLETION OBLIGATIONS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Clause 5.2, each Seller undertakes to the Purchaser to exercise its voting rights and all powers available to it, within the confines of Applicable Law, to ensure that between the date of this Agreement and Completion, each Group Company shall carry on its respective business as a going concern in the ordinary course of business consistent with past practice, and that no Group Company shall:</w:t>
      </w:r>
    </w:p>
    <w:p>
      <w:pPr>
        <w:spacing w:after="0" w:line="176" w:lineRule="exact"/>
        <w:rPr>
          <w:sz w:val="20"/>
          <w:szCs w:val="20"/>
          <w:color w:val="auto"/>
        </w:rPr>
      </w:pPr>
    </w:p>
    <w:p>
      <w:pPr>
        <w:jc w:val="both"/>
        <w:ind w:left="1300" w:hanging="644"/>
        <w:spacing w:after="0" w:line="258"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or issue, sell, pledge, transfer, dispose of or otherwise subject to any Encumbrance any shares or other equity securities of such Group Company or any options, warrants, convertible securities or other rights of any kind to acquire any such shares, or any other equity or ownership interest in such Group Company, other than the issuance of shares to the Employee Award SPV Seller in connection with the employee share option plan of the Group (provided that such Employee Award SPV Seller shall, following its incorporation, accede to this Agreement as a Seller in respect of such shares);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non-cash dividend or other distribution on or with respect to any of its shares or other equity or ownership interest;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or repurchase or otherwise acquire, directly or indirectly, any of its shares or other equity or ownership interest, or make any other change with respect to its capital structure;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left="644" w:hanging="644"/>
        <w:spacing w:after="0" w:line="261"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or issue any debt securities, or make any loans or advances, except in the ordinary course of business consistent with past practice, provided that such indebtedness does not result in a breach of, or default under, any existing financing or facility agreement entered into by the Group, and provided further that in no event shall such Group Company (A) incur, assume or guarantee any long-term indebtedness for borrowed money or (B) make any optional repayment of any indebtedness for borrowed money;</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payable or the benefits provided to its Senior Employees, except for normal merit and cost-of-living increases or annual increments in salaries or wages or annual bonuses consistent with past practice, or grant any severance or termination payment to any Senior Employee, or establish or amend any share incentive scheme, share option scheme or profit sharing scheme for all or any of its directors or employees;</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or other arrangement with any Seller or any Seller’s Affiliates except on arms’ length terms and other than in the ordinary course consistent with past practice;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any method of accounting or accounting practice or policy of such Group Company, except as required by the Relevant Accounting Standards;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revoke or modify any Tax election, settle or compromise any Tax liability or file any Tax return other than on a basis consistent with past practice;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or satisfy any claim, liability or obligation (absolute, accrued, asserted or unasserted, contingent or otherwise), other than</w:t>
      </w:r>
    </w:p>
    <w:p>
      <w:pPr>
        <w:spacing w:after="0" w:line="27"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discharge or satisfaction, in the ordinary course of business consistent with past practice, of liabilities reflected or reserved against on the Accounts or subsequently incurred in the ordinary course of business consistent with past practice or (B) the payment of the agreed settlement with Versium Shareholder Group LLC (as representative of the former shareholders and optionholders of Versium Analytics, Inc.);</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compromise, waive or release any right or claim other than in the ordinary course of business consistent with past practice;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material policy of insurance relating to the business or assets of the Group Company;</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collection of or discount any accounts receivable, delay the payment of accounts payable or defer expenses, reduce inventories or otherwise increase cash on hand, except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right relating to Intellectual Property or any other intangible asset used in the business of the Group Company;</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agree to dispose of any asset, involving consideration, expenditure or liabilities in excess of USD 10,000,000, exclusive of Taxes, other than those transactions carried out or executed in the ordinary and usual course of business consistent with past practice;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terminate any Material Contract or enter into any Material Contract imposing a payment obligation on a Group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 to the constitutional documents of such Group Company except for ministerial amendments;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its policies and practice in relation to the payment of creditors except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merger, consolidation, reorganisation, reclassification or similar transaction;</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proposal for the liquidation of such Group Company, for the appointment of any receiver or administrator, or judicial manager to such Group Company, or for any analogous proceedings or actions;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conditionally or unconditionally, to do any of the foregoing.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Clause 5.1 does not apply in respect of, and shall not operate so as to restrict or prevent: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the omission to take any action, which is necessary to discharge any obligation undertaken pursuant to any contract, agreement, arrangement, licence or consent entered into by or granted to any Group Company or any contract, agreement, arrangement, licence or consent that has been entered into or granted to by any Group Company;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reasonably undertaken by any Group Company in an emergency or disaster situation, including relating to life, fire or health and safety, with the intention of minimising any adverse effect of such situation;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performance of any action, or the omission to take any action: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matter permitted by or required in respect of any Transaction Document;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under Applicable Law or as required by a Governmental Authority;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Permitted Equity Financing;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bona fide transaction or series of transactions with the principal purpose of raising debt capital, provided that immediately after giving effect to such indebtedness, the aggregate Indebtedness of the Group does not exceed USD 200,000,000;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request or with the consent of the Purchaser, such consent: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be unreasonably withheld, delayed or conditioned;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deemed to have been given by the Purchaser if the Purchaser does not respond to a written request for consent from the Seller within ten (10) Business Days of having received such request.</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From the date of this Agreement up to the Completion Date, to the extent permitted under Applicable Laws, the Sellers shall, and shall cause the Company and its Subsidiaries to, afford the Purchaser and its Agents reasonable access during normal office hours to the properties, offices, management, employees, books, records and financial information of the Group, provided that the Purchaser’s access right under this Clause 5.3 is subject to (a) the Sellers and the Group’s right to withhold any information that is price-sensitive, privileged or of a commercially sensitive nature; and (b) the Purchaser having given reasonable prior notice and such access being requested at reasonable times and intervals. The Purchaser acknowledges and agrees that any information accessed pursuant to this Clause is subject to the terms of Clause 16.</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Sellers shall, and shall cause the Company and its Subsidiaries to, promptly (and in any event, no later than one Business Day following the date of execution) provide to the Purchaser copies of all Material Contracts entered into between the date of this Agreement and Completion in accordance with Clause 5.2(c)(iii) and/or 5.2(c)(iv).</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Each of the Sellers shall cooperate and take all such steps as may be reasonably required by the Purchaser’s registered agent (including, if applicable, providing to the Purchaser’s registered agent, or to the Purchaser for onward delivery to its registered agent, all information, documents and other materials required for “know-your-client”, anti-money laundering and other compliance purposes) in order to enable the Purchaser to issue to such Seller the Consideration Shares in accordance with the terms of this Agreement, and to enable the Purchaser’s registered agent to comply with its applicable legal and regulatory obligations.</w:t>
      </w:r>
    </w:p>
    <w:p>
      <w:pPr>
        <w:spacing w:after="0" w:line="17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PRE-COMPLETION OBLIGATIONS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Clause 6.2, the Purchaser undertakes to the Sellers that, within the confines of Applicable Law, it shall ensure that between the date of this Agreement and Completion, the Purchaser’s Group shall maintain its listing on the Nasdaq and carry on its respective business as a going concern in the ordinary course of business consistent with past practice, and that no Purchaser’s Group Company shall:</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 to the constitutional documents of such Purchaser’s Group Company except for ministerial amendments, or make any change to the composition, independence, charters, voting rights or responsibilities of the board of directors or any board committee of such Purchaser’s Group Company;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proposal for the liquidation of any Purchaser’s Group Company, for the appointment of any receiver or administrator, or judicial manager to such Purchaser’s Group Company or any analogous proceedings or actions;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allot or issue any shares or other equity securities of such Purchaser’s Group Company, or (ii) issue any options, warrants, convertible securities or other rights of any kind to acquire any such shares or other equity securities, or any other equity or ownership interest of such Purchaser’s Group Company other than issuances (A) in accordance with the terms of the Diginex Incentive Plan and/or (B) as a result of the exercise or conversion of the Exercisable Warrants and/or (C) to the extent necessary to discharge any obligation undertaken pursuant to such contracts entered into by the Purchaser relating to acquisitions undertaken by the Purchaser and/or relating to the issuance of Diginex Shares to non-executive directors of the Company up to an annual value of USD 100,000 per non-executive director, in each case provided that such contracts have been Disclosed to the Purchaser prior to the date of this Agreement, or (iii) amend the terms of any existing options, warrants, convertible securities or other rights of any kind to acquire any such shares or other equity securities, including any of the Outstanding IPO Warrants and any of the Founder Warrants;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 encourage, solicit, initiate, facilitate or continue inquiries regarding any potential acquisition or business combination (whether through a merger, recapitalisation or otherwise) of any business, assets or undertaking from a third party (“Potential M&amp;A”), (b) enter into discussions or negotiations with any person with, or provide any information to, any person concerning any Potential M&amp;A, and/or (c) enter into any agreements or other instruments (whether binding or not) regarding any Potential M&amp;A;</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non-cash dividend or other distribution on or with respect to any of its shares or other equity or ownership interest;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(including by reverse share split), combine, split, subdivide or redeem, or repurchase or otherwise acquire, or otherwise reorganize, directly or indirectly, any of its shares or other equity or ownership interest;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conditionally or unconditionally, to do any of the foregoing.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Clause 6.1 does not apply in respect of, and shall not operate so as to restrict or prevent:</w:t>
      </w:r>
    </w:p>
    <w:p>
      <w:pPr>
        <w:spacing w:after="0" w:line="225"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reasonably undertaken by any Purchaser’s Group Company in an emergency or disaster situation, including relating to life, fire or health and safety, with the intention of minimising any adverse effect of such situation;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performance of any action, or the omission to take any action: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matter permitted by or required in respect of any Transaction Document;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under Applicable Law or as required by any Governmental Authority;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request or with the consent of the Sellers’ Representative, such consent: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be unreasonably withheld, delayed or conditioned; and</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deemed to have been given by the Sellers’ Representative if the Sellers’ Representative does not respond to a written request for consent from the Purchaser within ten (10) Business Days of having received such request.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Purchaser undertakes that there has been no, and there shall be no, amendment or variation, or any agreement to amend or vary, any of the terms of the Founder Warrant Agreement and/or the Outstanding IPO Warrant Agreements (as disclosed in Purchaser’s Form 6K filing with the SEC dated 23 March 2026), in each case without the prior written consent of the Sellers’ Representative.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Timing and location of Completion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Completion shall take place on the Completion Date electronically, or at such other time and place or in such other manner as may be agreed in writing between the Sellers and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Obligations of the Sellers and the Purchaser at Completion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At Completion, the Sellers shall undertake those actions listed in Part 1 of Schedule 3, the Purchaser shall undertake those actions listed in Part 2 of Schedule 3 and the Parties shall undertake those actions listed in Part 3 of Schedule 3.</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Failure to complete</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fails to comply with any material obligations under Clause 7.2 on the Completion Date, the Sellers’ Representative (acting on behalf of all the Sellers) may in its absolute discretion (in addition and without prejudice to any other right or remedy available to it) by written notice to the other Parties: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to Completion so far as practicable without limiting its rights under this Agreement and/or Applicable Law;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without any liability on its part.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Seller fails to comply with any material obligations under Clause 7.2 on the Completion Date, the Purchaser may in its absolute discretion (in addition and without prejudice to any other right or remedy available to it) by written notice to the Sellers’ Representative: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Completion by a period of not more than fifteen (15) Business Days to such other date as it may specify in such notice (and so that the provisions of this Clause 7 shall apply to Completion as so deferred), provided that Completion may be deferred a maximum of once;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to Completion so far as practicable without limiting its rights under this Agreement and/or Applicable Law;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without any liability on its part.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WARRANTIES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Warranties of the Sellers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severally warrants to the Purchaser that, in respect only of itself and the Sale Shares legally and beneficially held by it, except as Disclosed, each of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severally (but not jointly and severally) warrant to the Purchaser that, except as Disclosed, each of the Sellers’ Warranties (other than the Sellers’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Warranties are given subject to Clause 10 and Schedule 5.</w:t>
      </w:r>
    </w:p>
    <w:p>
      <w:pPr>
        <w:spacing w:after="0" w:line="22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No other warranties or representations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Purchaser acknowledges and agrees that other than the Sellers’ Warranties, none of the Sellers or their respective Affiliates makes any warranties or representations of any nature to the Purchaser under or in connection with any of the Transaction Documents (whether express or implied by law, trade, custom, usage or otherwise) and that the Purchaser has not relied on or been induced by any other representations or warranties made by any Seller or any of their respective Affiliates or Agents to enter into this Agreement. The Purchaser hereby irrevocably and unconditionally waives any right it might have to claim damages for breach of any warranty not contained in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No warranties on forecasts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Sellers do not give or make any warranty or representation as to the accuracy of the forecasts, estimates, projections, statements of intent or statements of opinion provided to the Purchaser or any of its Agents on or prior to the date of this Agreement, including in the Disclosed Information.</w:t>
      </w:r>
    </w:p>
    <w:p>
      <w:pPr>
        <w:spacing w:after="0" w:line="17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SECURITIES LAW MATTERS AND TRANSFER RESTRICTIONS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U.S. Securities Law Matters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Sellers shall reasonably cooperate with the Purchaser in connection with the issuance of the Consideration Shares and to facilitate the listing of such shares on Nasdaq, including by taking any action or providing any information regarding the Sellers as may be required under the Securities Act, the Exchange Act, any applicable foreign or state securities or blue-sky laws and the rules and regulations thereunder.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Transfer Restrictions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agree that, during the Lock-up Period, the Consideration Shares (other than the Unrestricted Consideration Shares) may only be disposed pursuant to the terms of the Registration Rights and Lock-Up Agreement (including without limitation a sale pursuant to any exemptions from the registration requirements of the Securities Act after the expiration of the Lock-up Period), the form of which is set out in Schedule 8 to this Agreement, which shall be executed and delivered by each of the Sellers and the Purchaser.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(other than the Unrestricted Consideration Shares) will include the restrictive legend substantially in the form as follows:</w:t>
      </w:r>
    </w:p>
    <w:p>
      <w:pPr>
        <w:spacing w:after="0" w:line="159"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SECURITIES REPRESENTED HEREBY ARE SUBJECT TO RESTRICTIONS ON TRANSFERABILITY AND RESALE,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A LOCK-UP PERIOD AND MAY NOT BE OFFERED, SOLD, TRANSFERRED, PLEDGED OR OTHERWISE DISPOSED, EXCEPT IN ACCORDANCE WITH THE TERMS AS SET FORTH IN THE REGISTRATION RIGHTS AND LOCK-UP AGREEMENT DATED [●] 2026.</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Unrestricted Consideration Shares will include the restrictive legend substantially in the form as follows:</w:t>
      </w:r>
    </w:p>
    <w:p>
      <w:pPr>
        <w:spacing w:after="0" w:line="225"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OR ANY OTHER SECURITIES LAWS OF ANY STATE OF THE UNITED STATES. THE HOLDER HEREOF, BY PURCHASING THIS SECURITY, AGREES THAT NEITHER THIS SECURITY NOR ANY INTEREST OR PARTICIPATION HEREIN MAY BE OFFERED, RESOLD, PLEDGED OR OTHERWISE TRANSFERRED IN THE ABSENCE OF SUCH REGISTRATION UNLESS SUCH TRANSACTION IS EXEMPT FROM, OR NOT SUBJECT TO, SUCH REGISTRATION. THE FOREGOING LEGEND MAY BE REMOVED FROM THIS SECURITY AFTER 40 DAYS BEGINNING ON AND INCLUDING THE ISSUE DATE OF THIS SECURITY.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agree that the Consideration Shares will be resold pursuant to either the registration requirements of the Securities Act, including any applicable prospectus delivery requirements, or an exemption or exclusion therefrom, and, with respect only to the Consideration Shares other than the Unrestricted Consideration Shares, in accordance with the Registration Rights and Lock-Up Agreement to be entered into by each of the Sellers and the Purchaser (including without limitation a sale pursuant to any exemptions or exclusions from the registration requirements of the Securities Act after the expiration of the Lock-up Period).</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LIMITATIONS ON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liability of the Sellers in respect of any Claim shall be limited as provided in Schedule 5.</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Except for any Claim that Purchaser may have under this Agreement and the other Transaction Documents against the Sellers, the Purchaser undertakes to the Sellers that, to the fullest extent permitted by Applicable Law:</w:t>
      </w:r>
    </w:p>
    <w:p>
      <w:pPr>
        <w:spacing w:after="0" w:line="162"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Purchaser’s Group Company has any rights;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and shall procure that no other Purchaser’s Group Company shall, make any claim,</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relation to the transactions contemplated under this Agreement, against any Seller’s Affiliates, or any former or current Agent of any Seller or any Seller’s Affiliates, provided that nothing in this Clause 10.2 shall exclude or limit any liability arising from fraud, fraudulent misrepresentation, wilful concealment, or gross negligence.</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Purchaser undertakes to the Sellers that the Purchaser shall not, and shall procure that no other Purchaser’s Group Company shall, make, commence or continue, any claim, demand, proceedings or other actions, against the Sellers, any Seller’s Affiliates, or any former or current Agent of any Seller or any Seller’s Affiliates, in relation to any arrangement relating to interim funding granted by the Purchaser or any other Purchaser’s Group Company (on the one hand) to the Company or any other Group Company (on the other hand), entered into prior to the date of this Agreement.</w:t>
      </w:r>
    </w:p>
    <w:p>
      <w:pPr>
        <w:spacing w:after="0" w:line="17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WARRANTIES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Warranties of the Purchaser</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warrants to the Sellers that each of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warrants to the Sellers that each of the Purchaser’s Warranties (other than the Purchaser’s Fundamental Warranties) is (by reference to the facts and circumstances existing at the relevant time) true and accurate as at the date of this Agreement and as at Completion as if they had been repeated at Completion (except to the extent such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Warranties are given subject to Clause 12‎ and Schedule 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No other warranties or representations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Sellers acknowledge and agree that other than the Purchaser’s Warranties (and the terms of any other agreements in writing entered into in relation to the Transaction), none of the Purchaser or any of its Affiliates makes any warranties or representations of any nature to the Sellers under or in connection with any of the Transaction Documents (whether express or implied by law, trade, custom, usage or otherwise) and that the Sellers have not relied on or been induced by any other representations or warranties made by the Purchaser or any of its Affiliates or Agents to enter into this Agreement. The Sellers hereby irrevocably and unconditionally waive any right they might have to claim damages for breach of any warranty not contained in this Agreement (or any other agreement in writing entered into in relation to the Transaction).</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No warranties on forecasts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Purchaser does not give or make any warranty or representation as to the accuracy of the forecasts, estimates, projections, statements of intent or statements of opinion provided to the Sellers or any of their respective Agents on or prior to the date of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LIMITATIONS ON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liability of the Purchaser in respect of any Claim shall be limited as provided in Schedule 5.</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Except for any Claim that the Sellers may have under this Agreement and the other Transaction Documents (and any other agreements in writing entered into in relation to the Transaction) against the Purchaser, the Sellers undertake to the Purchaser that, to the fullest extent permitted by Applicable Law:</w:t>
      </w:r>
    </w:p>
    <w:p>
      <w:pPr>
        <w:spacing w:after="0" w:line="17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nor any Affiliate of any Seller has any rights;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not, and shall procure that none of their respective Affiliates shall, make any claim,</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relation to the transactions contemplated under this Agreement, against the Purchaser’s Affiliates, or any former or current Agent of the Purchaser or the Purchaser’s Affiliates, provided that nothing in this Clause 12.2 shall exclude or limit any liability arising from fraud, fraudulent misrepresentation, wilful concealment, or gross negligence.</w:t>
      </w:r>
    </w:p>
    <w:p>
      <w:pPr>
        <w:spacing w:after="0" w:line="172"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Purchaser’s Indemnities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and with effect from, Completion, the Purchaser shall indemnify the Sellers and their Affiliates (the “</w:t>
      </w:r>
      <w:r>
        <w:rPr>
          <w:rFonts w:ascii="Times New Roman" w:cs="Times New Roman" w:eastAsia="Times New Roman" w:hAnsi="Times New Roman"/>
          <w:sz w:val="18"/>
          <w:szCs w:val="18"/>
          <w:b w:val="1"/>
          <w:bCs w:val="1"/>
          <w:color w:val="auto"/>
        </w:rPr>
        <w:t>Seller Indemnitees</w:t>
      </w:r>
      <w:r>
        <w:rPr>
          <w:rFonts w:ascii="Times New Roman" w:cs="Times New Roman" w:eastAsia="Times New Roman" w:hAnsi="Times New Roman"/>
          <w:sz w:val="18"/>
          <w:szCs w:val="18"/>
          <w:color w:val="auto"/>
        </w:rPr>
        <w:t>”), in its/his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Relevant Proportion, against all Losses arising out of, relating to or which results from:</w:t>
      </w:r>
    </w:p>
    <w:p>
      <w:pPr>
        <w:spacing w:after="0" w:line="207"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Purchaser’s Warranties; and</w:t>
      </w:r>
    </w:p>
    <w:p>
      <w:pPr>
        <w:spacing w:after="0" w:line="225" w:lineRule="exact"/>
        <w:rPr>
          <w:rFonts w:ascii="Times New Roman" w:cs="Times New Roman" w:eastAsia="Times New Roman" w:hAnsi="Times New Roman"/>
          <w:sz w:val="18"/>
          <w:szCs w:val="18"/>
          <w:color w:val="auto"/>
        </w:rPr>
      </w:pPr>
    </w:p>
    <w:p>
      <w:pPr>
        <w:ind w:right="440" w:firstLine="656"/>
        <w:spacing w:after="0" w:line="498"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undertaking or agreement by the Purchaser contained in this Agreement or the Transaction Documents. 13.2 Sellers’ Indemnities</w:t>
      </w:r>
    </w:p>
    <w:p>
      <w:pPr>
        <w:spacing w:after="0" w:line="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Subject to, and with effect from, Completion, the Sellers shall indemnify the Purchaser and its Affiliates (the “</w:t>
      </w:r>
      <w:r>
        <w:rPr>
          <w:rFonts w:ascii="Times New Roman" w:cs="Times New Roman" w:eastAsia="Times New Roman" w:hAnsi="Times New Roman"/>
          <w:sz w:val="18"/>
          <w:szCs w:val="18"/>
          <w:b w:val="1"/>
          <w:bCs w:val="1"/>
          <w:color w:val="auto"/>
        </w:rPr>
        <w:t>Purchaser Indemnitees</w:t>
      </w:r>
      <w:r>
        <w:rPr>
          <w:rFonts w:ascii="Times New Roman" w:cs="Times New Roman" w:eastAsia="Times New Roman" w:hAnsi="Times New Roman"/>
          <w:sz w:val="18"/>
          <w:szCs w:val="18"/>
          <w:color w:val="auto"/>
        </w:rPr>
        <w:t>”) against all Losses arising out of, relating to or which results from:</w:t>
      </w:r>
    </w:p>
    <w:p>
      <w:pPr>
        <w:spacing w:after="0" w:line="159" w:lineRule="exact"/>
        <w:rPr>
          <w:sz w:val="20"/>
          <w:szCs w:val="20"/>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Sellers’ Warranties;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Indemnity Claim;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undertaking or agreement by the Sellers or the Sellers’ Representative contained in this Agreement or the Transaction Documents.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This Agreement may be terminated at any time prior to Completion:</w:t>
      </w:r>
    </w:p>
    <w:p>
      <w:pPr>
        <w:spacing w:after="0" w:line="22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Sellers’ Representative (acting on behalf of all the Sellers);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to terminate this Agreement in accordance with Clause 4.6 or 7.3;</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in breach of any of their obligations under Clause 5 and such breach or breaches taken together are material to the Group as a whole;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 is in breach of any of the Sellers’ Warranties as given at the date of this Agreement and such breach or breaches taken together are material to the Group as a whole;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would be, if Completion were to occur, a breach of any of the Sellers’ Warranties as repeated immediately before Completion under Clause 8.1(b) and such breach would give rise to a Company Material Adverse Change;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Sellers’ Representative (acting on behalf of all the Sellers) 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(acting on behalf of all the Sellers) is entitled to terminate this Agreement in accordance with Clause 4.6 or 7.3;</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in breach of any of its obligations under Clause 6 and such breach or breaches taken together are material to the Purchaser’s Group as a whole;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in breach of any of the Purchaser’s Warranties as given at the date of this Agreement and such breach or breaches taken together are material to the Purchaser’s Group as a whole;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would be, if Completion were to occur, a breach of any of the Purchaser’s Warranties as repeated immediately before Completion under Clause 11.1 and such breach would give rise to a Purchaser Material Adverse Change;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Shareholder Approval is not obtained pursuant to Clause 3.4(d) or is otherwise withdrawn, amended or revoked;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Completion, the Group is impeded or restricted from obtaining such funding as is necessary to adequately fund the Group’s operating costs and outstanding liabilities on terms reasonably acceptable to the Sellers’ Representative, due to or in connection with any of the transactions contemplated in the Transaction Documents;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Purchaser or the Sellers’ Representative (acting on behalf of all the Sellers)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w:t>
      </w:r>
    </w:p>
    <w:p>
      <w:pPr>
        <w:spacing w:after="0" w:line="176"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14.2    In the event of termination of this Agreement as provided in Clause 14.1, this Agreement shall cease to have further effect except for the Continuing Provisions (which shall remain in force) but without prejudice to any rights or liabilities that have accrued prior to termination.</w:t>
      </w:r>
    </w:p>
    <w:p>
      <w:pPr>
        <w:spacing w:after="0" w:line="15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POST-COMPLETION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Preparation of Group SEC Financial Information</w:t>
      </w:r>
    </w:p>
    <w:p>
      <w:pPr>
        <w:spacing w:after="0" w:line="225"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Completion Date, Purchaser shall procure that the Group completes no later than 60 days following Completion:</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 process in respect of the consolidated financial statements for the Group as of and for the fiscal years ended 2024 and 2025, respectively, pursuant to U.S. GAAS;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audited reconciliation of the consolidated financial statements described in the preceding Clause 15.1(a)(i) (including notes) in accordance with IFRS (together with the consolidated financial statements in the preceding Clause 15.1(a)(i),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Completion Date, the Purchaser shall use its best efforts to prepare and complete as soon as practicable (and in any event within 60 days following Completion) pro forma financial information (together with the Group Financial Statements,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 Financial Information</w:t>
      </w:r>
      <w:r>
        <w:rPr>
          <w:rFonts w:ascii="Times New Roman" w:cs="Times New Roman" w:eastAsia="Times New Roman" w:hAnsi="Times New Roman"/>
          <w:sz w:val="18"/>
          <w:szCs w:val="18"/>
          <w:color w:val="auto"/>
        </w:rPr>
        <w:t>”) as may be required by Rule 3-05 and Article 11 of Regulation S-X, Form 20-F, Form F-1 and Form F-3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by the SEC under the Securities Act and the Exchange Act. Prior to the Completion Date, each of the Founders shall cause the Group to, at Purchaser’s expense:</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Purchaser, as promptly as reasonably practicable, with financial and other pertinent information regarding the Group as may be reasonably requested by the Purchaser to prepare and audit the Group SEC Financial Information, including all financial statements and financial and other data in respect of the Group of the type that would be required by Regulation S-X and Regulation S-K under the Securities Act and/or the Exchange Act in connection with the filing of an annual report on Form 20-F or registration statement on Form F-1, including audits thereof by a PCAOB registered independent accounting firm in accordance with U.S. GAAS;</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left="1960" w:hanging="656"/>
        <w:spacing w:after="0" w:line="266" w:lineRule="auto"/>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with such documents and other information relating to the Group as may be reasonably required to enable the delivery of any customary negative assurance opinion and customary comfort letters relating to any financing or offering of securities of the Purchaser;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best efforts to obtain the consents and cooperation of the external accountants and auditors of the Group for use of their work papers and reports related to the statutory accounts in connection with the preparation, audit and filing of the Group SEC Financial Information.</w:t>
      </w:r>
    </w:p>
    <w:p>
      <w:pPr>
        <w:spacing w:after="0" w:line="17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Following the Completion Date, no Seller (other than the Founders) shall retain in its possession or under its control, in any form, any agreements, documents, books and records, files or other information, or any computer disks, records, tapes or any other storage medium that contains any agreements, documents, books and records, files and other information, relating to the business and operations of the Group (including any personal or other information stored on any media by any employees of the Group), including any of the foregoing that is stored on any server or other storage media maintained by a third party on behalf of a Seller (including any “cloud” storage platform). If, notwithstanding the foregoing, any Seller (other than the Founders) discovers following the Completion Date that it is in possession of or has under its control any such items, such Seller shall as soon as reasonably practicable (a) deliver to the Purchaser any such items and (b) thereafter permanently delete and erase all such information (including all copies thereof) in its possession or under its control.</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Founders Post-Completion Lock-up Restrictions</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Founders undertakes that, subject to Clause 15.3(b), for the period commencing from Completion to 28 February 2027, he/she shall not Dispose of any Diginex Shares (other than any of the Consideration Shares referred to in limb (i) of the definition of “Unrestricted Consideration Shares” allotted and issued to the Founders) (such undertakings, the “</w:t>
      </w:r>
      <w:r>
        <w:rPr>
          <w:rFonts w:ascii="Times New Roman" w:cs="Times New Roman" w:eastAsia="Times New Roman" w:hAnsi="Times New Roman"/>
          <w:sz w:val="18"/>
          <w:szCs w:val="18"/>
          <w:b w:val="1"/>
          <w:bCs w:val="1"/>
          <w:color w:val="auto"/>
        </w:rPr>
        <w:t>Founders Lock-up Restrictions</w:t>
      </w:r>
      <w:r>
        <w:rPr>
          <w:rFonts w:ascii="Times New Roman" w:cs="Times New Roman" w:eastAsia="Times New Roman" w:hAnsi="Times New Roman"/>
          <w:sz w:val="18"/>
          <w:szCs w:val="18"/>
          <w:color w:val="auto"/>
        </w:rPr>
        <w:t>” and such Diginex Shares subject to the Founders Lock-up Restrictions, the “</w:t>
      </w:r>
      <w:r>
        <w:rPr>
          <w:rFonts w:ascii="Times New Roman" w:cs="Times New Roman" w:eastAsia="Times New Roman" w:hAnsi="Times New Roman"/>
          <w:sz w:val="18"/>
          <w:szCs w:val="18"/>
          <w:b w:val="1"/>
          <w:bCs w:val="1"/>
          <w:color w:val="auto"/>
        </w:rPr>
        <w:t>Relevant Founders Shares</w:t>
      </w:r>
      <w:r>
        <w:rPr>
          <w:rFonts w:ascii="Times New Roman" w:cs="Times New Roman" w:eastAsia="Times New Roman" w:hAnsi="Times New Roman"/>
          <w:sz w:val="18"/>
          <w:szCs w:val="18"/>
          <w:color w:val="auto"/>
        </w:rPr>
        <w:t>”), provided that the Relevant Founders Shares shall be released from the Founders Lock-up Restrictions, and the Founders Lock-up Restrictions shall cease to apply to the Relevant Founders Shares, in accordance with the release schedule set out below:</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aggregate number of Relevant Founders</w:t>
            </w:r>
          </w:p>
        </w:tc>
        <w:tc>
          <w:tcPr>
            <w:tcW w:w="20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held by each Founder</w:t>
            </w: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Release Date</w:t>
            </w:r>
          </w:p>
        </w:tc>
      </w:tr>
      <w:tr>
        <w:trPr>
          <w:trHeight w:val="191"/>
        </w:trPr>
        <w:tc>
          <w:tcPr>
            <w:tcW w:w="4680" w:type="dxa"/>
            <w:vAlign w:val="bottom"/>
            <w:tcBorders>
              <w:top w:val="single" w:sz="8" w:color="auto"/>
            </w:tcBorders>
          </w:tcPr>
          <w:p>
            <w:pPr>
              <w:jc w:val="right"/>
              <w:ind w:right="1970"/>
              <w:spacing w:after="0" w:line="191" w:lineRule="exact"/>
              <w:rPr>
                <w:sz w:val="20"/>
                <w:szCs w:val="20"/>
                <w:color w:val="auto"/>
              </w:rPr>
            </w:pPr>
            <w:r>
              <w:rPr>
                <w:rFonts w:ascii="Times New Roman" w:cs="Times New Roman" w:eastAsia="Times New Roman" w:hAnsi="Times New Roman"/>
                <w:sz w:val="18"/>
                <w:szCs w:val="18"/>
                <w:color w:val="auto"/>
              </w:rPr>
              <w:t>33.33%</w:t>
            </w:r>
          </w:p>
        </w:tc>
        <w:tc>
          <w:tcPr>
            <w:tcW w:w="200" w:type="dxa"/>
            <w:vAlign w:val="bottom"/>
          </w:tcPr>
          <w:p>
            <w:pPr>
              <w:spacing w:after="0"/>
              <w:rPr>
                <w:sz w:val="16"/>
                <w:szCs w:val="16"/>
                <w:color w:val="auto"/>
              </w:rPr>
            </w:pPr>
          </w:p>
        </w:tc>
        <w:tc>
          <w:tcPr>
            <w:tcW w:w="4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 August 2026</w:t>
            </w:r>
          </w:p>
        </w:tc>
      </w:tr>
      <w:tr>
        <w:trPr>
          <w:trHeight w:val="216"/>
        </w:trPr>
        <w:tc>
          <w:tcPr>
            <w:tcW w:w="46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33.33%</w:t>
            </w:r>
          </w:p>
        </w:tc>
        <w:tc>
          <w:tcPr>
            <w:tcW w:w="2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November 2026</w:t>
            </w:r>
          </w:p>
        </w:tc>
      </w:tr>
      <w:tr>
        <w:trPr>
          <w:trHeight w:val="234"/>
        </w:trPr>
        <w:tc>
          <w:tcPr>
            <w:tcW w:w="46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33.34%</w:t>
            </w:r>
          </w:p>
        </w:tc>
        <w:tc>
          <w:tcPr>
            <w:tcW w:w="2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 February 2027</w:t>
            </w:r>
          </w:p>
        </w:tc>
      </w:tr>
    </w:tbl>
    <w:p>
      <w:pPr>
        <w:spacing w:after="0" w:line="198"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Clause 15.3(a) shall prohibit any of the Founders from: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any Diginex Shares as security or collateral in connection with any debt fundraising activities of the Group;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any Diginex Shares to an incoming investor of the Group in connection with any equity fundraising of the Group.</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Disposal of Diginex Shares pursuant to Clause 15.3(b) by any one of the Founders, such Founder shall provide to the Diginex Founder such information and documents in relation to such Disposal as the Diginex Founder may reasonably require in order to verify the compliance of such Disposal with Clause 15.3(b).</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4" w:name="page35"/>
    <w:bookmarkEnd w:id="34"/>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Clause 15.3,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in relation to any Diginex Share:</w:t>
      </w:r>
    </w:p>
    <w:p>
      <w:pPr>
        <w:spacing w:after="0" w:line="22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transfer, assign, swap, surrender, gift, declare a trust over, or otherwise dispose of, deal with or Encumber, any direct or indirect, legal or equitable interest in the Diginex Share;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anything which has the effect of placing a person in substantially the same position as that person would have been in had any of the things mentioned in paragraph (i) above been done;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authorise, agree to or attempt to do any of the things mentioned in (i) or (ii) above,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term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has a corresponding meaning.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Exit sale process</w:t>
      </w:r>
    </w:p>
    <w:p>
      <w:pPr>
        <w:spacing w:after="0" w:line="229" w:lineRule="exact"/>
        <w:rPr>
          <w:sz w:val="20"/>
          <w:szCs w:val="20"/>
          <w:color w:val="auto"/>
        </w:rPr>
      </w:pPr>
    </w:p>
    <w:p>
      <w:pPr>
        <w:jc w:val="both"/>
        <w:ind w:left="1300" w:hanging="644"/>
        <w:spacing w:after="0" w:line="219" w:lineRule="auto"/>
        <w:tabs>
          <w:tab w:leader="none" w:pos="1300" w:val="left"/>
        </w:tabs>
        <w:numPr>
          <w:ilvl w:val="1"/>
          <w:numId w:val="7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After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date of this Agreement, provided that the Founders collectively hold at least five (5) per cent. of the share capital of the Purchaser, each of the Founders (each an “</w:t>
      </w:r>
      <w:r>
        <w:rPr>
          <w:rFonts w:ascii="Times New Roman" w:cs="Times New Roman" w:eastAsia="Times New Roman" w:hAnsi="Times New Roman"/>
          <w:sz w:val="18"/>
          <w:szCs w:val="18"/>
          <w:b w:val="1"/>
          <w:bCs w:val="1"/>
          <w:color w:val="auto"/>
        </w:rPr>
        <w:t>Initiating Shareholder</w:t>
      </w:r>
      <w:r>
        <w:rPr>
          <w:rFonts w:ascii="Times New Roman" w:cs="Times New Roman" w:eastAsia="Times New Roman" w:hAnsi="Times New Roman"/>
          <w:sz w:val="18"/>
          <w:szCs w:val="18"/>
          <w:color w:val="auto"/>
        </w:rPr>
        <w:t>”) may, by a written notice to the board of directors of the Purchaser, request that the Purchaser engage an independent third party financial advisor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to conduct a process to solicit offers for a sale of the Diginex Shares held by the Sellers with a view to achieving an exit for all such Sellers in accordance with Applicable Law (“</w:t>
      </w:r>
      <w:r>
        <w:rPr>
          <w:rFonts w:ascii="Times New Roman" w:cs="Times New Roman" w:eastAsia="Times New Roman" w:hAnsi="Times New Roman"/>
          <w:sz w:val="18"/>
          <w:szCs w:val="18"/>
          <w:b w:val="1"/>
          <w:bCs w:val="1"/>
          <w:color w:val="auto"/>
        </w:rPr>
        <w:t>Exit Sale Process</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36"/>
          <w:szCs w:val="36"/>
          <w:color w:val="auto"/>
          <w:vertAlign w:val="superscript"/>
        </w:rPr>
      </w:pPr>
    </w:p>
    <w:p>
      <w:pPr>
        <w:jc w:val="both"/>
        <w:ind w:left="1300" w:hanging="644"/>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written notice from the Initiating Shareholder, the board of directors of Diginex shall engage the Advisor within a timely manner and undertake such Exit Sale Process. The appointment of the Advisor shall be approved by the board of directors of the Purchaser.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bear all Registration Expenses (as defined in the Registration Rights and Lock-Up Agreement) incurred in the Exit Sale Process. The Sellers pay any expenses, fees, discounts and/or commissions to the Advisor.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Save as expressly provided in Clause 16.2, each Party shall treat all Confidential Information as strictly confidential and not disclose or use any Confidential Information;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The confidentiality restrictions in Clause 16.1 shall not apply to disclosure of Confidential Information:</w:t>
      </w:r>
    </w:p>
    <w:p>
      <w:pPr>
        <w:spacing w:after="0" w:line="225" w:lineRule="exact"/>
        <w:rPr>
          <w:sz w:val="20"/>
          <w:szCs w:val="20"/>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Party to its Agents and Affiliates, provided such recipient’s function requires it to have such Confidential Information and provided that such recipient is subject to confidentiality obligations that are no less restrictive than this Clause 16;</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Seller to any potential sources of Permitted Equity Financing and/or debt capital as referred to in Clause 5.2(c)(iv), on a need-to-know basis and provided that such recipient is subject to confidentiality obligations that are no less restrictive than this Clause 16;</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required by Applicable Law or any securities exchange, regulatory or governmental body or Tax Authority, whether or not the requirement has the force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where permitted pursuant to Applicable Law and so far as it is practicable to do so, prior written notice of any Confidential Information to be disclosed pursuant to this Clause 16.2(c)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required pursuant to an order of a court of competent jurisdiction or in connection with legal proceedings in relation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where permitted pursuant to Applicable Law and so far as it is practicable to do so, prior written notice of any Confidential Information to be disclosed pursuant to this Clause 16.2(d) shall be given to the other Parties so that such other Parties may (at their own expense) obtain a protective order (it being understood and agreed that the disclosing party shall only disclose such Confidential Information as it is advised by counsel is required to be disclosed by Applicable Law in such circumstance);</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Party in circumstances where such Confidential Information was already in the lawful possession of that Party or its Agents without any obligation of confidentiality prior to disclosure by any other Party (as evidenced by written records);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comes into the public domain other than as a result of a breach by a Party of this Clause 16;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Party in circumstances where the other Parties have given prior written approval to the disclosure or use;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independently developed by the disclosing Party after Completion.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 xml:space="preserve">Upon Completion the confidentiality restrictions in this Clause 16 shall (a) terminate with respect to the Purchaser, the Purchaser’s Group Companies and their respective Affiliates and Agents and (b) continue to apply to the Sellers and their respective Affiliates and Agents;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restrictions in this Clause 16 shall continue apply after the termination of this Agreement for a period of three years following the date thereof.</w:t>
      </w:r>
    </w:p>
    <w:p>
      <w:pPr>
        <w:spacing w:after="0" w:line="17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ANNOUNCEMENTS</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announcement shall be made by or on behalf of any Party or any of their Affiliates relating to the existence or subject matter of this Agreement without the prior written approval of the other Parties, such approval not to be unreasonably withheld, conditioned or delayed, and provided that where a Party requests to make an announcement, the other Party shall respond within 24 hours of receipt of request and the disclosing Party shall take into reasonable comments from the other Party as to the form and content of the proposed announcement.</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any terms implied by law, the Transaction Documents constitute the whole and only agreement between the Parties in relation to the Transaction, and supersedes any previous arrangements or agreements (whether written or oral) between them in relation to the subject matter of any such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If there is any conflict between the terms of this Agreement and any other agreement, this Agreement shall prevail as between the Parties unless:</w:t>
      </w:r>
    </w:p>
    <w:p>
      <w:pPr>
        <w:spacing w:after="0" w:line="225" w:lineRule="exact"/>
        <w:rPr>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agreement expressly states that it overrides this Agreement in the relevant respect;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the Purchaser are either also parties to that other agreement or otherwise expressly agree in writing that such other agreement shall override this Agreement in that respect.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or becomes illegal, invalid or unenforceable in any respect under Applicable Law, it shall be deemed to be severed from this Agreement. The remaining provisions will remain in full force in that jurisdiction and all provisions will continue in full force in any other jurisdiction.</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Party shall, without the prior written consent of the Purchaser and the Sellers’ Representative, assign, transfer, charge, declare a trust of or otherwise dispose of all or any part of its rights and benefits under this Agreement (including any cause of action arising in connection with any of them) or of any right or interest in any of them.</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variation of this Agreement shall be effective unless in writing and signed by or on behalf of the Purchaser and the Sellers’ Representative (acting on behalf of all the Sellers).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6" w:name="page37"/>
    <w:bookmarkEnd w:id="36"/>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waiver of any right under this Agreement shall be effective unless in writing and signed by or on behalf of the Party waving compliance (it being understood and agreed that the Sellers’ Representative shall be entitled to waive compliance on behalf of all Sellers). Unless expressly stated otherwise, a waiver shall be effective only in the circumstances for which it is given.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No failure, delay or omission by any Party in exercising any right or remedy provided by law or under or pursuant to this Agreement, except in relation to any right or remedy contained in Schedule 5, shall impair such right or remedy or operate or be construed as a waiver or variation of such right or remedy or preclude its exercise at any subsequent time.</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The single or partial exercise of a right or remedy by any Party under this Agreement shall not preclude any other nor restrict any further exercise of any such right or remedy.</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The rights and remedies provided in this Agreement are cumulative, may be exercised as often as a Party considers appropriate and are in addition to its rights or remedies provided by Applicable Law, except as otherwise expressly provided. Each Party acknowledges and agrees that a claim for damages may not always provide adequate remedy for every breach of this Agreement and therefore, without prejudice to any rights and/or remedies the Parties may have (including, but not limited to, damages) under this Agreement, each Party will be entitled to the remedies of injunction, specific performance, rescission, termination and other equitable remedy for any threatened or actual breach of this Agreement.</w:t>
      </w:r>
    </w:p>
    <w:p>
      <w:pPr>
        <w:spacing w:after="0" w:line="183"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Nothing in this Clause 22 shall have the effect of excluding or limiting any liability for or remedy in respect of fraud, wilful misconduct or wilful concealment.</w:t>
      </w:r>
    </w:p>
    <w:p>
      <w:pPr>
        <w:spacing w:after="0" w:line="158"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COMPLETION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provision of this Agreement shall continue in full force and effect after Completion, except to the extent that a provision has been fully performed on or before Completion.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agrees to perform (or procure the performance of) all further acts and things, and execute and deliver (or procure the execution and delivery of) such further documents, as may be required by Applicable Law or as another Party may reasonably require to implement and/or give effect to this Agreement and each other Transaction Document.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RIGHTS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who is not a Party has no right under the Contracts (Rights of Third Parties) Act 2001 of Singapore to enforce any term of this Agreement.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Any payment to be made under this Agreement shall be paid by telegraphic transfer in immediately available cleared funds and in the case of:</w:t>
      </w:r>
    </w:p>
    <w:p>
      <w:pPr>
        <w:spacing w:after="0" w:line="225" w:lineRule="exact"/>
        <w:rPr>
          <w:sz w:val="20"/>
          <w:szCs w:val="20"/>
          <w:color w:val="auto"/>
        </w:rPr>
      </w:pPr>
    </w:p>
    <w:p>
      <w:pPr>
        <w:ind w:left="1300" w:right="2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any Seller, to such account that is notified by such Seller to the relevant payee in writing at least ten (10) Business Days before the due date for that payment;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the Purchaser, to such account that is notified by the Purchaser to the relevant payee in writing at least ten (10) Business Days before the due date for that payment.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In respect of any telegraphic transfer made in connection with this Agreement, any costs or bank or other charges of the sending bank shall be borne by the Party making that payment and any costs or bank or other charges of the recipient bank shall be borne by the Party receiving that payment.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7"/>
          <w:szCs w:val="17"/>
          <w:color w:val="auto"/>
        </w:rPr>
        <w:t>All payments to be made under this Agreement shall be made in USD.</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8"/>
          <w:szCs w:val="18"/>
          <w:color w:val="auto"/>
        </w:rPr>
        <w:t>Each Party shall pay all sums payable by them under this Agreement free and clear of all deductions or withholdings unless any Applicable Law requires a deduction or withholding to be made.</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8"/>
          <w:szCs w:val="18"/>
          <w:color w:val="auto"/>
        </w:rPr>
        <w:t>Any amount payable by the Sellers to the Purchaser pursuant to a Claim under this Agreement shall, so far as possible, be deemed to be a reduction of the purchase price referred to in Clause 3.1.</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any Tax Authority brings any sum paid by any Seller under or pursuant to this Agreement into charge to Tax, then such Seller shall pay such additional amount as will ensure that the total amount paid, less the Tax chargeable on such amount, is equal to the amount that would otherwise be payable under this Agreement.</w:t>
      </w:r>
    </w:p>
    <w:p>
      <w:pPr>
        <w:spacing w:after="0" w:line="172"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Except as provided otherwise, each Party shall pay its own costs and expenses incurred in connection with the negotiation, preparation and performance of the Transaction Documents.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The Purchaser shall bear the cost of all stamp duty, transfer taxes and duties or their equivalents in all jurisdictions where such fees, taxes and duties are payable as a result of the Transaction, as well as any deed, instrument, transfer or other document executed to give effect to any provisions of this Agreement or any of the other Transaction Documents.</w:t>
      </w:r>
    </w:p>
    <w:p>
      <w:pPr>
        <w:spacing w:after="0" w:line="172"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Any notice, demand or other communication to be given by a Party under or in connection with this Agreement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the English language in writing and signed by or on behalf of the Party giving it. A Notice shall be served by delivering it personally, sending it by email to the email address set out in Clause 28.2 or delivering it by courier to the address set out in Clause 28.2, in each case marked for the attention of the person specified in that Clause. A Notice so served by email, courier or hand shall be deemed to have been received:</w:t>
      </w:r>
    </w:p>
    <w:p>
      <w:pPr>
        <w:spacing w:after="0" w:line="180"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delivery, if delivered personally;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transmission, if sent by email;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Business Days after the time and date of posting, if sent by courier,</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provided that if deemed receipt of any Notice occurs after 6 p.m. or is not on a Business Day, deemed receipt of the Notice shall be 9 a.m. on the next Business Day. References to time in this Clause 28 are to local time in the country of the addressee.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The addresses and email addresses for service of Notice are: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relevant addressee, address and email address set out against the relevant Seller’s name in column (2) of Part 2 of Schedule 1.</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Purchaser:</w:t>
      </w:r>
    </w:p>
    <w:p>
      <w:pPr>
        <w:sectPr>
          <w:pgSz w:w="11900" w:h="16838" w:orient="portrait"/>
          <w:cols w:equalWidth="0" w:num="1">
            <w:col w:w="11240"/>
          </w:cols>
          <w:pgMar w:left="320" w:top="715"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Diginex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Room 1311, Level 13 Leighton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Leighton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Causeway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0" w:lineRule="exact"/>
        <w:rPr>
          <w:sz w:val="20"/>
          <w:szCs w:val="20"/>
          <w:color w:val="auto"/>
        </w:rPr>
      </w:pPr>
    </w:p>
    <w:p>
      <w:pPr>
        <w:sectPr>
          <w:pgSz w:w="11900" w:h="16838" w:orient="portrait"/>
          <w:cols w:equalWidth="0" w:num="2">
            <w:col w:w="2520" w:space="720"/>
            <w:col w:w="8000"/>
          </w:cols>
          <w:pgMar w:left="320" w:top="715"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Paul Ewing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paul.ewing@diginex.com</w:t>
      </w:r>
    </w:p>
    <w:p>
      <w:pPr>
        <w:spacing w:after="0" w:line="200" w:lineRule="exact"/>
        <w:rPr>
          <w:sz w:val="20"/>
          <w:szCs w:val="20"/>
          <w:color w:val="auto"/>
        </w:rPr>
      </w:pPr>
    </w:p>
    <w:p>
      <w:pPr>
        <w:sectPr>
          <w:pgSz w:w="11900" w:h="16838" w:orient="portrait"/>
          <w:cols w:equalWidth="0" w:num="2">
            <w:col w:w="2520" w:space="720"/>
            <w:col w:w="8000"/>
          </w:cols>
          <w:pgMar w:left="320" w:top="715" w:right="339" w:bottom="1440" w:gutter="0" w:footer="0" w:header="0"/>
          <w:type w:val="continuous"/>
        </w:sectPr>
      </w:pP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38" w:name="page39"/>
    <w:bookmarkEnd w:id="3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Party shall notify the other Parties of any change to its details in Clause 28.2 for the purposes of this Clause 28, provided that such notification shall only be effective on the later of the date specified in the notification and five (5) Business Days after deemed receipt.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In proving service it shall be sufficient to prove that delivery by hand was made, the envelope containing such Notice was properly addressed and delivered either to the address shown thereon or into the custody of the postal authorities as a pre-paid recorded post or international courier, or that the electronic mail was properly addressed and transmitted to the relevant electronic mail address, as the case may be.</w:t>
      </w:r>
    </w:p>
    <w:p>
      <w:pPr>
        <w:spacing w:after="0" w:line="172"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and by each Party on separate counterparts and each such counterpart shall constitute an original of this Agreement but all of which together constitute one and the same instrument as if each Party had signed the same document. Delivery of a counterpart of this Agreement in Adobe Acrobat Portable Document Format (PDF) sent by e-mail shall be an effective mode of delivery. This Agreement shall not be effective until each Party has executed at least one (1) counterpart.</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The construction, validity and performance of this Agreement and all non-contractual obligations arising from or connected with this Agreement shall be governed by the laws of Singapore.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Any dispute arising out of or in connection with this Agreement, including any question regarding its existence, validity or termination, shall be referred to, and finally settled by, arbitration administered by the Singapore International Arbitration Centre in accordance with the Arbitration Rules of the Singapore International Arbitration Centre in force at the commencement of the arbitration. The arbitration tribunal shall consist of one (1) arbitrator. The language of arbitration shall be English. The seat of arbitration shall be Singapore. This agreement to arbitrate is governed by Singapore law.</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ind w:left="5060"/>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6880" w:type="dxa"/>
            <w:vAlign w:val="bottom"/>
            <w:gridSpan w:val="2"/>
          </w:tcPr>
          <w:p>
            <w:pPr>
              <w:ind w:left="5200"/>
              <w:spacing w:after="0"/>
              <w:rPr>
                <w:sz w:val="20"/>
                <w:szCs w:val="20"/>
                <w:color w:val="auto"/>
              </w:rPr>
            </w:pPr>
            <w:r>
              <w:rPr>
                <w:rFonts w:ascii="Times New Roman" w:cs="Times New Roman" w:eastAsia="Times New Roman" w:hAnsi="Times New Roman"/>
                <w:sz w:val="18"/>
                <w:szCs w:val="18"/>
                <w:b w:val="1"/>
                <w:bCs w:val="1"/>
                <w:color w:val="auto"/>
              </w:rPr>
              <w:t>The Sellers</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1 – Particulars of the Sellers</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0"/>
        </w:trPr>
        <w:tc>
          <w:tcPr>
            <w:tcW w:w="676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4"/>
                <w:szCs w:val="24"/>
                <w:color w:val="auto"/>
              </w:rPr>
            </w:pPr>
          </w:p>
        </w:tc>
        <w:tc>
          <w:tcPr>
            <w:tcW w:w="21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w:t>
            </w:r>
          </w:p>
        </w:tc>
        <w:tc>
          <w:tcPr>
            <w:tcW w:w="22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Seller name and details</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Sale Shares</w:t>
            </w: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Relevant Proportion (%)</w:t>
            </w:r>
          </w:p>
        </w:tc>
      </w:tr>
      <w:tr>
        <w:trPr>
          <w:trHeight w:val="191"/>
        </w:trPr>
        <w:tc>
          <w:tcPr>
            <w:tcW w:w="67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CENTILLION INNOVATIONS PRIVATE LIMITED</w:t>
            </w:r>
            <w:r>
              <w:rPr>
                <w:rFonts w:ascii="Times New Roman" w:cs="Times New Roman" w:eastAsia="Times New Roman" w:hAnsi="Times New Roman"/>
                <w:sz w:val="18"/>
                <w:szCs w:val="18"/>
                <w:color w:val="auto"/>
              </w:rPr>
              <w:t>, a company incorporated under the</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129,046</w:t>
            </w:r>
          </w:p>
        </w:tc>
        <w:tc>
          <w:tcPr>
            <w:tcW w:w="2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4.4500%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laws of Singapore with company registration number 202216064M and having its registered</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Preference Shares</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at 160 Robinson Road, #14-04, Singapore Business Federation Center, Singapore</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068914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RED PENNY PTE. LTD.</w:t>
            </w:r>
            <w:r>
              <w:rPr>
                <w:rFonts w:ascii="Times New Roman" w:cs="Times New Roman" w:eastAsia="Times New Roman" w:hAnsi="Times New Roman"/>
                <w:sz w:val="18"/>
                <w:szCs w:val="18"/>
                <w:color w:val="auto"/>
              </w:rPr>
              <w:t>, a company incorporated under the laws of Singapore with</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284,080</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9.7900%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registration number 202029299N and having its registered office at 101 Cecil</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 #19-13 Tong Eng Building, Singapore 069533</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500 TUKTUKS, L.P.</w:t>
            </w:r>
            <w:r>
              <w:rPr>
                <w:rFonts w:ascii="Times New Roman" w:cs="Times New Roman" w:eastAsia="Times New Roman" w:hAnsi="Times New Roman"/>
                <w:sz w:val="18"/>
                <w:szCs w:val="18"/>
                <w:color w:val="auto"/>
              </w:rPr>
              <w:t>, an exempted limited partnership formed under the laws of the</w:t>
            </w:r>
          </w:p>
        </w:tc>
        <w:tc>
          <w:tcPr>
            <w:tcW w:w="2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32,909</w:t>
            </w:r>
          </w:p>
        </w:tc>
        <w:tc>
          <w:tcPr>
            <w:tcW w:w="22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1.1400%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 with EIN number 98-123576 and having its registered office at P.O. Box</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Preference Shares</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4"/>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10008, Willow House, Cricket Square, Grand Cayman KY1-1001, Cayman Islands</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BLUE PENNY PTE. LTD.</w:t>
            </w:r>
            <w:r>
              <w:rPr>
                <w:rFonts w:ascii="Times New Roman" w:cs="Times New Roman" w:eastAsia="Times New Roman" w:hAnsi="Times New Roman"/>
                <w:sz w:val="18"/>
                <w:szCs w:val="18"/>
                <w:color w:val="auto"/>
              </w:rPr>
              <w:t>, a company incorporated under the laws of Singapore with</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355,094</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12.2400%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registration number 201829798Z and having its registered office at 101 Cecil</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 #19-13 Tong Eng Building, Singapore 069533</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HARESH RAM KHOOBCHANDANI</w:t>
            </w:r>
            <w:r>
              <w:rPr>
                <w:rFonts w:ascii="Times New Roman" w:cs="Times New Roman" w:eastAsia="Times New Roman" w:hAnsi="Times New Roman"/>
                <w:sz w:val="18"/>
                <w:szCs w:val="18"/>
                <w:color w:val="auto"/>
              </w:rPr>
              <w:t>, an individual with NRIC number S7099020B of 16</w:t>
            </w:r>
          </w:p>
        </w:tc>
        <w:tc>
          <w:tcPr>
            <w:tcW w:w="2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91,232</w:t>
            </w:r>
          </w:p>
        </w:tc>
        <w:tc>
          <w:tcPr>
            <w:tcW w:w="22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3.1500%</w:t>
            </w:r>
          </w:p>
        </w:tc>
      </w:tr>
      <w:tr>
        <w:trPr>
          <w:trHeight w:val="234"/>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Lorong K Telok Kurau, #01-06, The Amery, Singapore 425612</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RADHIKA SUNDARAM</w:t>
            </w:r>
            <w:r>
              <w:rPr>
                <w:rFonts w:ascii="Times New Roman" w:cs="Times New Roman" w:eastAsia="Times New Roman" w:hAnsi="Times New Roman"/>
                <w:sz w:val="18"/>
                <w:szCs w:val="18"/>
                <w:color w:val="auto"/>
              </w:rPr>
              <w:t>, an individual with NRIC number S7184793D of 47 Kew</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754,244</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26.0000%</w:t>
            </w: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Heights, #01-47, Singapore 465927</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RAMBACTHAVACHALAM DHAKSHINA MOORTHY, </w:t>
            </w:r>
            <w:r>
              <w:rPr>
                <w:rFonts w:ascii="Times New Roman" w:cs="Times New Roman" w:eastAsia="Times New Roman" w:hAnsi="Times New Roman"/>
                <w:sz w:val="18"/>
                <w:szCs w:val="18"/>
                <w:color w:val="auto"/>
              </w:rPr>
              <w:t>an individual with Aadhar Card</w:t>
            </w:r>
          </w:p>
        </w:tc>
        <w:tc>
          <w:tcPr>
            <w:tcW w:w="2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754,244</w:t>
            </w:r>
          </w:p>
        </w:tc>
        <w:tc>
          <w:tcPr>
            <w:tcW w:w="22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26.0000%</w:t>
            </w:r>
          </w:p>
        </w:tc>
      </w:tr>
      <w:tr>
        <w:trPr>
          <w:trHeight w:val="257"/>
        </w:trPr>
        <w:tc>
          <w:tcPr>
            <w:tcW w:w="6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number 4366 5434 7258 of D-2, Plot no 13-18, Ramchitra Apartments,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Cross Street</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34"/>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Colony, Medavakkam, Kancheepuram, Tamilnadu – 600100</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KASSNIK PTY LTD</w:t>
            </w:r>
            <w:r>
              <w:rPr>
                <w:rFonts w:ascii="Times New Roman" w:cs="Times New Roman" w:eastAsia="Times New Roman" w:hAnsi="Times New Roman"/>
                <w:sz w:val="18"/>
                <w:szCs w:val="18"/>
                <w:color w:val="auto"/>
              </w:rPr>
              <w:t>, a company incorporated under the laws of Australia with company</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189,246</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6.5200%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number 102 695 830 and having its registered office at Level 5, 607 St Kilda</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Road, Melbourne, Vic 3004</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TIGER SEE FINANCING LIMITED</w:t>
            </w:r>
            <w:r>
              <w:rPr>
                <w:rFonts w:ascii="Times New Roman" w:cs="Times New Roman" w:eastAsia="Times New Roman" w:hAnsi="Times New Roman"/>
                <w:sz w:val="18"/>
                <w:szCs w:val="18"/>
                <w:color w:val="auto"/>
              </w:rPr>
              <w:t>, a company incorporated under the laws of Malta</w:t>
            </w:r>
          </w:p>
        </w:tc>
        <w:tc>
          <w:tcPr>
            <w:tcW w:w="2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26,445</w:t>
            </w:r>
          </w:p>
        </w:tc>
        <w:tc>
          <w:tcPr>
            <w:tcW w:w="22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0.9100%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company registration number C74145 and having its registered office at Level 3 (Suite</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4"/>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3494) Tower Business Centre, Triq It-Torri, Swatar, Birkirkara Bkr 4013, Malta</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4"/>
        </w:trPr>
        <w:tc>
          <w:tcPr>
            <w:tcW w:w="6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EQUIOM FIDUCIARY SERVICES (HONG KONG) LIMITED AS TRUSTEE OF</w:t>
            </w:r>
          </w:p>
        </w:tc>
        <w:tc>
          <w:tcPr>
            <w:tcW w:w="21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22,764</w:t>
            </w:r>
          </w:p>
        </w:tc>
        <w:tc>
          <w:tcPr>
            <w:tcW w:w="222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0.7800%</w:t>
            </w:r>
          </w:p>
        </w:tc>
      </w:tr>
      <w:tr>
        <w:trPr>
          <w:trHeight w:val="22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THE GIORGINI TRUST, </w:t>
            </w:r>
            <w:r>
              <w:rPr>
                <w:rFonts w:ascii="Times New Roman" w:cs="Times New Roman" w:eastAsia="Times New Roman" w:hAnsi="Times New Roman"/>
                <w:sz w:val="18"/>
                <w:szCs w:val="18"/>
                <w:color w:val="auto"/>
              </w:rPr>
              <w:t>a company incorporated under the laws of Hong Kong with</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registration number HK-52235851 and having its registered office at Room 2302,</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23/F, Lee Garden Two, 28, Yun Ping Road, Causeway Bay, Hong Kong</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BRELKO CONVEYOR PRODUCTS (PTY) LTD</w:t>
            </w:r>
            <w:r>
              <w:rPr>
                <w:rFonts w:ascii="Times New Roman" w:cs="Times New Roman" w:eastAsia="Times New Roman" w:hAnsi="Times New Roman"/>
                <w:sz w:val="18"/>
                <w:szCs w:val="18"/>
                <w:color w:val="auto"/>
              </w:rPr>
              <w:t>, a company incorporated under the laws</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27,159</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0.9400%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South Africa with company registration number ZA-M200600608507 and having its</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office at 44, Chambers Street, Reuven Ext.1, Booyens, Johannesburg 2091, South</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ARTEMIS HOLDINGS LIMITED</w:t>
            </w:r>
            <w:r>
              <w:rPr>
                <w:rFonts w:ascii="Times New Roman" w:cs="Times New Roman" w:eastAsia="Times New Roman" w:hAnsi="Times New Roman"/>
                <w:sz w:val="18"/>
                <w:szCs w:val="18"/>
                <w:color w:val="auto"/>
              </w:rPr>
              <w:t>, a company incorporated under the laws of United Arab</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17,146</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0.5900%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Emirates with registration number AE-73461027 and having its registered office at Off</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No.1205, Westburry Commercial Tower, Al Abraj Street, Business Bay, Dubai</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Employee Award SPV Seller</w:t>
            </w:r>
          </w:p>
        </w:tc>
        <w:tc>
          <w:tcPr>
            <w:tcW w:w="2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217,245</w:t>
            </w:r>
          </w:p>
        </w:tc>
        <w:tc>
          <w:tcPr>
            <w:tcW w:w="22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7.4900%</w:t>
            </w:r>
          </w:p>
        </w:tc>
      </w:tr>
      <w:tr>
        <w:trPr>
          <w:trHeight w:val="234"/>
        </w:trPr>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2,900,854</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100%</w:t>
            </w:r>
          </w:p>
        </w:tc>
      </w:tr>
    </w:tbl>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 – Notice Details of the Sellers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10"/>
        </w:trPr>
        <w:tc>
          <w:tcPr>
            <w:tcW w:w="33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(1)</w:t>
            </w:r>
          </w:p>
        </w:tc>
        <w:tc>
          <w:tcPr>
            <w:tcW w:w="7860" w:type="dxa"/>
            <w:vAlign w:val="bottom"/>
            <w:gridSpan w:val="2"/>
          </w:tcPr>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Seller name</w:t>
            </w:r>
          </w:p>
        </w:tc>
        <w:tc>
          <w:tcPr>
            <w:tcW w:w="7860" w:type="dxa"/>
            <w:vAlign w:val="bottom"/>
            <w:gridSpan w:val="2"/>
          </w:tcPr>
          <w:p>
            <w:pPr>
              <w:jc w:val="right"/>
              <w:ind w:right="6600"/>
              <w:spacing w:after="0"/>
              <w:rPr>
                <w:sz w:val="20"/>
                <w:szCs w:val="20"/>
                <w:color w:val="auto"/>
              </w:rPr>
            </w:pPr>
            <w:r>
              <w:rPr>
                <w:rFonts w:ascii="Times New Roman" w:cs="Times New Roman" w:eastAsia="Times New Roman" w:hAnsi="Times New Roman"/>
                <w:sz w:val="18"/>
                <w:szCs w:val="18"/>
                <w:b w:val="1"/>
                <w:bCs w:val="1"/>
                <w:color w:val="auto"/>
              </w:rPr>
              <w:t>Notice details</w:t>
            </w:r>
          </w:p>
        </w:tc>
      </w:tr>
      <w:tr>
        <w:trPr>
          <w:trHeight w:val="234"/>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Centillion Innovations Private Limited</w:t>
            </w:r>
          </w:p>
        </w:tc>
        <w:tc>
          <w:tcPr>
            <w:tcW w:w="240" w:type="dxa"/>
            <w:vAlign w:val="bottom"/>
          </w:tcPr>
          <w:p>
            <w:pPr>
              <w:spacing w:after="0"/>
              <w:rPr>
                <w:sz w:val="20"/>
                <w:szCs w:val="20"/>
                <w:color w:val="auto"/>
              </w:rPr>
            </w:pPr>
          </w:p>
        </w:tc>
        <w:tc>
          <w:tcPr>
            <w:tcW w:w="7620" w:type="dxa"/>
            <w:vAlign w:val="bottom"/>
            <w:tcBorders>
              <w:top w:val="single" w:sz="8" w:color="auto"/>
            </w:tcBorders>
          </w:tcPr>
          <w:p>
            <w:pPr>
              <w:spacing w:after="0"/>
              <w:rPr>
                <w:sz w:val="20"/>
                <w:szCs w:val="20"/>
                <w:color w:val="auto"/>
              </w:rPr>
            </w:pPr>
          </w:p>
        </w:tc>
      </w:tr>
      <w:tr>
        <w:trPr>
          <w:trHeight w:val="39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Red Penny Pte. Ltd.</w:t>
            </w:r>
          </w:p>
        </w:tc>
        <w:tc>
          <w:tcPr>
            <w:tcW w:w="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500 Tuktuks, L.P.</w:t>
            </w: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Blue Penny Pte. Ltd.</w:t>
            </w: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Haresh Ram Khoobchandani</w:t>
            </w: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Radhika Sundaram</w:t>
            </w: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Rambackthavachalam Dhakshina Moorthy</w:t>
            </w: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Kassnik Pty Ltd</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Tiger See Financing Limited</w:t>
      </w:r>
    </w:p>
    <w:p>
      <w:pPr>
        <w:spacing w:after="0" w:line="27" w:lineRule="exact"/>
        <w:rPr>
          <w:sz w:val="20"/>
          <w:szCs w:val="20"/>
          <w:color w:val="auto"/>
        </w:rPr>
      </w:pPr>
    </w:p>
    <w:p>
      <w:pPr>
        <w:spacing w:after="0"/>
        <w:tabs>
          <w:tab w:leader="none" w:pos="1540" w:val="left"/>
          <w:tab w:leader="none" w:pos="2300" w:val="left"/>
          <w:tab w:leader="none" w:pos="2900" w:val="left"/>
        </w:tabs>
        <w:rPr>
          <w:sz w:val="20"/>
          <w:szCs w:val="20"/>
          <w:color w:val="auto"/>
        </w:rPr>
      </w:pPr>
      <w:r>
        <w:rPr>
          <w:rFonts w:ascii="Times New Roman" w:cs="Times New Roman" w:eastAsia="Times New Roman" w:hAnsi="Times New Roman"/>
          <w:sz w:val="18"/>
          <w:szCs w:val="18"/>
          <w:color w:val="auto"/>
        </w:rPr>
        <w:t>Equiom  Fiduciary</w:t>
        <w:tab/>
        <w:t>Services</w:t>
        <w:tab/>
        <w:t>(Hong</w:t>
        <w:tab/>
        <w:t>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as Trustee of The Giorgini Trust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Brelko Conveyor Products (PTY) Limited</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Artemis Holdings Limited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3 – Consideration Shares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0"/>
        </w:trPr>
        <w:tc>
          <w:tcPr>
            <w:tcW w:w="564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4"/>
                <w:szCs w:val="24"/>
                <w:color w:val="auto"/>
              </w:rPr>
            </w:pPr>
          </w:p>
        </w:tc>
        <w:tc>
          <w:tcPr>
            <w:tcW w:w="25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(2)</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Shares  @  Issue</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Consideration  Shares  @  Issue</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Seller (and/or its nominee)</w:t>
            </w: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of USD 1.50 per share</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price of USD 0.50 per share</w:t>
            </w:r>
          </w:p>
        </w:tc>
      </w:tr>
      <w:tr>
        <w:trPr>
          <w:trHeight w:val="209"/>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Centillion Innovations Private Limited</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41,533,333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8,900,000</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Penny Pte. Ltd.</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91,373,333</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19,580,000</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Tuktuks, L.P.</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10,640,000</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2,280,000</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Penny Pte. Ltd.</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114,240,000</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24,480,000</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Haresh Ram Khoobchandani</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29,400,000</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6,300,000</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Radhika Sundaram</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242,666,667</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52,000,000</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Rambackthavachalam Dhakshina Moorthy</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242,666,667</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52,000,000</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Kassnik Pty Ltd</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60,853,333</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13,040,000</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Tiger See Financing Limited</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8,493,333</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1,820,000</w:t>
            </w:r>
          </w:p>
        </w:tc>
      </w:tr>
      <w:tr>
        <w:trPr>
          <w:trHeight w:val="198"/>
        </w:trPr>
        <w:tc>
          <w:tcPr>
            <w:tcW w:w="5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Equiom Fiduciary Services (Hong Kong) Limited as Trustee of The Giorgini</w:t>
            </w:r>
          </w:p>
        </w:tc>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7,280,000</w:t>
            </w:r>
          </w:p>
        </w:tc>
        <w:tc>
          <w:tcPr>
            <w:tcW w:w="28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1,560,000</w:t>
            </w: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Brelko Conveyor Products (PTY) Limited</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8,773,333</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1,880,000</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Artemis Holdings Limited</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5,506,667</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1,180,000</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Award SPV Seller</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69,906,667</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14,980,000</w:t>
            </w:r>
          </w:p>
        </w:tc>
      </w:tr>
      <w:tr>
        <w:trPr>
          <w:trHeight w:val="432"/>
        </w:trPr>
        <w:tc>
          <w:tcPr>
            <w:tcW w:w="5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240"/>
          </w:cols>
          <w:pgMar w:left="320" w:top="688"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SCHEDULE 2</w:t>
            </w:r>
          </w:p>
        </w:tc>
      </w:tr>
      <w:tr>
        <w:trPr>
          <w:trHeight w:val="432"/>
        </w:trPr>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Details of the Group</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1 - Details of the Company</w:t>
            </w:r>
          </w:p>
        </w:tc>
        <w:tc>
          <w:tcPr>
            <w:tcW w:w="78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64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Resulticks Global Companies Pte. Limited</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202127753C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 Temasek Avenue, #21-27, Centennial Tower, Singapore 039190</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 August 2021</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Private Company Limited by Shares</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USD 72,844,227 represented by 2,438,966 ordinary shares; and</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USD 10,350,000 represented by 161,955 preference shares</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2,438,966 ordinary shares; and</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161,955 preference shares</w:t>
            </w: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Centillion Innovations Private Limited (129,046 preference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 Penny Pte. Ltd. (310,757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500 Tuktuks, L.P. (32,909 preference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Blue Penny Pte. Ltd. (355,094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Haresh Ram Khoobchandani (91,232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Radhika Sundaram (754,244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Rambacthavachalam Dhakshina Moorthy (754,244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Kassnik Pty Ltd (189,246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Tiger See Financing Limited (26,445 ordinary shares)</w:t>
            </w:r>
          </w:p>
        </w:tc>
      </w:tr>
      <w:tr>
        <w:trPr>
          <w:trHeight w:val="414"/>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Equiom Fiduciary Services (Hong Kong) Limited as Trustee of The Giorgini Trust (22,764 ordinary</w:t>
            </w:r>
          </w:p>
        </w:tc>
      </w:tr>
      <w:tr>
        <w:trPr>
          <w:trHeight w:val="234"/>
        </w:trPr>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Brelko Conveyor Products (PTY) Limited (27,159 ordinary shares)</w:t>
            </w:r>
          </w:p>
        </w:tc>
      </w:tr>
      <w:tr>
        <w:trPr>
          <w:trHeight w:val="432"/>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Artemis Holdings Limited (17,146 ordinary shares)</w:t>
            </w:r>
          </w:p>
        </w:tc>
      </w:tr>
      <w:tr>
        <w:trPr>
          <w:trHeight w:val="414"/>
        </w:trPr>
        <w:tc>
          <w:tcPr>
            <w:tcW w:w="294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Award SPV Seller (217,245 ordinary shares), provided that such ordinary shares shall be</w:t>
            </w:r>
          </w:p>
        </w:tc>
      </w:tr>
      <w:tr>
        <w:trPr>
          <w:trHeight w:val="216"/>
        </w:trPr>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allotted and issued to the Employee Award SPV Seller after the date of this Agreement and prior to</w:t>
            </w:r>
          </w:p>
        </w:tc>
      </w:tr>
      <w:tr>
        <w:trPr>
          <w:trHeight w:val="234"/>
        </w:trPr>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Completion</w:t>
            </w:r>
          </w:p>
        </w:tc>
      </w:tr>
      <w:tr>
        <w:trPr>
          <w:trHeight w:val="432"/>
        </w:trPr>
        <w:tc>
          <w:tcPr>
            <w:tcW w:w="2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7340"/>
              <w:spacing w:after="0"/>
              <w:rPr>
                <w:sz w:val="20"/>
                <w:szCs w:val="20"/>
                <w:color w:val="auto"/>
              </w:rPr>
            </w:pPr>
            <w:r>
              <w:rPr>
                <w:rFonts w:ascii="Times New Roman" w:cs="Times New Roman" w:eastAsia="Times New Roman" w:hAnsi="Times New Roman"/>
                <w:sz w:val="18"/>
                <w:szCs w:val="18"/>
                <w:color w:val="auto"/>
                <w:w w:val="88"/>
              </w:rPr>
              <w:t>37</w:t>
            </w:r>
          </w:p>
        </w:tc>
      </w:tr>
    </w:tbl>
    <w:p>
      <w:pPr>
        <w:sectPr>
          <w:pgSz w:w="11900" w:h="16838" w:orient="portrait"/>
          <w:cols w:equalWidth="0" w:num="1">
            <w:col w:w="11240"/>
          </w:cols>
          <w:pgMar w:left="320" w:top="684"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Noor Mohamed Farooq</w:t>
            </w:r>
          </w:p>
        </w:tc>
      </w:tr>
      <w:tr>
        <w:trPr>
          <w:trHeight w:val="432"/>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Athanasios Charlaftis</w:t>
            </w:r>
          </w:p>
        </w:tc>
      </w:tr>
      <w:tr>
        <w:trPr>
          <w:trHeight w:val="432"/>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Giandeo Pittea</w:t>
            </w:r>
          </w:p>
        </w:tc>
      </w:tr>
      <w:tr>
        <w:trPr>
          <w:trHeight w:val="432"/>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Roger Michael Jupp</w:t>
            </w:r>
          </w:p>
        </w:tc>
      </w:tr>
      <w:tr>
        <w:trPr>
          <w:trHeight w:val="432"/>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Radhika Sundaram</w:t>
            </w:r>
          </w:p>
        </w:tc>
      </w:tr>
      <w:tr>
        <w:trPr>
          <w:trHeight w:val="432"/>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Rambacthavachalam Dhakshina Moorthy</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 Sriram</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31 December</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Trust Audit PAC</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monies charge (charge no. C202414632) registered on 3 December 2024 in favour of Madison</w:t>
            </w:r>
          </w:p>
        </w:tc>
      </w:tr>
      <w:tr>
        <w:trPr>
          <w:trHeight w:val="234"/>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Pacific Trust Limited</w:t>
            </w:r>
          </w:p>
        </w:tc>
      </w:tr>
      <w:tr>
        <w:trPr>
          <w:trHeight w:val="414"/>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monies charge (charge no. C202414634) registered on 3 December 2024 in favour of Madison</w:t>
            </w:r>
          </w:p>
        </w:tc>
      </w:tr>
      <w:tr>
        <w:trPr>
          <w:trHeight w:val="234"/>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Pacific Trust Limited</w:t>
            </w:r>
          </w:p>
        </w:tc>
      </w:tr>
      <w:tr>
        <w:trPr>
          <w:trHeight w:val="414"/>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monies charge (charge no. C202505069) registered on 3 April 2025 in favour of Catalyst</w:t>
            </w:r>
          </w:p>
        </w:tc>
      </w:tr>
      <w:tr>
        <w:trPr>
          <w:trHeight w:val="234"/>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Trusteeship Ltd</w:t>
            </w:r>
          </w:p>
        </w:tc>
      </w:tr>
      <w:tr>
        <w:trPr>
          <w:trHeight w:val="414"/>
        </w:trPr>
        <w:tc>
          <w:tcPr>
            <w:tcW w:w="24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monies charge (charge no. C202505431) registered on 11 April 2025 in favour of Catalyst</w:t>
            </w:r>
          </w:p>
        </w:tc>
      </w:tr>
      <w:tr>
        <w:trPr>
          <w:trHeight w:val="234"/>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Trusteeship Ltd</w:t>
            </w:r>
          </w:p>
        </w:tc>
      </w:tr>
      <w:tr>
        <w:trPr>
          <w:trHeight w:val="432"/>
        </w:trPr>
        <w:tc>
          <w:tcPr>
            <w:tcW w:w="2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7380"/>
              <w:spacing w:after="0"/>
              <w:rPr>
                <w:sz w:val="20"/>
                <w:szCs w:val="20"/>
                <w:color w:val="auto"/>
              </w:rPr>
            </w:pPr>
            <w:r>
              <w:rPr>
                <w:rFonts w:ascii="Times New Roman" w:cs="Times New Roman" w:eastAsia="Times New Roman" w:hAnsi="Times New Roman"/>
                <w:sz w:val="18"/>
                <w:szCs w:val="18"/>
                <w:color w:val="auto"/>
                <w:w w:val="88"/>
              </w:rPr>
              <w:t>38</w:t>
            </w:r>
          </w:p>
        </w:tc>
      </w:tr>
    </w:tbl>
    <w:p>
      <w:pPr>
        <w:sectPr>
          <w:pgSz w:w="11900" w:h="16838" w:orient="portrait"/>
          <w:cols w:equalWidth="0" w:num="1">
            <w:col w:w="11240"/>
          </w:cols>
          <w:pgMar w:left="320" w:top="711"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2 - Details of the Subsidiaries</w:t>
            </w:r>
          </w:p>
        </w:tc>
        <w:tc>
          <w:tcPr>
            <w:tcW w:w="7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Resulticks Global Pte. Limited</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200720116M</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 Temasek Avenue, #21-27, Centennial Tower, Singapore 039190</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30 October 2007</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Private Company Limited by Shares</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USD 23,180,686 represented by 2,203,838 ordinary shares; and</w:t>
            </w:r>
          </w:p>
        </w:tc>
        <w:tc>
          <w:tcPr>
            <w:tcW w:w="0" w:type="dxa"/>
            <w:vAlign w:val="bottom"/>
          </w:tcPr>
          <w:p>
            <w:pPr>
              <w:spacing w:after="0"/>
              <w:rPr>
                <w:sz w:val="1"/>
                <w:szCs w:val="1"/>
                <w:color w:val="auto"/>
              </w:rPr>
            </w:pPr>
          </w:p>
        </w:tc>
      </w:tr>
      <w:tr>
        <w:trPr>
          <w:trHeight w:val="414"/>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USD 350,000 represented by 32,909 preference shares</w:t>
            </w:r>
          </w:p>
        </w:tc>
        <w:tc>
          <w:tcPr>
            <w:tcW w:w="0" w:type="dxa"/>
            <w:vAlign w:val="bottom"/>
          </w:tcPr>
          <w:p>
            <w:pPr>
              <w:spacing w:after="0"/>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2,203,838 ordinary shares; and</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32,909 preference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380" w:hanging="3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Resulticks Global Companies Pte. Limited (aggregate of 2,203,838 ordinary shares and 32,909 preference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Athanasios Charlaftis</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Giandeo Pittea</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Roger Michael Jupp</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Subramanian Gopalaratnam</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Radhika Sundaram</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Rambacthavachalam Dhakshina Moorthy</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31 December</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Trust Audit PAC</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monies charge (charge no. C202416253) registered on 30 December 2024 in favour of Madison</w:t>
            </w:r>
          </w:p>
        </w:tc>
      </w:tr>
      <w:tr>
        <w:trPr>
          <w:trHeight w:val="234"/>
        </w:trPr>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Pacific Trust Limited</w:t>
            </w:r>
          </w:p>
        </w:tc>
      </w:tr>
      <w:tr>
        <w:trPr>
          <w:trHeight w:val="414"/>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monies charge (charge no. C202416306) registered on 30 December 2024 in favour of Madison</w:t>
            </w:r>
          </w:p>
        </w:tc>
      </w:tr>
      <w:tr>
        <w:trPr>
          <w:trHeight w:val="234"/>
        </w:trPr>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Pacific Trust Limited</w:t>
            </w:r>
          </w:p>
        </w:tc>
      </w:tr>
      <w:tr>
        <w:trPr>
          <w:trHeight w:val="432"/>
        </w:trPr>
        <w:tc>
          <w:tcPr>
            <w:tcW w:w="2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7320"/>
              <w:spacing w:after="0"/>
              <w:rPr>
                <w:sz w:val="20"/>
                <w:szCs w:val="20"/>
                <w:color w:val="auto"/>
              </w:rPr>
            </w:pPr>
            <w:r>
              <w:rPr>
                <w:rFonts w:ascii="Times New Roman" w:cs="Times New Roman" w:eastAsia="Times New Roman" w:hAnsi="Times New Roman"/>
                <w:sz w:val="18"/>
                <w:szCs w:val="18"/>
                <w:color w:val="auto"/>
                <w:w w:val="88"/>
              </w:rPr>
              <w:t>39</w:t>
            </w:r>
          </w:p>
        </w:tc>
      </w:tr>
    </w:tbl>
    <w:p>
      <w:pPr>
        <w:sectPr>
          <w:pgSz w:w="11900" w:h="16838" w:orient="portrait"/>
          <w:cols w:equalWidth="0" w:num="1">
            <w:col w:w="11240"/>
          </w:cols>
          <w:pgMar w:left="320" w:top="684"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Resulticks Solution Inc.</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6155258</w:t>
            </w: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 A Registered Agent, Inc., 8 The Green, Ste A, Dover, Kent County, DE 19901</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August 2021</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39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Stock: 1,000 shares of common stock, par value $1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Outstanding Stock: 1,000 shares of common stock</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214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1,000 shares of common stock</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Resulticks Global Companies Pte. Limited (100% of all issued and outstanding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Radhika Sundaram; and</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31 December</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UCC-1 Financing Statement No. 2024 8354852 evidencing a security interest held by Madison Pacific Trust</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Limited in Resulticks Solution Inc.’s existing and after-acquired Accounts (including Health-Care-Insurance</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Receivables), Chattel Paper (including Electronic Chattel Paper), Commercial Tort Claims, Computer</w:t>
            </w:r>
          </w:p>
        </w:tc>
      </w:tr>
      <w:tr>
        <w:trPr>
          <w:trHeight w:val="234"/>
        </w:trPr>
        <w:tc>
          <w:tcPr>
            <w:tcW w:w="2440" w:type="dxa"/>
            <w:vAlign w:val="bottom"/>
          </w:tcPr>
          <w:p>
            <w:pPr>
              <w:spacing w:after="0"/>
              <w:rPr>
                <w:sz w:val="20"/>
                <w:szCs w:val="20"/>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Hardware and Software (and all rights with respect thereto, including all licenses, options, warranties,</w:t>
            </w:r>
          </w:p>
        </w:tc>
      </w:tr>
    </w:tbl>
    <w:p>
      <w:pPr>
        <w:jc w:val="both"/>
        <w:ind w:left="3380"/>
        <w:spacing w:after="0" w:line="251" w:lineRule="auto"/>
        <w:rPr>
          <w:sz w:val="20"/>
          <w:szCs w:val="20"/>
          <w:color w:val="auto"/>
        </w:rPr>
      </w:pPr>
      <w:r>
        <w:rPr>
          <w:rFonts w:ascii="Times New Roman" w:cs="Times New Roman" w:eastAsia="Times New Roman" w:hAnsi="Times New Roman"/>
          <w:sz w:val="18"/>
          <w:szCs w:val="18"/>
          <w:color w:val="auto"/>
        </w:rPr>
        <w:t>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Resulticks Communication USA Corp.</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7360007</w:t>
            </w:r>
          </w:p>
        </w:tc>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 USACORP DE Inc., 1811 Silverside Road, Wilmington, County of New Castle, DE, 19810</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April 2019</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39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Stock: 1,000 shares of common stock, no par value</w:t>
            </w:r>
          </w:p>
        </w:tc>
      </w:tr>
      <w:tr>
        <w:trPr>
          <w:trHeight w:val="20"/>
        </w:trPr>
        <w:tc>
          <w:tcPr>
            <w:tcW w:w="3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Outstanding Stock: 100 shares of common stock</w:t>
            </w:r>
          </w:p>
        </w:tc>
      </w:tr>
      <w:tr>
        <w:trPr>
          <w:trHeight w:val="45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2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100 shares of common stock</w:t>
            </w:r>
          </w:p>
        </w:tc>
        <w:tc>
          <w:tcPr>
            <w:tcW w:w="47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Resulticks Global Pte. Limited (100% of all issued and outstanding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Radhika Sundaram; and</w:t>
            </w:r>
          </w:p>
        </w:tc>
      </w:tr>
      <w:tr>
        <w:trPr>
          <w:trHeight w:val="432"/>
        </w:trPr>
        <w:tc>
          <w:tcPr>
            <w:tcW w:w="24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31 December</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UCC-1 Financing Statement No. 2024 8354852 evidencing a security interest held by Madison Pacific Trust</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Limited in Resulticks Communication USA Corp.’s existing and after-acquired Accounts (including Health-</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Care-Insurance Receivables), Chattel Paper (including Electronic Chattel Paper), Commercial Tort Claims,</w:t>
            </w:r>
          </w:p>
        </w:tc>
      </w:tr>
      <w:tr>
        <w:trPr>
          <w:trHeight w:val="234"/>
        </w:trPr>
        <w:tc>
          <w:tcPr>
            <w:tcW w:w="2440" w:type="dxa"/>
            <w:vAlign w:val="bottom"/>
          </w:tcPr>
          <w:p>
            <w:pPr>
              <w:spacing w:after="0"/>
              <w:rPr>
                <w:sz w:val="20"/>
                <w:szCs w:val="20"/>
                <w:color w:val="auto"/>
              </w:rPr>
            </w:pPr>
          </w:p>
        </w:tc>
        <w:tc>
          <w:tcPr>
            <w:tcW w:w="8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Computer Hardware and Software (and all rights with respect thereto, including all licenses, options,</w:t>
            </w:r>
          </w:p>
        </w:tc>
      </w:tr>
    </w:tbl>
    <w:p>
      <w:pPr>
        <w:jc w:val="both"/>
        <w:ind w:left="3380"/>
        <w:spacing w:after="0" w:line="251" w:lineRule="auto"/>
        <w:rPr>
          <w:sz w:val="20"/>
          <w:szCs w:val="20"/>
          <w:color w:val="auto"/>
        </w:rPr>
      </w:pPr>
      <w:r>
        <w:rPr>
          <w:rFonts w:ascii="Times New Roman" w:cs="Times New Roman" w:eastAsia="Times New Roman" w:hAnsi="Times New Roman"/>
          <w:sz w:val="18"/>
          <w:szCs w:val="18"/>
          <w:color w:val="auto"/>
        </w:rPr>
        <w:t>warranties, service contracts, program services, test rights, maintenance rights, support rights, improvement rights, renewal rights and indemnifications and any substitution, replacement, addition or model conversion of any of the foregoing), Deposit Accounts, Documents, Financial Assets, General Intangibles, Goods (including all its Equipment, Fixtures and Inventory) together with all embedded software, accessions, additions, attachments, improvements, substitutions and replacements thereto and therefor, Instruments, Intellectual Property, Investment Property (including Commodity Accounts, Commodity Contracts, Securities (whether Certificated Securities or Uncertificated Securities), Security Entitlements and Securities Accounts), Letter-of-Credit Rights, money (of every jurisdiction whatsoever), Supporting Obligations, and all other personal assets and property of any kind or description and all books, records, writings, data bases, information and other property relating to, used or useful in connection with, or evidencing, embodying, incorporating or referring to any of the foregoing, all claims and insurance proceedings arising out of the loss, nonconformity or any interference with the use of, or any defect or infringement of rights in, or damage to, any of the foregoing, and all proceeds, products, offspring, rents, issues, profits and returns of and from, and all distributions on and rights arising out of, any of the foregoing.</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Resulticks Digitals India Private Limited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U72200TN2005PTC056134</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SKCL Central Square 1, 5th Floor, C-28 to C35, Thiru Vi-Ka Industrial Estate, Guindy, Chennai – 600032</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Tamil Nadu, India</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Chennai, Tamil Nadu</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29 April 2005</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Limited Company</w:t>
            </w: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capital: INR 15,000,000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Paid up capital: INR 5,000,000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1080" w:type="dxa"/>
            <w:vAlign w:val="bottom"/>
            <w:gridSpan w:val="2"/>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500,000 equity shares</w:t>
            </w: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Global Pte. Limited (499,500 equity shares);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 (500 equity shares)</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Ramesh Vijayan;</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Radhika Sundaram;</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Karumury Srinagesh;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Farooq Noor Mohammed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31 March</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 Kabra &amp; Co LLP, Charted Accountants</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first ranking charge created by Resulticks Digital India Private Limited over its fixed, current, tangible,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debt service reserve amount and identified receivables as security for the following</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debentures:</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unrated,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Edge Solution Technologies Private Limited aggregating to INR 600,000,000 pursuant to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in accordance with the terms of the debenture trust deed dated 19 February 2025 entered into</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between Resulticks Edge Solution Technologies Private Limited and Catalyst Trusteeship Limited;</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 India Private Limited aggregating to INR 200,000,000 pursuant to and in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accordance with the terms of the debenture trust deed dated 31 December 2022 entered into between</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and Catalyst Trusteeship Limited; and</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aggregating to INR 400,000,000 pursuant to and in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accordance with the terms of the debenture trust deed dated 22 December 2022 entered into between</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and Catalyst Trusteeship Limited.</w:t>
            </w: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3"/>
          </w:tcPr>
          <w:p>
            <w:pPr>
              <w:ind w:left="7320"/>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Resulticks Edge Solution Technologies Private Limited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U72900TN2021PTC145434</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SKCL Central Square 1, 5th Floor, C-28 to C35, Thiru Vi-Ka Industrial Estate, Guindy, Chennai – 600032</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Tamil Nadu, India</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Chennai, Tamil Nadu</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August 2021</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Limited Company</w:t>
            </w:r>
          </w:p>
        </w:tc>
        <w:tc>
          <w:tcPr>
            <w:tcW w:w="0" w:type="dxa"/>
            <w:vAlign w:val="bottom"/>
          </w:tcPr>
          <w:p>
            <w:pPr>
              <w:spacing w:after="0"/>
              <w:rPr>
                <w:sz w:val="1"/>
                <w:szCs w:val="1"/>
                <w:color w:val="auto"/>
              </w:rPr>
            </w:pPr>
          </w:p>
        </w:tc>
      </w:tr>
      <w:tr>
        <w:trPr>
          <w:trHeight w:val="39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capital: INR 1,500,000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Paid up capital: INR 100,000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1080" w:type="dxa"/>
            <w:vAlign w:val="bottom"/>
            <w:gridSpan w:val="2"/>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1,000 equity shares</w:t>
            </w: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Global Companies Pte. Limited (999 equity shares);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 (1 equity share)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Ramesh Vijayan;</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Radhika Sundaram;</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Karumury Srinagesh;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Farooq Noor Mohammed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31 March</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 Kabra &amp; Co LLP, Charted Accountants</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first ranking charge created by Resulticks Edge Solution Technologies Private Limited over its current</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non-current assets, intellectual property and receivables as security for the following debentures:</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unrated,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Edge Solution Technologies Private Limited aggregating to INR 2,000,000,000 pursuant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and in accordance with the terms of the debenture trust deed dated 31 January 2025 entered into</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between Resulticks Edge Solution Technologies Private Limited and Catalyst Trusteeship Limited;</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unrated,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Edge Solution Technologies Private Limited aggregating to INR 600,000,000 pursuant to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in accordance with the terms of the debenture trust deed dated 19 February 2025 entered into</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between Resulticks Edge Solution Technologies Private Limited and Catalyst Trusteeship Limited;</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 India Private Limited aggregating to INR 200,000,000 pursuant to and in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accordance with the terms of the debenture trust deed dated 31 December 2022 entered into between</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and Catalyst Trusteeship Limited; and</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rated, unlisted, secured, redeemable, non-convertible debentures issued/ to be issued by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aggregating to INR 400,000,000 pursuant to and in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accordance with the terms of the debenture trust deed dated 22 December 2022 entered into between</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Resulticks Digitals India Private Limited and Catalyst Trusteeship Limited.</w:t>
            </w: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3"/>
          </w:tcPr>
          <w:p>
            <w:pPr>
              <w:ind w:left="7320"/>
              <w:spacing w:after="0"/>
              <w:rPr>
                <w:sz w:val="20"/>
                <w:szCs w:val="20"/>
                <w:color w:val="auto"/>
              </w:rPr>
            </w:pPr>
            <w:r>
              <w:rPr>
                <w:rFonts w:ascii="Times New Roman" w:cs="Times New Roman" w:eastAsia="Times New Roman" w:hAnsi="Times New Roman"/>
                <w:sz w:val="18"/>
                <w:szCs w:val="18"/>
                <w:color w:val="auto"/>
                <w:w w:val="88"/>
              </w:rPr>
              <w:t>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Marketing Star Tech Services Private Limited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U72502TN2021PTC145432</w:t>
            </w: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SKCL Central Square 1, 5th Floor, C-28 to C35, Thiru Vi-Ka Industrial Estate, Guindy, Chennai – 600032</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Tamil Nadu, India</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Chennai, Tamil Nadu</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August 2021</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Limited Company</w:t>
            </w: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capital: INR 1,500,000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Paid up capital: INR 100,000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1080" w:type="dxa"/>
            <w:vAlign w:val="bottom"/>
            <w:gridSpan w:val="2"/>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1,000 equity shares</w:t>
            </w:r>
          </w:p>
        </w:tc>
        <w:tc>
          <w:tcPr>
            <w:tcW w:w="0" w:type="dxa"/>
            <w:vAlign w:val="bottom"/>
          </w:tcPr>
          <w:p>
            <w:pPr>
              <w:spacing w:after="0"/>
              <w:rPr>
                <w:sz w:val="1"/>
                <w:szCs w:val="1"/>
                <w:color w:val="auto"/>
              </w:rPr>
            </w:pPr>
          </w:p>
        </w:tc>
      </w:tr>
      <w:tr>
        <w:trPr>
          <w:trHeight w:val="4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1.</w:t>
            </w: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Resulticks Edge Solution Technologies Private Limited (990 equity shares);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Rambacthavachalam Dhakshina Moorthy (10 equity shares)</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Santhakumar;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Rambacthavachalam Dhakshina Moorthy</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31 March</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 Kabra &amp; Co LLP, Charted Accountants</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NIL</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ind w:left="7240"/>
              <w:spacing w:after="0"/>
              <w:rPr>
                <w:sz w:val="20"/>
                <w:szCs w:val="20"/>
                <w:color w:val="auto"/>
              </w:rPr>
            </w:pPr>
            <w:r>
              <w:rPr>
                <w:rFonts w:ascii="Times New Roman" w:cs="Times New Roman" w:eastAsia="Times New Roman" w:hAnsi="Times New Roman"/>
                <w:sz w:val="18"/>
                <w:szCs w:val="18"/>
                <w:color w:val="auto"/>
                <w:w w:val="88"/>
              </w:rPr>
              <w:t>44</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Versar Data Solutions, Inc.</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605 770 867</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7530 164TH AVE NE STE A204, REDMOND, WA, 98052-7825, UNITED STATES</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 January 2025</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type</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paid-up share capital</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Outstanding Stock: $4,339,173</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issued shares</w:t>
            </w:r>
          </w:p>
        </w:tc>
        <w:tc>
          <w:tcPr>
            <w:tcW w:w="2140" w:type="dxa"/>
            <w:vAlign w:val="bottom"/>
            <w:gridSpan w:val="2"/>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29,825,590 shares of common stock</w:t>
            </w:r>
          </w:p>
        </w:tc>
        <w:tc>
          <w:tcPr>
            <w:tcW w:w="0" w:type="dxa"/>
            <w:vAlign w:val="bottom"/>
          </w:tcPr>
          <w:p>
            <w:pPr>
              <w:spacing w:after="0"/>
              <w:rPr>
                <w:sz w:val="1"/>
                <w:szCs w:val="1"/>
                <w:color w:val="auto"/>
              </w:rPr>
            </w:pPr>
          </w:p>
        </w:tc>
      </w:tr>
      <w:tr>
        <w:trPr>
          <w:trHeight w:val="432"/>
        </w:trPr>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shareholder(s) and shareholding </w:t>
            </w:r>
            <w:r>
              <w:rPr>
                <w:rFonts w:ascii="Times New Roman" w:cs="Times New Roman" w:eastAsia="Times New Roman" w:hAnsi="Times New Roman"/>
                <w:sz w:val="18"/>
                <w:szCs w:val="18"/>
                <w:color w:val="auto"/>
              </w:rPr>
              <w:t>Resulticks Global Pte. Limited (100% of all issued and outstanding stock)</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Radhika Sundaram; and</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Rambacthavachalam Dhakshina Moorthy</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year end</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Charges</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Completion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Seller’s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Completion and subject to the Purchaser having complied with its obligations set out in Part 2 of this Schedule:</w:t>
      </w:r>
    </w:p>
    <w:p>
      <w:pPr>
        <w:spacing w:after="0" w:line="225" w:lineRule="exact"/>
        <w:rPr>
          <w:sz w:val="20"/>
          <w:szCs w:val="20"/>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shall deliver to the Purchaser, in respect only of the Sale Shares to be sold by such Seller under this Agreement, as set out against such Seller’s name in column (2) of Part 1 of Schedule 1:</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share transfer form in respect of the transfer of such Sale Shares to the Purchaser, duly executed by such Seller;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share certificate(s) in respect of such Sale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Stamp Duty Documents in respect of such Sale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Centillion Innovations Private Limited, 500 Tuk Tuks L.P, Red Penny Pte. Ltd., Blue Penny Pte. Ltd., Kassnik Pty Ltd and Tiger See Financing Limited shall deliver to the Purchaser, a copy of the minutes of meeting or written resolutions of the board of directors of such Seller (or an extract thereof) (or equivalent authorising resolutions), authorising the execution of and the performance by such Seller of its obligations under this Agreement and each of the other Transaction Documents to which it is a party;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deliver to the Purchaser a copy of the minutes of meeting or written resolutions of the board of directors of each Group Company (or an extract thereof):</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authorising the transfer of the Sale Shares to the Purchaser and the lodgement with ACRA of the necessary forms in order subject to the relevant share transfer forms being duly stamped, update the electronic register of members of the Company in respect of the transfers of the Sale Shares by the Seller to the Purchaser;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cancel the existing share certificates issued to the Sellers in respect of the Sale Shares, and approving the issuance of a new share certificate in respect of the Sale Shares in favour of the Purchaser;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execution of and the performance by the Company of its obligations under the Transaction Documents and each of the other documents to be executed by the Company in connection with the Transaction;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the resignation of the Resigning Directors as directors of such Group Company as are referred to in paragraph 5(a), each such acceptance to take effect at Completion;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as a director of such Group Company one person as the Purchaser may nominate (provided that the Purchaser has notified the Sellers’ Representative of the name of such nominated person no later than fifteen (15) Business Days after the date of this Agreement), such appointment to take effect at Completion;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shall deliver to the Purchaser a deed of termination of the Resulticks Shareholders Agreement in form and substance reasonably satisfactory to the Purchaser, executed by such Seller and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deliver to the Purchaser: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resignation in the agreed form duly executed by each of the Resigning Directors as a director of each relevant Group Company;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objection certificate issued by each of Ascertis Credit – India Fund III Limited and Madison Pacific Trust Limited and each of Anicut and Catalyst Trusteeship Limited in respect of the Transaction;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shall deliver to the Purchaser the Registration Rights and Lock-Up Agreement, substantially in the form as set out in Schedule 8, duly executed by such Seller;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Rambacthavachalam Dhakshina Moorthy shall execute and deliver to the Purchaser undated and unaddressed depository instruction slips (or, where applicable, instruments of transfer) in respect of the shares held by him in each of Marketing Star Tech Services Private Limited, Resulticks Edge Solution Technologies Private Limited and Resulticks Digitals India Private Limited, and any other documents or authorisations reasonably required (including all documents required by the depository or depository participant) to give effect to such transfer;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deliver to the Purchaser a deed of accession, in relation to the Employee Award SPV Seller’s agreement to accede to the terms of this Agreement as if the Employee Award SPV Seller had executed this Agreement as a “Seller”, duly executed by the Employee Award SPV Seller.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Part 2 - Purchaser’s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Completion, the Purchaser shall and subject to the Sellers having complied with their obligations set out in Part 1 of this Schedule:</w:t>
      </w:r>
    </w:p>
    <w:p>
      <w:pPr>
        <w:spacing w:after="0" w:line="225" w:lineRule="exact"/>
        <w:rPr>
          <w:sz w:val="20"/>
          <w:szCs w:val="20"/>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issue the Consideration Shares to the Sellers, and deliver to the Sellers documentary evidence confirming the valid issuance of such shares;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Exercisable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Sellers the Amended Founder Warrant Agreement, duly executed by the parties thereto;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Exercisable Warrants are exercised in full for a total exercise price of USD 30,347,712.77 (notwithstanding anything in the Amended Founder Warrant Agreement), with effect on the Completion Date;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issue 228,441,349 Diginex Shares to RVL in connection with the exercise of the Exercisable Warrants;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Sellers documentary evidence confirming the valid issuance of such shares;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Sellers a copy of the validly signed minutes of meeting or written resolutions of the board of directors of the Purchaser (or an extract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execution of and the performance by the Purchaser of its obligations under this Agreement and each of the other Transaction Documents to which it is a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confirming that, notwithstanding Completion, the business of the Group shall operate in line with any applicable delegated authority framework adopted by the board of directors of the Purchaser and agreed with the Founders;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allotment and issuance of the Consideration Shares to the Sellers in accordance with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execution of and the performance by the Purchaser of the Amended Founder Warrant Agreement;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allotment and issuance of 228,441,349 Diginex Shares to RVL in accordance with the Amended Founder Warrant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updating of the register of members of the Purchaser to reflect each Seller (or its nominee) as the registered holder of its Relevant Proportion of the Consideration Shares, and RVL as the registered holder of 228,441,349 Diginex Shares;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such changes to the board of directors (and any committee of the board of directors), and appointing such executive officer(s) of the Purchaser’s Group, as are necessary to implement the Agreed Technical Expert Board Addition;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Agreed Technical Expert Board Addition are implemented with effect from Completion; 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Sellers the Registration Rights and Lock-Up Agreement, substantially in the form as set out in Schedule 8, duly executed by the Purchaser.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3 – Further Actions by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at Completion, each of the Parties shall exercise its voting rights and all other powers available to it (if any) to ensure that the Company shall make the necessary lodgements with ACRA to, subject to the relevant share transfer forms being duly stamped, update the electronic register of members of the Company maintained by ACRA in respect of the transfers of the Sale Shares by the Sellers to the Purchaser.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Sellers’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Fundamental Warranties</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SELLERS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Each Seller has the necessary right, power and authority to enter into and perform its/his obligations under each of the Transaction Documents to which it is a party. All requisite corporate actions on behalf of the Sellers have been taken to duly authorise the execution, delivery and performance of the Transaction Documents to which it is a party. This Agreement has been, and the other Transaction Documents to which such Seller is a party will be when executed, duly executed and delivered by the Seller and, assuming due execution and delivery by each of the other parties thereto, constitutes legal, valid and binding obligations on the Seller, enforceable against it/him in accordance with its respective terms.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Each Seller which is not a natural person is duly incorporated and validly existing under its laws of incorporation. Each such Seller has full corporate power and authority to carry on its business as it is now being conducted and to own the assets it now owns.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Neither the entry into the Transaction Documents nor the implementation of the transactions contemplated by the Transaction Documents by each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will:</w:t>
      </w:r>
    </w:p>
    <w:p>
      <w:pPr>
        <w:spacing w:after="0" w:line="207"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Seller who is not a natural person) violate or conflict with the provisions of its constitutional documents;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a violation or breach of any Applicable Law;</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a violation or default with respect to any relevant order, decree or judgment of any court or any Governmental Authority in any jurisdiction to which such Seller is a party or by which such Seller is bound;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or give any third party a right to terminate or modify, or result in the creation of any Encumbrance under, any agreement, licence or other instrument to which such Seller is a party or by which such Seller is bound;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licence or authorisation of, or notice to, any Governmental Authority (other than those set forth in Clause 4.1(a)).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Each Seller warrants:</w:t>
      </w:r>
    </w:p>
    <w:p>
      <w:pPr>
        <w:spacing w:after="0" w:line="225" w:lineRule="exact"/>
        <w:rPr>
          <w:sz w:val="20"/>
          <w:szCs w:val="20"/>
          <w:color w:val="auto"/>
        </w:rPr>
      </w:pPr>
    </w:p>
    <w:p>
      <w:pPr>
        <w:jc w:val="both"/>
        <w:ind w:left="1300" w:right="20" w:hanging="644"/>
        <w:spacing w:after="0" w:line="255"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the Seller is a natural person) no action, suit, proceeding, litigation or dispute against him is presently taking place or pending or, to the best of such Seller’s knowledge, threatened which would or might reasonably be expected to inhibit his ability to perform his obligations under this Agreement or any other Transaction Documents to which he is a party. No order has been made or petition presented with respect to his bankruptcy, and no trustee in bankruptcy (or equivalent) has been appointed in respect of all or any of his assets and he is not subject to any analogous proceedings, appointments or arrangements under the laws of any applicable jurisdiction. To the best of such Seller’s knowledge, no steps have been taken to initiate any such appointment. He is not acting as nominee, agent, trustee or representative of any other person in respect of the Sale Shares held by him;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the Seller is not a natural person) no action, suit, proceeding, litigation or dispute against it is presently taking place or pending or, to the best of such Seller’s knowledge, threatened which would or might reasonably be expected to inhibit its ability to perform its obligations under this Agreement or any other Transaction Documents to which it is a party. No order has been made or petition presented with respect to its insolvency, and no trustee in insolvency (or equivalent) has been appointed in respect of all or any of its assets and it is not subject to any analogous proceedings, appointments or arrangements under the laws of any applicable jurisdiction. To the best of such Seller’s knowledge, no steps have been taken to initiate any such appointment. It is not acting as nominee, agent, trustee or representative of any other person in respect of the Sale Shares held by it.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the sole legal and beneficial owner of the Sale Shares listed against that Seller’s name in column (2) of Part 1 of Schedule 1 and that it/he will on Completion be legally and beneficially entitled to or is otherwise able to transfer all the legal and beneficial ownership to such Sale Shares held by it to the Purchaser under this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Shares held by each Seller (as listed against that Seller’s name in column (2) of Part 1 of Schedule 1) will on Completion be free from any Encumbrances.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agreements, trust arrangements, pre-emption rights, or rights of first refusal in relation to the Sale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Shares Allotted and Fully Paid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of the Sale Shares held by it/him are validly allotted, issued and fully paid or properly credited as fully paid and there is no liability to pay any additional contributions on any of the Sale Shares held by it/him.</w:t>
      </w:r>
    </w:p>
    <w:p>
      <w:pPr>
        <w:spacing w:after="0" w:line="158"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INSOLVENCY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Insolvency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is not insolvent or unable to pay its or his debts, and has not stopped paying its or his debts as they fall due.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No Winding Up</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order has been made, petition presented or resolution passed for the winding up, bankruptcy or dissolution of any Group Company or the Seller or for the appointment of any provisional liquidator. No petition has been presented for an administration order to be made in relation to such Seller, and no judicial manager, administrator or receiver (including any administrative receiver) has been appointed in respect of the property, assets and/or undertaking of such Seller.</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No Composition</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No composition in satisfaction of the debts of the Seller or scheme of arrangement or compromise between it and its creditors and/or members by reason of insolvency has been proposed, sanctioned or approved.</w:t>
      </w:r>
    </w:p>
    <w:p>
      <w:pPr>
        <w:spacing w:after="0" w:line="158"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THE SHARES AND THE SUBSIDIARIES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Incorporation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Group Company is duly incorporated and validly existing and has all requisite power and capacity to conduct its business as presently conducted.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Sale Shares constitute the whole of the issued share capital of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Freedom from Encumbrances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Save in respect of any Encumbrances pursuant to the Ascertis Facilities Documents and the India Facilities Documents, all of the shares of each Group Company will at Completion be free from and unaffected by any Encumbrance.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No Options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Save for the Resulticks Shareholders Agreement and the India Facilities Documents, there are in existence no rights to or options for the issue, allotment or transfer of any loan or share capital of any Group Company, nor any rights to convert any loan or share capital into share capital or share capital with a different description.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The Group</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out in Schedule 2 is true and accurate in all material respects. The shareholders specified in Part 2 of Schedule 2 are the sole legal and beneficial owners of the shares in the companies specified in Part 2 of Schedule 2 and have the right to exercise all voting and other rights over such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companies specified in Part 2 of Schedule 2 comprise the whole of the issued and allotted shares in such companies, have been properly and validly issued and allotted and each are fully paid or credited as fully paid.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2 of Schedule 2 lists all the Subsidiaries and no Group Company has any interest in or right to acquire any interest in any other body corporate, partnership, unincorporated association or undertaking.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2 – Non-Fundamental Warranties</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CONSTITUTIONAL MATTERS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Constitutional Documents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copies of the constitution of each Group Company provided in the Data Room are complete and accurate and there have not been and are not any material breaches by any Group Company of its constitution.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Registers</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registers and statutory books and records of each Group Company which are required to be maintained under Applicable Law are, in all material respects, up-to-date, are maintained in accordance with Applicable Law and contain complete and accurate records of all matters required to be dealt with in such books and records.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financial statements, documents and returns required by Applicable Law to be delivered or made by each Group Company have been delivered or made.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Accounts</w:t>
      </w:r>
    </w:p>
    <w:p>
      <w:pPr>
        <w:spacing w:after="0" w:line="221" w:lineRule="exact"/>
        <w:rPr>
          <w:sz w:val="20"/>
          <w:szCs w:val="20"/>
          <w:color w:val="auto"/>
        </w:rPr>
      </w:pPr>
    </w:p>
    <w:p>
      <w:pPr>
        <w:ind w:left="1300" w:hanging="644"/>
        <w:spacing w:after="0" w:line="286"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have been prepared in accordance with Applicable Law and SFRS (the “</w:t>
      </w:r>
      <w:r>
        <w:rPr>
          <w:rFonts w:ascii="Times New Roman" w:cs="Times New Roman" w:eastAsia="Times New Roman" w:hAnsi="Times New Roman"/>
          <w:sz w:val="18"/>
          <w:szCs w:val="18"/>
          <w:b w:val="1"/>
          <w:bCs w:val="1"/>
          <w:color w:val="auto"/>
        </w:rPr>
        <w:t>Relevant Accounting Standards</w:t>
      </w:r>
      <w:r>
        <w:rPr>
          <w:rFonts w:ascii="Times New Roman" w:cs="Times New Roman" w:eastAsia="Times New Roman" w:hAnsi="Times New Roman"/>
          <w:sz w:val="18"/>
          <w:szCs w:val="18"/>
          <w:color w:val="auto"/>
        </w:rPr>
        <w:t>”) and on a basis consistent with that adopted in preparing the audited financial statements of the Group for the previous three (3) financial years.</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give a true and fair view of the assets, liabilities and state of affairs of the Group at the Accounts Date and of the financial condition, cash flow and profits and losses of the Group for the accounting period to which they relate.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Accounts Date, the Accounts make provision for all actual liabilities, disclose all contingent liabilities and make provision reasonably regarded as adequate for all bad and doubtful debts in accordance with the Relevant Accounting Standards.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Management Accounts</w:t>
      </w:r>
    </w:p>
    <w:p>
      <w:pPr>
        <w:spacing w:after="0" w:line="221" w:lineRule="exact"/>
        <w:rPr>
          <w:sz w:val="20"/>
          <w:szCs w:val="20"/>
          <w:color w:val="auto"/>
        </w:rPr>
      </w:pPr>
    </w:p>
    <w:p>
      <w:pPr>
        <w:ind w:left="1300" w:hanging="644"/>
        <w:spacing w:after="0" w:line="28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 of the Group as at 31 December 2025 (the “</w:t>
      </w:r>
      <w:r>
        <w:rPr>
          <w:rFonts w:ascii="Times New Roman" w:cs="Times New Roman" w:eastAsia="Times New Roman" w:hAnsi="Times New Roman"/>
          <w:sz w:val="18"/>
          <w:szCs w:val="18"/>
          <w:b w:val="1"/>
          <w:bCs w:val="1"/>
          <w:color w:val="auto"/>
        </w:rPr>
        <w:t>Management Accounts</w:t>
      </w:r>
      <w:r>
        <w:rPr>
          <w:rFonts w:ascii="Times New Roman" w:cs="Times New Roman" w:eastAsia="Times New Roman" w:hAnsi="Times New Roman"/>
          <w:sz w:val="18"/>
          <w:szCs w:val="18"/>
          <w:color w:val="auto"/>
        </w:rPr>
        <w:t>”) have been prepared in accordance with accounting policies used in preparing the Accounts applied on a consistent basis.</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 having regard to the fact that they have not been audited and that they have not been subject to year-end adjustments, do not materially misstate the assets and liabilities of the Group as at 31 December 2025 nor the financial condition, cash flow and profits and losses of the Group for the accounting period to which they relate.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31 December 2025, the Management Accounts make provision for all actual liabilities, disclose all contingent liabilities and make provision reasonably regarded as adequate for all bad and doubtful debts.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left="660" w:right="7100" w:hanging="652"/>
        <w:spacing w:after="0" w:line="503" w:lineRule="auto"/>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SINCE THE ACCOUNTS DATE </w:t>
      </w:r>
      <w:r>
        <w:rPr>
          <w:rFonts w:ascii="Times New Roman" w:cs="Times New Roman" w:eastAsia="Times New Roman" w:hAnsi="Times New Roman"/>
          <w:sz w:val="18"/>
          <w:szCs w:val="18"/>
          <w:color w:val="auto"/>
        </w:rPr>
        <w:t>Since the Accounts Date:</w:t>
      </w:r>
    </w:p>
    <w:p>
      <w:pPr>
        <w:ind w:left="1300" w:hanging="644"/>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carried on its business in the ordinary and usual course;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event, occurrence or circumstance which results in a Company Material Adverse Change;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suffered any material damage, destruction or other casualty affecting any of its material properties or assets, whether or not covered by insurance;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taken any action that, if taken after the date of this Agreement, would constitute a breach of any of the covenants set forth in Clause 5.1.</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OBLIGATIONS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Indebtedness</w:t>
      </w:r>
    </w:p>
    <w:p>
      <w:pPr>
        <w:spacing w:after="0" w:line="225" w:lineRule="exact"/>
        <w:rPr>
          <w:sz w:val="20"/>
          <w:szCs w:val="20"/>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all financial facilities (including loans, derivatives and hedging arrangements) outstanding or available to the Group (the “</w:t>
      </w:r>
      <w:r>
        <w:rPr>
          <w:rFonts w:ascii="Times New Roman" w:cs="Times New Roman" w:eastAsia="Times New Roman" w:hAnsi="Times New Roman"/>
          <w:sz w:val="18"/>
          <w:szCs w:val="18"/>
          <w:b w:val="1"/>
          <w:bCs w:val="1"/>
          <w:color w:val="auto"/>
        </w:rPr>
        <w:t>Existing Facilities</w:t>
      </w:r>
      <w:r>
        <w:rPr>
          <w:rFonts w:ascii="Times New Roman" w:cs="Times New Roman" w:eastAsia="Times New Roman" w:hAnsi="Times New Roman"/>
          <w:sz w:val="18"/>
          <w:szCs w:val="18"/>
          <w:color w:val="auto"/>
        </w:rPr>
        <w:t>”) are given in the Disclosure Letter.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any written notice that an event of default has occurred and is outstanding under the terms of the Existing Facilities. To the best of the Seller’s knowledge, save as Disclosed, no Group Company has breached or is in breach of the terms of the Existing Facilities and no event that would entitle any third party to call for repayment of any of the Existing Facilities prior to scheduled maturity has occurred.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factored any of its debts or (other than operating leases) engaged in financing of a type which would not be required to be shown or reflected in the Accounts or the Management Accounts.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Guarantees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Other than in the ordinary and usual course of business and/or under the Existing Facilities, there is no outstanding guarantee, indemnity, suretyship or security (whether or not legally binding) given by any Group Company or for the benefit of any Group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No Undisclosed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There are no material liabilities, whether actual or contingent, of any Group Company other than liabilities disclosed or provided for in the Accounts, liabilities incurred in the ordinary and usual course of business since the Accounts Date or liabilities disclosed elsewhere in or contemplated under this Agreement or the Disclosure Letter.</w:t>
      </w:r>
    </w:p>
    <w:p>
      <w:pPr>
        <w:spacing w:after="0" w:line="172"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Real Property</w:t>
      </w:r>
    </w:p>
    <w:p>
      <w:pPr>
        <w:spacing w:after="0" w:line="225"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comprise all the premises and land presently leased, occupied or otherwise used in connection with the businesses of each Group Company or in which any Group Company has an interest in respect of any real property.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are occupied or used under lease or licence and the terms of any such lease or licence permit such occupation and use in the manner currently occupied or used by any Group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Property is occupied on a leasehold basis, a Group Company is solely legally and beneficially entitled to occupy that Property.</w:t>
      </w:r>
    </w:p>
    <w:p>
      <w:pPr>
        <w:spacing w:after="0" w:line="225" w:lineRule="exact"/>
        <w:rPr>
          <w:rFonts w:ascii="Times New Roman" w:cs="Times New Roman" w:eastAsia="Times New Roman" w:hAnsi="Times New Roman"/>
          <w:sz w:val="18"/>
          <w:szCs w:val="18"/>
          <w:color w:val="auto"/>
        </w:rPr>
      </w:pPr>
    </w:p>
    <w:p>
      <w:pPr>
        <w:ind w:left="1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any written notice of any material subsisting breach.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owns any real property.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Ownership of Assets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assets included in the Accounts or acquired by any Group Company or which have otherwise arisen since the Accounts Date, other than any assets disposed of or realised in the ordinary and usual course of business:</w:t>
      </w:r>
    </w:p>
    <w:p>
      <w:pPr>
        <w:spacing w:after="0" w:line="162"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legally and beneficially owned by the relevant Group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where capable of possession, in the possession or under the control of the relevant Group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from Encumbrances;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the subject of any factoring arrangement, conditional sale or credit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Sufficiency of Assets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best of the Seller’s knowledge, the property, rights and assets owned, leased or otherwise used by the Group comprise all the property, rights and assets necessary for the carrying on of the business of each Group Company substantially in the manner in, and to the extent to, which it is presently conducted.</w:t>
      </w:r>
    </w:p>
    <w:p>
      <w:pPr>
        <w:spacing w:after="0" w:line="172"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IP is either legally and beneficially owned by a Group Company or lawfully used with the consent of the owner under a licence.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all Owned Business IP is not being infringed or attacked or opposed by any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Owned Business IP is not subject to any Encumbrance or any licence or authority in favour of another person, other than a Group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no claims have been made and no intellectual property applications are pending which if pursued or granted might be material to the truth and accuracy of the statements in paragraphs 6.1(a) to 6.1(c) above.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Registered Intellectual Property</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Disclosure Letter contains accurate and current details of all Owned Business IP that are registered or the subject of applications for registration and, to the best of the Seller’s knowledge, all renewal fees which are due and steps which are required for their maintenance and protection have been paid and taken.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Validity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Owned Business IP is (or, in the case of pending applications, will be) valid and enforceable.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Infringement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 the best of the Seller’s knowledge, the processes employed and the products and services dealt in by each Group Company both now and at any time within the last three years do not and did not infringe any rights or interests of third parties in Intellectual Property in any material respects and no Group Company has received any written notices alleging that the activities of such Group Company infringe any such rights or interests of any third party.</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Licensed Business IP</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respect of the several licences and agreements relating to the Licensed Business IP (including all amendments, novations, supplements or replacements to those licences and agreements):</w:t>
      </w:r>
    </w:p>
    <w:p>
      <w:pPr>
        <w:spacing w:after="0" w:line="162"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 full force and effect, no written notice having been given or received by a Group Company to terminate them;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no circumstances exist which would entitle a party to terminate or vary them;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Group have been complied with in all material respects.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Know-How</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There has been and is no misuse of Know-how by any Group Company and no Seller has made any disclosure of Know-how to any person other than the Purchaser, except in the ordinary and usual course of business and on the basis that such disclosure is to be treated as being of a confidential character.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Information Technology</w:t>
      </w:r>
    </w:p>
    <w:p>
      <w:pPr>
        <w:spacing w:after="0" w:line="22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Business IT is owned by or licensed to the relevant Group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the Business IT is in reasonable working order in all material respects and have been regularly maintained and supported.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services relating to, and licences of, Business IT are, and have been throughout the last three years, provided under written contracts with the relevant Group Company. Such contracts are: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full force and effect, no notice having been given by either side to terminate them;</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no circumstances exist or have existed which would entitle a party to terminate them, vary them and/or make a claim for money or a money equivalent in respect of them;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relevant Group Company and, to the best of the Seller’s knowledge, the obligations of the relevant counterparties to such contracts, have been complied with in all material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there is no claim, legal action or proceeding involving any Group Company in respect of those contracts.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in the past three years there have been, no performance reductions or breakdowns of, or logical or physical intrusions to, or software virus infection of, any Information Technology or losses of data which have had (or are having) a material adverse effect on the business of any Group Company and the Seller is not aware of any fact or matter which may give rise to such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each Group Company has in place procedures which are reasonably adequate in accordance with prevailing industry standards: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prevent unauthorised access to and the introduction of viruses and other contaminants into the Business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and store on-site and off-site back-up copies of the software and data in the Business IT;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the business of the Group Companies can continue without material disruption in the event of breakdown or performance reduction of the Business IT or loss of data, whether due to natural disaster, power failure or otherwise.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not incorporated any open-source software into any of their products or services in a manner that would (i) require the disclosure or distribution of any source code owned by a Group Company, (ii) require licensing of any such source code on a royalty-free or open-source basis, or (iii) otherwise limit the Group Companies’ ability to use or commercialise such products or services. The Group Companies have complied in all material respects with all open-source licences applicable to any open-source software used in their products or services. No Group Company has received any written notice alleging a breach or non-compliance with any such open-source licence.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left="1300" w:hanging="644"/>
        <w:spacing w:after="0" w:line="26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in place disaster recovery plans to ensure that data stored on the Business IT can be replaced or substituted without disruption to the Group in the event of a failure of any part of the Business IT (whether due to natural disaster, power failure or otherwise). All such data has been regularly archived in properly stored, catalogued and secure hard copy form.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in place procedures for protecting the Business IT from infection by software viruses and from access by unauthorised persons. The Group operates a documented procedure to avoid virus infections and unauthorised access which is appropriate to a business of its nature and size.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Material Contracts</w:t>
      </w:r>
    </w:p>
    <w:p>
      <w:pPr>
        <w:spacing w:after="0" w:line="225" w:lineRule="exact"/>
        <w:rPr>
          <w:sz w:val="20"/>
          <w:szCs w:val="20"/>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written Material Contracts (other than any Material Contracts entered into between the date of this Agreement and Completion in accordance with Clause 5.2(c)(iii) and/or 5.2(c)(iv)) are provided in the Data Room.</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in material default or breach under any Material Contract and, to the best of the Seller’s knowledge, no other party to a Material Contract is in material default or breach under such Material Contract.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Contract has been terminated (except where such Material Contract has automatically terminated in accordance with its terms, other than by breach thereof) and to the best of the Seller’s knowledge, there are no grounds for recission, avoidance or repudiation or likely to give rise to termination and no written notice of termination or of intention to terminate has been received or served by any Group Company.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Contracts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Group Company is a party to or subject to any contract, transaction, arrangement, understanding or obligation which:</w:t>
      </w:r>
    </w:p>
    <w:p>
      <w:pPr>
        <w:spacing w:after="0" w:line="225"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the ordinary and usual course of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wholly on an arm’s length basis;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its freedom to carry on its business in any part of the world in such manner as it thinks fit.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7"/>
          <w:szCs w:val="17"/>
          <w:color w:val="auto"/>
        </w:rPr>
        <w:t>Brokers and Fees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 Seller nor any person acting on its behalf has incurred any liability to pay any broker’s, finder’s, or adviser’s fee or commission in connection with the sale of the Sale Shares to the Purchaser. No such fee or commission is or will become payable by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Related Party Arrangements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has not entered into any contract, arrangements, agreements or transactions with any of the Sellers or their Affiliates, other than the Resulticks Shareholders’ Agreement and any employment or services agreements entered into in the ordinary course of business.</w:t>
      </w:r>
    </w:p>
    <w:p>
      <w:pPr>
        <w:spacing w:after="0" w:line="15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Terms of Employment</w:t>
      </w:r>
    </w:p>
    <w:p>
      <w:pPr>
        <w:spacing w:after="0" w:line="225"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Templates of the standard form employment contract for employees of the Group are set out in the Data Room.</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Anonymised particulars of the job titles, dates of commencement of employment, engagement (or appointment to office), contracts and terms of engagement, terms and conditions of employment and remuneration, benefits and emoluments (including any loan arrangement, bonus, commission, profit sharing, share and other incentive schemes) of all the Senior Employees are set out in Data Room. There are no outstanding offers of employment to any person who would be a Senior Employee if engaged.</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left="1300" w:hanging="644"/>
        <w:spacing w:after="0" w:line="261"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details of the principal terms of employment and/or engagement and anonymised particulars (for the avoidance of doubt including location, job title, date of commencement of employment and/or engagement, details of salary, bonus, commission, incentives and benefits as well as status in respect of long term leave of any kind) of all other employees, consultants and workers of the Group are set out in the Data Room.</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individuals employed or engaged by the Group who require permission to work in the country in which they work has the necessary permission under Applicable Law to work in such country.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changes to the employment terms or conditions of any Senior Employee have been made, announced or proposed in the twelve (12) months prior to the date of this Agreement, nor has any such change been promised or proposed to any such individual in writing by any Group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Termination of Employment</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Senior Employee has given any written notice terminating contract of employment or is under notice of dismissal. There have been no written proposals to terminate the employment of any Senior Employee.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Payroll</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at the last payroll date prior to the date of this Agreement, the salaries and wages and other benefits (other than holiday pay) of employees, all related payments to third party benefit providers and all related payments to the relevant authorities (save such payments made during the month following the payroll period in the ordinary course of business consistent with past practice) had been paid or discharged in full or properly accrued where due. No Senior Employee owes any amount to any Group Company in respect of any loans or advances by any Group Company to such Senior Employee.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Trade Union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trade union, works council and/or other employee representative body has been recognized or established by the Group and there are no outstanding proposals for the recognition or establishment of any trade unions, works councils and/or other employee representative bodies in relation to the Group. No Group Company is a party to any collective bargaining agreement and has no standing arrangement with any employee representative body, in each case, relating to redundancies, remuneration or other benefits.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Disputes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current dispute or proceeding between any Group Company and any individual employed or engaged (or formerly employed or engaged) by any Group Company that would be expected to result in a material liability to any Group Company, and there is no current dispute between any Group Company and any trade union, nor has any such dispute been threatened to a Group Company that would be expected to result in a material liability to any Group Company.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claim against any Group Company by a Senior Employee arising out of or relating to their employment with such Group Company, nor, to the best of the Seller’s knowledge, has any such claim been threatened by a Senior Employee.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Pension Schemes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Save in respect of any state social security arrangements, no Group Company has an obligation to provide, or contribute towards, or has any actual or contingent liability in respect of, any scheme or arrangement which provides or will or may provide pension, death, retirement, lump-sum, ill-health, disability, accident or other benefits in respect of any individual employed or engaged (or formerly employed or engaged) by any Group Company or in each case their dependents and no promise or assurance has been given to any current or former employee or director of any Group Company that his benefits will be calculated by reference to a minimum amount or defined level of benefit.</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COMPLIANCE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Licenses and Consents</w:t>
      </w:r>
    </w:p>
    <w:p>
      <w:pPr>
        <w:spacing w:after="0" w:line="221" w:lineRule="exact"/>
        <w:rPr>
          <w:sz w:val="20"/>
          <w:szCs w:val="20"/>
          <w:color w:val="auto"/>
        </w:rPr>
      </w:pPr>
    </w:p>
    <w:p>
      <w:pPr>
        <w:ind w:left="1300" w:hanging="644"/>
        <w:spacing w:after="0" w:line="286"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licences, consents and authorisations material to the business of the Group (“</w:t>
      </w:r>
      <w:r>
        <w:rPr>
          <w:rFonts w:ascii="Times New Roman" w:cs="Times New Roman" w:eastAsia="Times New Roman" w:hAnsi="Times New Roman"/>
          <w:sz w:val="18"/>
          <w:szCs w:val="18"/>
          <w:b w:val="1"/>
          <w:bCs w:val="1"/>
          <w:color w:val="auto"/>
        </w:rPr>
        <w:t>Licences</w:t>
      </w:r>
      <w:r>
        <w:rPr>
          <w:rFonts w:ascii="Times New Roman" w:cs="Times New Roman" w:eastAsia="Times New Roman" w:hAnsi="Times New Roman"/>
          <w:sz w:val="18"/>
          <w:szCs w:val="18"/>
          <w:color w:val="auto"/>
        </w:rPr>
        <w:t>”) have been obtained, are in full force and effect and have been and are being complied with in all material respects.</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there is no investigation, enquiry or proceeding outstanding or anticipated which is likely to result in the suspension, cancellation, modification or revocation of any Licence.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Licences has been breached or, to the best of the Seller’s knowledge, is likely to be suspended, modified or revoked or not renewed (whether as a result of the entry into or completion of this Agreement or otherwise).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each Group Company is conducting, and during the three year period prior to Completion has conducted, the business of the Group in material compliance with Applicable Law and no Group Company is, or during the three year period prior to Completion has been, in material breach of any such Applicable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there is no investigation, disciplinary proceeding or inquiry by, or order, decree, decision or judgment of, any court, tribunal, arbitrator, governmental agency or regulatory body outstanding against any Group Company which has had or may reasonably be expected to have a material adverse effect upon the assets or business of the Group.</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any written notice or other communication (official or otherwise) during the past 12 months from any court, tribunal, arbitrator, governmental agency or regulatory body with respect to an alleged, actual or potential violation and/or failure to comply with any such Applicable Law, bye-law or regulation, or requiring it to take or omit any action which in any case has had or may have a material adverse effect on the business of the Group.</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CONTROLS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Group has established and maintains, adheres to and enforces internal compliance functions, and financial and reporting controls and procedures, each of which comply with Applicable Laws and, to the best of the Seller’s knowledge, are effective in providing reasonable assurance:</w:t>
      </w:r>
    </w:p>
    <w:p>
      <w:pPr>
        <w:spacing w:after="0" w:line="176" w:lineRule="exact"/>
        <w:rPr>
          <w:sz w:val="20"/>
          <w:szCs w:val="20"/>
          <w:color w:val="auto"/>
        </w:rPr>
      </w:pPr>
    </w:p>
    <w:p>
      <w:pPr>
        <w:ind w:left="1300" w:hanging="644"/>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material information required to be disclosed by any Group Company under Applicable Law is recorded, processed, summarised and reported within the time periods specified by Applicable Laws;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reliability of financial reporting and the preparation of financial statements by the relevant Group Company and the Group (on a consolidated basis) in accordance with Applicable Laws and the Relevant Accounting Standards.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During the three-year period prior to Completion, no Group Company nor, to the best of the Seller’s knowledge, any Group Company’s auditors have identified or been made aware of:</w:t>
      </w:r>
    </w:p>
    <w:p>
      <w:pPr>
        <w:spacing w:after="0" w:line="162" w:lineRule="exact"/>
        <w:rPr>
          <w:sz w:val="20"/>
          <w:szCs w:val="20"/>
          <w:color w:val="auto"/>
        </w:rPr>
      </w:pPr>
    </w:p>
    <w:p>
      <w:pPr>
        <w:ind w:left="1300" w:right="20" w:hanging="644"/>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deficiency or material weakness, in each case which has not been subsequently fully remedied, in the system of internal control over financial reporting utilised by the Group Companies;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that involves the management or other employees of any Group Company who have a role in the preparation of financial statements with reporting oversight or the internal control over the financial reporting utilised by the Group Companies.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229"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Each Group Company has in the past three years complied, and is in compliance, with all applicable Data Protection Laws in the collection, use, storage, disclosure, transfer, and other processing of Personal Data, including (where applicable) requirements relating to registration or notification, payments of fees, maintenance of records, obtaining and recording consents, providing privacy notices, responding to valid requests by data subjects to exercise their rights, and cross-border data transfers.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Each Group Company has implemented and maintains appropriate technical and organisational measures designed to protect Personal Data against unauthorised or unlawful processing, accidental loss, destruction or damage, and such measures are materially compliant with applicable Data Protection Laws and generally accepted industry standards.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Where any third party (including a processor or sub-processor) processes Personal Data on behalf of a Group Company, such processing is, and has been, governed by a written contract that complies with the requirements of applicable Data Protection Laws. All transfers of Personal Data by any Group Company outside the jurisdiction of origin have been conducted in material compliance with applicable Data Protection Laws.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Each Group Company maintains written data protection and information security policies appropriate to the nature and volume of the Personal Data it processes, and, where required by applicable Data Protection Laws, has appointed a data protection officer, and ensures that relevant employees have received training on data protection and information security obligations.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In the three-year period prior to Completion, no Group Company:</w:t>
      </w:r>
    </w:p>
    <w:p>
      <w:pPr>
        <w:spacing w:after="0" w:line="225" w:lineRule="exact"/>
        <w:rPr>
          <w:sz w:val="20"/>
          <w:szCs w:val="20"/>
          <w:color w:val="auto"/>
        </w:rPr>
      </w:pPr>
    </w:p>
    <w:p>
      <w:pPr>
        <w:ind w:left="1300" w:hanging="644"/>
        <w:spacing w:after="0"/>
        <w:tabs>
          <w:tab w:leader="none" w:pos="13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experienced or been notified of any Personal Data breach or other security incident involving Personal Data;</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any written complaint, enquiry, notice or claim (including from any regulator, data subject or customer) concerning its collection, processing or use of Personal Data that remains unresolved;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any pending or, to the best of the Seller’s knowledge, threatened investigation, audit or proceeding (whether of a criminal, civil or administrative nature) relating to Personal Data.</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Particulars of Insurance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Full particulars of the insurances of the Group Companies material to the business of the Group are contained in the Data Room.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Details of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respect of the insurances referred to in paragraph 12.1:</w:t>
      </w:r>
    </w:p>
    <w:p>
      <w:pPr>
        <w:spacing w:after="0" w:line="22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and any related insurance premium taxes have been duly paid to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policies are in full force and effect;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circumstances have arisen which would render any of the policies void or unenforceable for illegality or otherwise.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7"/>
          <w:szCs w:val="17"/>
          <w:color w:val="auto"/>
        </w:rPr>
        <w:t>Claims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insurance claim is outstanding and, to the best of the Seller’s knowledge. no circumstances exist which are likely to give rise to any insurance claim.</w:t>
      </w:r>
    </w:p>
    <w:p>
      <w:pPr>
        <w:spacing w:after="0" w:line="158"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Current Proceedings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Group Company is involved whether as claimant or defendant or other party in any claim, legal action, proceeding, suit, litigation, prosecution, investigation, enquiry, mediation or arbitration (other than as claimant in the collection of debts arising in the ordinary and usual course of its business) which is material to the business of the Group.</w:t>
      </w:r>
    </w:p>
    <w:p>
      <w:pPr>
        <w:spacing w:after="0" w:line="17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Pending or Threatened Proceedings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the best of the Seller’s knowledge, no claim, legal action, proceeding, suit, litigation, prosecution, investigation, enquiry, mediation or arbitration of material importance is pending or threatened by or against any Group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Circumstances likely to lead to Claims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the best of the Seller’s knowledge, there are no investigations, disciplinary proceedings or other circumstances likely to lead to any such claim or legal action, proceeding, suit, litigation, prosecution, mediation or arbitration.</w:t>
      </w:r>
    </w:p>
    <w:p>
      <w:pPr>
        <w:spacing w:after="0" w:line="158"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14.1    To the best of the Sellers’ knowledge, all material returns, notifications, registrations, assessments, accounts, computations, notices and all other material information required by Applicable Law to have been made or submitted to any Tax Authority by each Group Company in the last three</w:t>
      </w:r>
    </w:p>
    <w:p>
      <w:pPr>
        <w:ind w:left="660" w:hanging="4"/>
        <w:spacing w:after="0" w:line="260" w:lineRule="auto"/>
        <w:tabs>
          <w:tab w:leader="none" w:pos="92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for any Tax purpose, have been made or submitted within the applicable time limits and remain complete and accurate in all material respects.</w:t>
      </w:r>
    </w:p>
    <w:p>
      <w:pPr>
        <w:spacing w:after="0" w:line="181"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All material Tax for which each Group Company has, within the last three (3) years, been liable to account has been paid insofar as such Tax ought to have been paid in accordance with Applicable Law.</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No Group Company has, within the last three (3) years, entered into any concession, agreement or arrangement with a Tax Authority pursuant to which a Group Company has been authorised not to comply with what, but for such concession, agreement or arrangement, would be its statutory obligation.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No Group Company has in the last three (3) years been involved in any dispute with or investigation, audit or enquiry by any Tax Authority (in each case other than routine enquiries). No Group Company has received any written notice that it is subject to any dispute, investigation, audit or enquiry by a Tax Authority of a non-routine nature.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No Group Company is a party to any Tax sharing arrangement with any person other than another Group Company pursuant to which it will have any obligation to make any Tax payments after the Completion Date.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Each Group Company has been resident for tax purposes in its country of incorporation and nowhere else at all times since its incorporation and will be so resident at Completion.</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None of the Group Companies has since its incorporation engaged in, or been a party to, any transaction or series of transactions or scheme or arrangement of which the main purpose, or one of the main purposes, was or could be said to be the avoidance of, or deferral of or a reduction in the liability to, Tax.</w:t>
      </w:r>
    </w:p>
    <w:p>
      <w:pPr>
        <w:spacing w:after="0" w:line="172"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ANTI-CORRUPTION, SANCTIONS AND ANTI-MONEY LAUNDERING</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Each Seller warrants that neither it nor any Group Company or (to the best of such Seller’s knowledge) any Agents of any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Each Seller warrants that neither it nor any Group Company or (to the best of such Seller’s knowledge) any Agents of any Group Company, is a Government Official.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Each Seller warrants that no Government Official or Governmental Authority presently controls or owns an interest, whether direct or indirect, in itself nor any Group Company or (to the best of such Seller’s knowledge) any Agents of any Group Company, or has any legal or beneficial interest in the same.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Each Seller warrants that neither it nor any Group Company or (to the best of such Seller’s knowledge) any Agent of any Group Company:</w:t>
      </w:r>
    </w:p>
    <w:p>
      <w:pPr>
        <w:spacing w:after="0" w:line="225"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Restricted Party;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written notice of or is aware of any claim, action, suit, proceeding or investigation against it with respect to Sanctions by any Sanctions Authority.</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The Group operates procedures in line with generally accepted industry standards designed to ensure compliance (and otherwise in accordance) with all applicable Anti-Corruption Laws, Sanctions or Anti-Money Laundering Regulations.</w:t>
      </w:r>
    </w:p>
    <w:p>
      <w:pPr>
        <w:spacing w:after="0" w:line="15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TRANSACTION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Other than in relation to the Ascertis Facilities Documents and the India Facilities Documents, 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p>
      <w:pPr>
        <w:spacing w:after="0" w:line="176" w:lineRule="exact"/>
        <w:rPr>
          <w:sz w:val="20"/>
          <w:szCs w:val="20"/>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Group Company to lose the benefit of any right or privilege it presently enjoys which is material to the Business;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any person to terminate any right or benefit enjoyed by any Group Company, or to exercise any right in respect of any Group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crystallise, or cause to become exercisable or enforceable, any right of pre-emption or other Encumbrance over the Sale Shares or any shares in any other Group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Seller’s knowledge, result in any customer or supplier becoming entitled to, or cause any customer or supplier to, cease dealing with any Group Company or to substantially reduce its existing level of business or to change the terms on which it deals with any Group Company or otherwise (to the best of the Seller’s knowledge) adversely affect the attitude or action of any customer or supplier in respect of the Group;</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or constitute a default under any Material Contract (or any present or future Indebtedness of any Group Company becoming due and payable, or capable of being declared due and payable, prior to its stated maturity date or in any of the Existing Facilities being withdrawn);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person to acquire or affect the entitlement of any person to acquire shares in the Company or any other Group Company.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DISCLOSURE AND ACCURACY OF INFORMATION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information contained in this Agreement, the Data Room and the Disclosure Letter is true and accurate in all material respects, and the Sellers are not aware of any fact or matter or circumstances not disclosed which renders any such information untrue or inaccurate in any material respect.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Seller understands and acknowledges that (A) the Consideration Shares are being issued in reliance upon an exemption from registration afforded by Regulation S promulgated under the Securities Act (or other applicable exemption from the registration requirements under the Securities Act), and that such shares have not been registered with any state securities commission or authority; and (B) pursuant to the requirements of Regulation S, the shares may not be transferred, sold or otherwise exchanged, unless in compliance with the provisions of Regulation S and/or pursuant to registration under the Securities Act, or pursuant to another available exemption thereunder.</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Seller is not a U.S. Person (as defined under Regulation S) and is not acquiring the Consideration Shares for the account of any U.S. Person; no director or executive officer of Seller (if a corporation) is a national or citizen of the United States; and the Seller is not otherwise deemed to be a “U.S. Person” within the meaning of Regulation 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The Seller was not formed specifically for the purpose of acquiring the Consideration Shares issued pursuant to this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The offer leading to the sale evidenced hereby was made in an “offshore transaction” within the meaning of Regulation 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Neither the Seller, nor any Affiliate or any person acting on Seller’s behalf, has made or is aware of any “directed selling efforts” in the United States, which is defined in Regulation S to be any activity undertaken for the purpose of, or that could reasonably be expected to have the effect of, conditioning the market in the United States for any of the Consideration Shares.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The Seller is not a “distributor” as defined under Regulation S. Seller agrees that it/he will not, during the Restricted Period set forth under Rule 903(b)(2)(iii), act as a distributor, either directly or through any affiliate, nor shall he/she sell, transfer, hypothecate or otherwise convey the Consideration Shares other than to a non-U.S. Person, in compliance with Regulation 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The Seller is acquiring the Consideration Shares for its own account and risk and not for the account or benefit of a U.S. Person (as defined in Regulation S) and no other person has any interest in or participation in such shares or any right, option, security interest, pledge or other interest in or to such shares.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Seller will offer, sell, pledge or otherwise transfer the Consideration Shares, only pursuant to registration under the Securities Act or an available exemption or exclusion therefrom, in compliance with all applicable state and foreign securities laws and (with respect to the Consideration Shares other than the Unrestricted Consideration Shares only) with the Registration Rights and Lock-Up Agreement to be entered into by the Seller and Purchaser.</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on Liability</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Except as otherwise expressly provided in this Agreement, the provisions of this Schedule shall operate to limit the liability of each Party severally in respect of each Claim and references to “Claim” and “Claims” shall be construed accordingly.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limitations in this Schedule are not mutually exclusive and the application of any one or more limitations shall not preclude the application of any one or more other limitations.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In relation to any Party, nothing in this Schedule applies to a Claim to the extent that the liability of such Party in respect of such Claim arises as a result of fraud, fraudulent misrepresentation, wilful concealment, or gross negligence by such Party.</w:t>
      </w:r>
    </w:p>
    <w:p>
      <w:pPr>
        <w:spacing w:after="0" w:line="158"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QUANTUM</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Maximum liability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aggregate amount of the liability of the Sellers for all Claims shall not exceed the total amount of the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total aggregate amount of liability of each Seller for all Claims shall not exceed the total amount of Consideration received by such Seller (based upon such Seller’s Relevant Proportion).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2.1(a) above: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aggregate amount of the liability of the Sellers for all General Claims shall not exceed USD 200,000,000;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aggregate amount of liability of each Seller for all General Claims shall not exceed the product of USD 200,000,000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such Seller’s Relevant Proportion;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aggregate amount of the liability of the Purchaser for all Claims shall not exceed the total amount of the Consideration.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2.1(c) above, the total aggregate amount of the liability of the Purchaser for all General Claims shall not exceed USD 200,000,000.</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Minimum liability of the Purchaser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shall not be liable for any individual Claim (or series of Claims arising from substantially identical facts or circumstances), unless:</w:t>
      </w:r>
    </w:p>
    <w:p>
      <w:pPr>
        <w:spacing w:after="0" w:line="221"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Purchaser in respect of such Claim (or series of Claims) exceeds USD 2,000,000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such Claims for which the Purchaser would, in the absence of paragraph 2.2(a), be liable exceeds USD 20,000,000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and in such event the Purchaser shall be liable for the whole of such amount and not merely the excess.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Minimum liability of the Sellers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Seller shall be liable for any individual Claim (or series of Claims arising from substantially identical facts or circumstances), unless:</w:t>
      </w:r>
    </w:p>
    <w:p>
      <w:pPr>
        <w:spacing w:after="0" w:line="225" w:lineRule="exact"/>
        <w:rPr>
          <w:sz w:val="20"/>
          <w:szCs w:val="20"/>
          <w:color w:val="auto"/>
        </w:rPr>
      </w:pPr>
    </w:p>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such Seller in respect of such Claim (or series of Claims) exceeds an amount equal to such Seller’s Relevant Proportion of the De Minimis Threshold;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such Claims for which such Seller would, in the absence of paragraph 2.3(a), be liable exceeds an amount equal to such Seller’s Relevant Proportion of the Basket, and in such event such Seller shall be liable for the whole of such amount and not merely the excess.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CLAIM</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If any Seller Indemnitee or Purchaser Indemnitee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becomes aware of any fact, matter or circumstance that gives rise to a Claim against the Purchaser or the Sellers, as applicable (each, an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300" w:hanging="644"/>
        <w:spacing w:after="0" w:line="282" w:lineRule="auto"/>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seeking indemnification shall, as soon as reasonably practicable, give written notice of the Claim to the other Party (or, on behalf of all Sellers, the Sellers’ Representative);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must contain in reasonable detail (in each case solely to the extent available to the Party seeking indemnification):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facts, matters or circumstances known by the Indemnified Party that give rise to the Claim;</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alleged that the facts, matters or circumstances referred to in such notice constitute a breach of this Agreement, the basis for that allegation;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amount of Losses suffered by the Indemnified Party giving rise to the Claim, to the extent reasonably ascertainable.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Subject to paragraph 4.1 of this Schedule, failure to give notice as set out in paragraph 3.1 of this Schedule shall not affect the rights of the relevant Indemnified Party except to the extent that the Indemnifying Party is materially prejudiced by the failure.</w:t>
      </w:r>
    </w:p>
    <w:p>
      <w:pPr>
        <w:spacing w:after="0" w:line="158"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LIMITS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No Indemnifying Party shall be liable in respect of any Claim unless a notice of the Claim is given by the Indemnified Party in accordance with paragraph 3.1 of this Schedule:</w:t>
      </w:r>
    </w:p>
    <w:p>
      <w:pPr>
        <w:spacing w:after="0" w:line="162" w:lineRule="exact"/>
        <w:rPr>
          <w:sz w:val="20"/>
          <w:szCs w:val="20"/>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Fundamental Warranty Claim, within twenty-four (24) months following the Completion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General Claim, within twelve (12) months following the Completion Date;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Tax Claim, within five (5) years and three (3) months following the Completion Date.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ALLOWANCES, PROVISIONS OR RESERVES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Seller shall be liable for any Claim to the extent that:</w:t>
      </w:r>
    </w:p>
    <w:p>
      <w:pPr>
        <w:spacing w:after="0" w:line="225" w:lineRule="exact"/>
        <w:rPr>
          <w:sz w:val="20"/>
          <w:szCs w:val="20"/>
          <w:color w:val="auto"/>
        </w:rPr>
      </w:pPr>
    </w:p>
    <w:p>
      <w:pPr>
        <w:ind w:left="1300" w:hanging="644"/>
        <w:spacing w:after="0" w:line="261"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provision or reserve has been made in the Accounts and/or the Management Accounts for the matter giving rise to such Claim, or the amount of such Claim is reflected in the calculation of the Consideration; or</w:t>
      </w:r>
    </w:p>
    <w:p>
      <w:pPr>
        <w:ind w:left="7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giving rise to the Claim was Disclosed in the Accounts and/or the Management Accounts.</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LEGISLATION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for any Claim to the extent that such Claim would not have arisen (or the amount of the Claim would not have been increased) but for any legislation not in force at the date of this Agreement, any change in legislation made after the date of this Agreement or any change in the interpretation or application of any legislation after the date of this Agreement, whether or not such change purports to be effective retrospectively in whole or in part.</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POLICY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for any Claim to the extent that the liability arises or is increased as a result of any change in the accounting policies, bases, procedures or practices of treatment of any Group Company or Purchaser’s Group Company (as the case may be) after Completion or any change in the accounting standards applicable to any Group Company or Purchaser’s Group Company (as the case may be) after Completion, provided that this paragraph 7 shall not apply to any change in such accounting policies, bases, procedures, practices or standards that is required in order to ensure compliance with applicable generally accepted accounting principles or accounting standards or otherwise made to correct a manifest error.</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VOLUNTARY ACTS OR OMISSIONS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No Seller shall be liable for any Claim if such Claim arises or is increased directly or indirectly as a result of any act, omission, transaction or arrangement of any Purchaser’s Group Company or any of their Agents after Completion, done, committed or effected otherwise than in order to comply with Applicable Law or pursuant to a legally binding commitment to which the Purchaser’s Group is subject on or before Completion.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No Seller shall be liable for any Claim in respect of any act or omission whatsoever carried out at the written request or with the written approval of any Purchaser’s Group Company or any of its Agents or which arises wholly or partly out of or as a result of the execution and performance of the Transaction Documents.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Purchaser shall not be liable for any Claim in respect of any act or omission whatsoever carried out at the written request or with the written approval of any Seller or any of its Affiliates or any of their respective Agents or which arises wholly or partly out of or as a result of the execution and performance of the Transaction Documents.</w:t>
      </w:r>
    </w:p>
    <w:p>
      <w:pPr>
        <w:spacing w:after="0" w:line="172"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INDEMNIFYING PARTY’S KNOWLEDGE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in respect of any Claim (other than, in the case of a Seller, a Tax Indemnity Claim) to the extent that the facts, matters, events or circumstances giving rise to such Claim were Disclosed or set out in any of the Transaction Documents, or otherwise known at the date of this Agreement by the Indemnified Party.</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OPPORTUNITY TO REMEDY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in respect of any Claim if and to the extent that the breach giving rise to such Claim is capable of remedy (without cost or loss to the Indemnified Party) and is remedied to the reasonable satisfaction of the Indemnified Party within thirty (30) days of the notice of the Claim given in accordance with paragraph 3.1.</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OTHERWISE COMPENSATED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No Indemnifying Party shall be liable for any Claim to the extent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giving rise to such Claim has been (or is capable of being) made good or is (or is capable of being) otherwise compensated for without loss to the Indemnified Party;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recoverable under any insurance policy of the Indemnified Party (or, where the Indemnified Party is the Seller, would have been recoverable had the Purchaser’s Group maintained in force insurance cover for the Group or such Group Company similar to that in force at Completion).</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In assessing any damages or other amounts recoverable under this Agreement there shall be taken into account the value of any benefit accruing to Indemnified Party in consequence of the matter or circumstances giving rise to the claim pursuant to which the damages or such other amounts become recoverable, including any amount of any Tax relief obtained or obtainable by the Indemnified Party and any amount by which any Tax for which the Indemnified Party is or may be liable to be assessed or made accountable is reduced or extinguished arising in consequence of such matter or circumstances.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If provisions or reserves contained in the Accounts and/or the Management Accounts shall prove to be over-provisions or excess reserves, the amounts of such over-provision or excess reserve shall be aggregated and set off against any liability of the Sellers in respect of any Claim.</w:t>
      </w:r>
    </w:p>
    <w:p>
      <w:pPr>
        <w:spacing w:after="0" w:line="158"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FROM THIRD PARTIES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No Indemnifying Party shall be liable for any Claim to the extent that the Indemnified Party has a right of recovery against, or an indemnity from, a person other than the Indemnifying Party, whether under a provision of law, insurance policy or otherwise.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Where a Indemnified Party is entitled to recover from any other person an amount in respect of any matter relating to a Claim, the Indemnified Party shall promptly notify the Indemnifying Party in writing and take all steps as the Indemnifying Party may reasonably require to enforce recovery of such amount.</w:t>
      </w:r>
    </w:p>
    <w:p>
      <w:pPr>
        <w:spacing w:after="0" w:line="176"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Indemnified Party shall keep the Indemnifying Party fully informed of the progress of such recovery and shall provide to the Indemnifying Party copies of all relevant correspondence and documentation. Upon recovery of such amount, the Indemnified Party shall:</w:t>
      </w:r>
    </w:p>
    <w:p>
      <w:pPr>
        <w:spacing w:after="0" w:line="162" w:lineRule="exact"/>
        <w:rPr>
          <w:sz w:val="20"/>
          <w:szCs w:val="20"/>
          <w:color w:val="auto"/>
        </w:rPr>
      </w:pPr>
    </w:p>
    <w:p>
      <w:pPr>
        <w:ind w:left="1292" w:hanging="644"/>
        <w:spacing w:after="0" w:line="282" w:lineRule="auto"/>
        <w:tabs>
          <w:tab w:leader="none" w:pos="1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the full amount from the Claim (if the entitlement of the Indemnified Party to recover arose before payment is made by the Indemnifying Party under the Claim); or</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to the Indemnifying Party (and where the Indemnifying Party is a Seller, such Seller’s Relevant Proportion of) the lesser of such amount paid by the Indemnifying Party to the Indemnified Party under the Claim or the full amount recovered by the Indemnified Party (if the entitlement to recover arose after payment had been made by the Indemnifying Party under the Claim).</w:t>
      </w:r>
    </w:p>
    <w:p>
      <w:pPr>
        <w:spacing w:after="0" w:line="176"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Purchaser shall not be required to take action under paragraphs 12.2 and 12.3 for any Tax Indemnity Claim, other than an action against a Tax Authority, if the Purchaser is of the reasonable opinion that such action is likely to harm its or the Group Company’s commercial or employment relationship with that or any other person.</w:t>
      </w:r>
    </w:p>
    <w:p>
      <w:pPr>
        <w:spacing w:after="0" w:line="172" w:lineRule="exact"/>
        <w:rPr>
          <w:sz w:val="20"/>
          <w:szCs w:val="20"/>
          <w:color w:val="auto"/>
        </w:rPr>
      </w:pPr>
    </w:p>
    <w:p>
      <w:pPr>
        <w:ind w:left="652" w:hanging="652"/>
        <w:spacing w:after="0"/>
        <w:tabs>
          <w:tab w:leader="none" w:pos="65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THIRD PARTY CLAIMS</w:t>
      </w:r>
    </w:p>
    <w:p>
      <w:pPr>
        <w:spacing w:after="0" w:line="229"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An Indemnifying Party shall be entitled, upon prompt written notice following such Indemnifying Party’s receipt of a notice of Claim delivered in accordance with paragraph 3.1 of this Schedule (and in any event within fifteen (15) days thereof), to assume the defence of any such Claim brought by a third party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at the Indemnifying Party’s own cost and expense (which expenses shall not be applied against any indemnity limitation herein) with counsel selected by the Indemnifying Party and satisfactory to the Indemnified Party. Notwithstanding the foregoing, the Indemnifying Party shall not be entitled to assume the defence of any claim (i) for equitable or injunctive relief, (ii) that would impose criminal liability or damages, (iii) that involves a material customer or supplier of the Indemnified Party or (iv) if the Indemnified Party reasonably determines that the Losses that it may incur arising from or related to any claim could reasonably be expected to exceed the applicable cap(s) set out under paragraph 2.1 above, and the Indemnified Party shall have the right to defend, at the expense of the Indemnifying Party, any such Third Party Claim. The Indemnifying Party shall be liable for the fees and expenses of counsel employed by the Indemnified Party for any period during which the Indemnifying Party has failed to assume the defence thereof. If the Indemnifying Party does not expressly elect to assume the defence of such Third Party Claim within the time period and otherwise in accordance with the first sentence of this paragraph 13.1, the Indemnified Party shall have the sole right to assume the defence of and to settle such Third Party Claim.</w:t>
      </w:r>
    </w:p>
    <w:p>
      <w:pPr>
        <w:spacing w:after="0" w:line="190"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If the Indemnifying Party assumes the defence of such Third Party Claim, the Indemnified Party shall have the right to employ separate counsel and to participate in the defence thereof, but the fees and expenses of such counsel shall be at the expense of the Indemnified Party unless (i) the employment of such counsel shall have been specifically authorized in writing by the Indemnifying Party or (ii)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If the Indemnifying Party assumes the defence of any Third Party Claim, the Indemnified Party shall cooperate with the Indemnifying Party in such defence and make available to the Indemnifying Party all witnesses, pertinent records, materials and information in the Indemnified Party’s possession or under the Indemnified Party’s control relating thereto as is reasonably required by the Indemnifying Party.</w:t>
      </w:r>
    </w:p>
    <w:p>
      <w:pPr>
        <w:spacing w:after="0" w:line="188"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If the Indemnifying Party assumes the defence of any Third Party Claim, the Indemnifying Party shall not, without the prior written consent of the Indemnified Party, settle or compromise the Third Party Claim or otherwise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(iii) imposes equitable remedies or any obligation on the Indemnified Party other than solely the payment of money damages for which the Indemnified Party will be indemnified hereunder.</w:t>
      </w:r>
    </w:p>
    <w:p>
      <w:pPr>
        <w:spacing w:after="0" w:line="187" w:lineRule="exact"/>
        <w:rPr>
          <w:sz w:val="20"/>
          <w:szCs w:val="20"/>
          <w:color w:val="auto"/>
        </w:rPr>
      </w:pPr>
    </w:p>
    <w:p>
      <w:pPr>
        <w:ind w:left="11052"/>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1" w:name="page72"/>
    <w:bookmarkEnd w:id="71"/>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TO MITIGATE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take commercially reasonable steps, and shall procure that commercially reasonable steps are taken by the Purchaser’s Group (including, after Completion, each Group Company), to avoid or mitigate any Claim (other than a Tax Indemnity Claim).</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DOUBLE RECOVERY</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Indemnified Party shall be entitled to recover from any Indemnifying Party in respect of any Claim, or otherwise obtain payment, reimbursement, restitution or indemnity, more than once for the same Losses.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AND UNQUANTIFIED LIABILITY</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for any Claim to the extent that the Claim is based upon a liability which is contingent only unless and until such liability ceases to be contingent and becomes an actual liability. For the avoidance of doubt, this paragraph 16‎ shall not operate to avoid a Claim made in respect of a contingent liability within the time limits specified in paragraph 4‎ and specifying the matters set out in paragraph 3‎.1.</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Indemnifying Party shall be liable for any indirect, consequential, punitive or exemplary damages.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PRESERVATION OF INFORMATION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Parties shall, and each Party shall procure that each of its Affiliates and Agents shall not, for a period of seven (7) years following the Completion Date, knowingly destroy any documents, records, correspondence, accounts and other information relating to the Purchaser’s Group or any Group Company for periods prior to the Completion (“</w:t>
      </w:r>
      <w:r>
        <w:rPr>
          <w:rFonts w:ascii="Times New Roman" w:cs="Times New Roman" w:eastAsia="Times New Roman" w:hAnsi="Times New Roman"/>
          <w:sz w:val="18"/>
          <w:szCs w:val="18"/>
          <w:b w:val="1"/>
          <w:bCs w:val="1"/>
          <w:color w:val="auto"/>
        </w:rPr>
        <w:t>Relevant Records</w:t>
      </w:r>
      <w:r>
        <w:rPr>
          <w:rFonts w:ascii="Times New Roman" w:cs="Times New Roman" w:eastAsia="Times New Roman" w:hAnsi="Times New Roman"/>
          <w:sz w:val="18"/>
          <w:szCs w:val="18"/>
          <w:color w:val="auto"/>
        </w:rPr>
        <w:t>”), which are known by such Party to be materially relevant or likely to be materially relevant to a Claim, with the intent of adversely impacting the defence by another Party of any such Claim, provided that no Party shall be in breach of this provision where such Relevant Records are destroyed:</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contractual obligations to any third parties.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THESE PROVISIONS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Schedule will not be discharged or cease to have effect in consequence of any rescission or termination of any other provisions of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Fundamental Warranties</w:t>
      </w:r>
    </w:p>
    <w:p>
      <w:pPr>
        <w:spacing w:after="0" w:line="252"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AND AUTHORITY OF PURCHASER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Purchaser has been duly incorporated and is validly existing under the laws of its jurisdiction of incorporation. The Purchaser has full corporate power and authority to carry on its business as it is now being conducted and to own the assets it now owns.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Purchaser has the necessary power and authority to enter into and perform its obligations under the Transaction Documents. This Agreement has been duly executed and delivered by the Purchaser and, assuming due execution and delivery by each of the other parties hereto, constitutes legal, valid and binding obligations on the Purchaser, enforceable against it in accordance with its respective terms. The Transaction Documents will, when executed, be duly executed and delivered by the Purchaser and, assuming due execution and delivery by each of the other parties thereto, constitutes constitute legal, valid and binding obligations on the Purchaser, enforceable against it in accordance with their respective terms.</w:t>
      </w:r>
    </w:p>
    <w:p>
      <w:pPr>
        <w:spacing w:after="0" w:line="187"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Neither the entry into the Transaction Documents nor the implementation of the transactions contemplated by the Transaction Documents, including the authorisation and issuance of the Consideration Shares by the Purchaser will:</w:t>
      </w:r>
    </w:p>
    <w:p>
      <w:pPr>
        <w:spacing w:after="0" w:line="162" w:lineRule="exact"/>
        <w:rPr>
          <w:sz w:val="20"/>
          <w:szCs w:val="20"/>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conflict with the provisions of its constitutional documents;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a violation or breach of any Applicable Law;</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a violation or default with respect to any relevant order, decree or judgment of any court or any Governmental Authority in any jurisdiction to which the Purchaser is a party or by which the Purchaser is bound, other than violations or defaults that would not, individually or in the aggregate, result in a Purchaser Material Adverse Change;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any instrument to which the Purchaser is a party or by which the Seller is bound, other than breaches or defaults that would not, individually or in the aggregate, result in a Purchaser Material Adverse Change;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licence or authorisation of, or notice to, any Governmental Authority (other than those set forth in Clause 4.1(a)).</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of the Consideration Shares will, from its respective date of allotment, be validly allotted and issued and fully paid or credited as fully paid,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of the other Diginex Shares and be free from Encumbrance. The Consideration Shares will be issued in compliance in all material respects with all Applicable Laws.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INSOLVENCY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Insolvency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is not insolvent or unable to pay its debts, and has not stopped paying its debts as they fall due.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No Winding Up</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order has been made, petition presented or resolution passed for the winding up or dissolution of the Purchaser or for the appointment of any provisional liquidator. No petition has been presented for an administration order to be made in relation to the Purchaser, and no judicial manager, administrator or receiver (including any administrative receiver) has been appointed in respect of the property, assets and/or undertaking of the Purchaser.</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No Composition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composition in satisfaction of the debts of the Purchaser or scheme of arrangement or compromise between it and its creditors and/or members by reason of insolvency has been proposed, sanctioned or approved.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Part 2 – Non-Fundamental Warranties</w:t>
      </w:r>
    </w:p>
    <w:p>
      <w:pPr>
        <w:spacing w:after="0" w:line="225"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SECURITIES LAW</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Purchaser is a “foreign private issuer” as defined in Rule 405 of the Securities Act and a “reporting issuer” as defined in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Neither the Purchaser nor any of its affiliates (as defined in Regulation 501 under the Securities Act) nor any person acting on its or their behalf has engaged or will engage in any directed selling efforts (as defined in Regulation S under the Securities Act) in connection with the offering of the Consideration Shares as contemplated by this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To the Purchaser’s knowledge, the Purchaser is not, and as a result of the issuance of the Consideration Shares, will not be, required to register under the U.S. Investment Company Act of 1940, as amended.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offer and sale of the Consideration Shares pursuant to this Agreement was and is being made in an “offshore transaction” within the meaning of Regulation S, and no offer has been made to persons in the United States or to U.S. Persons (as defined in Regulation 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Purchaser will implement “offering restrictions” as described under Rule 903(b)(2)(i) to the offering contemplated by this Agreement, and will cause any certificate (or book-entry statement) representing the Consideration Shares to bear a restrictive legend to comply with Regulation S until the expiration of the distribution compliance period.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Purchaser will instruct the transfer agent to maintain stop-transfer instructions required to comply with Regulation S until the expiration of the relevant distribution compliance period as set forth in Rule 903(b)(2)(ii).</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The Purchaser agrees that the distribution compliance period of each of the Consideration Shares will be 40 days after such share is issued, and after such date, the restricted period set forth in Rule 903(b)(2)(ii) will have expired with respect to such share.</w:t>
      </w:r>
    </w:p>
    <w:p>
      <w:pPr>
        <w:spacing w:after="0" w:line="158"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INFORMATION</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Since 23 January 2025, the Purchaser has, in all material respects, timely filed or furnished all forms, statements, schedules, documents and reports required to be filed or furnished prior to the date hereof by it with the SEC (such forms, statements, schedules, documents and reports,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filing dates (or, if amended prior to the date hereof, as of the date of the last such amendment), the SEC Documents complied in all material respects with the applicable requirements of the Sarbanes-Oxley Act, the U.S.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U.S. Securities and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the case may be, and the applicable rules and regulations promulgated thereunder and the listing and corporate governance rules and regulations of Nasdaq. None of the SEC Documents contain (or, with respect to SEC Documents filed after the date hereof, will contain) any untrue statement of a material fact or omitted (or, with respect to SEC Documents filed after the date hereof, will omit) to state any material fact required to be stated therein or necessary to make the statements therein, in light of the circumstances under which they were made, not misleading. Each SEC Document that is a registration statement or prospectus, as amended or supplemented, if applicable, filed pursuant to the Securities Act, as of the date such registration statement or amendment became effective on or prior to the date of this Agreement, did not, and if filed effective subsequent to the date of this Agreement, will not, contain any untrue statement of a material fact or omit to state any material fact required to be stated therein or necessary in order to make the statements made therein not misleading.</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consolidated financial statements (including all related notes and schedules) of Purchaser included or incorporated by reference in the SEC Documents when filed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Purchaser and its consolidated subsidiaries, as at the respective dates thereof, and the consolidated results of their operations and their consolidated cash flows for the respective periods then ended (subject, in the case of the unaudited interim financial statements, to normal year-end audit adjustments and the absence of notes) in conformity with IFRS applied on a consistent basis during the periods involved (subject, in the case of the unaudited quarterly financial statements, to normal year-end audit adjustments and to the absence of notes).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Purchaser is, and since 30 December 2024 has been, in compliance in all material respects with (i) the applicable provisions of the Sarbanes-Oxley Act of 2002, as amended, and the rules and regulations promulgated thereunder and (ii) the applicable listing and corporate governance rules and regulations of Nasdaq, except as stated in the compliance notification received from Nasdaq on 23 March 2026.</w:t>
      </w:r>
    </w:p>
    <w:p>
      <w:pPr>
        <w:spacing w:after="0" w:line="17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authorized capital stock of Purchaser consists of 960,000,000 shares of Diginex Shares and 40,000,000 shares of preferred stock, par value USD 0.00005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of 27 March 2026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(i) (A) 232,807,529 Diginex Shares were issued and outstanding, (B) 0 Diginex Shares were held in treasury, (C) options granted under the Diginex Incentive Plan to purchase 481,092 Diginex Shares (assuming achievement of any applicable performance targets at maximum performance levels) were outstanding with a weighted average exercise price per share of USD 0.00005 and share options equating to 1.7% of the issued and outstanding share capital of the Diginex upon exercise, (, (D) warrants to purchase 18,000,000 Diginex Shares were outstanding at an exercise price of USD 1.03 per Diginex Share, (E) warrants to purchase 18,000,000 Diginex Shares were outstanding at an exercise price of USD 1.28 per Diginex Share, (F) warrants to purchase 18,000,000 Diginex Shares were outstanding at an exercise price of USD 1.54 per Diginex Share, (G) the Founder Warrants to purchase 51% of the issued and outstanding share capital of the Purchaser at the time of exercise; (H) 43,200,000 Diginex Shares were reserved for issuance pursuant to the Diginex Incentive Plan; and (I) 424,976 Diginex Shares related to the acquisition of Matter DK ApS; (J) 750,000 Diginex Shares related to the acquisition of The Remedy Project subject to the completion of agreed milestones; (K) 3,230,922 Diginex Shares related to the acquisition of Plan A earth GmbH subject to the completion of agreed milestones; (L) $100,000 of Diginex Shares for each non-executive director per fiscal year with an effective date of 1 December 2025 and (M) 0 shares of Preferred Stock were issued and outstanding. All the outstanding Diginex Shares and Preferred Stock are, and all the Diginex Shares reserved for issuance as described above shall be when issued in accordance with the respective terms thereof, duly authorized, validly issued, fully paid and nonassessable and free of pre-emptive rights.</w:t>
      </w:r>
    </w:p>
    <w:p>
      <w:pPr>
        <w:spacing w:after="0" w:line="19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Except as set forth in paragraph 3.1 above and other than the Diginex Shares that have become outstanding after the Capitalization Date that were reserved for issuance as set forth in paragraph 11.1 above, as of the date hereof: (i) Purchaser does not have any shares of capital stock or other equity or voting interests issued or outstanding and (ii) there are no outstanding subscriptions, options, warrants, puts, calls, exchangeable or convertible securities or other similar rights, agreements or commitments or any other agreement to which Purchaser or any member of the Purchaser’s Group is a party or is otherwise bound obligating Purchaser or any member of the Purchaser’s Group to (A) issue, transfer or sell, or make any payment with respect to, any shares of capital stock or other equity or voting interests of Purchaser or any member of the Purchaser’s Group or securities convertible into, exchangeable for or exercisable for, or that correspond to, such shares or equity or voting interests, (B) grant, extend or enter into any such subscription, option, warrant, put, call, exchangeable or convertible securities or other similar right, agreement or commitment, or (C) redeem or otherwise acquire any such shares of capital stock or other equity or voting interests.</w:t>
      </w:r>
    </w:p>
    <w:p>
      <w:pPr>
        <w:spacing w:after="0" w:line="188"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Neither Purchaser nor any member of the Purchaser’s Group has outstanding bonds, debentures, notes or other similar obligations, the holders of which have the right to vote (or which are convertible into or exercisable for securities having the right to vote) with the stockholders of Purchaser on any matter.</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True, complete and accurate copies of Outstanding IPO Warrant Agreements and the Founder Warrant Agreement as filed with the SEC on 23 March 2026, and no amendments or variations, or any agreements to amend or vary, any of the terms of the Outstanding IPO Warrant Agreements and the Founder Warrant Agreement (as set out in such copies) have been made.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1300" w:hanging="644"/>
        <w:spacing w:after="0" w:line="282"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Purchaser’s Business IP is either legally and beneficially owned by a Purchaser’s Group Company or lawfully used with the consent of the owner under a licence, in all material respects.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of the Purchaser’s knowledge, all Purchaser’s Owned Business IP is not being infringed or attacked or opposed by any person.</w:t>
      </w:r>
    </w:p>
    <w:p>
      <w:pPr>
        <w:spacing w:after="0" w:line="236" w:lineRule="exact"/>
        <w:rPr>
          <w:rFonts w:ascii="Times New Roman" w:cs="Times New Roman" w:eastAsia="Times New Roman" w:hAnsi="Times New Roman"/>
          <w:sz w:val="17"/>
          <w:szCs w:val="17"/>
          <w:color w:val="auto"/>
        </w:rPr>
      </w:pPr>
    </w:p>
    <w:p>
      <w:pPr>
        <w:ind w:left="1300" w:hanging="644"/>
        <w:spacing w:after="0" w:line="282"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Purchaser’s Owned Business IP is not subject to any Encumbrance or any licence or authority in favour of another person, other than a Purchaser’s Group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Infringement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best of the Purchaser’s knowledge, the processes employed and the products and services dealt in by each Purchaser’s Group Company do not infringe any rights or interests of third parties in Intellectual Property in any material respects and no Purchaser’s Group Company has received any written notices alleging that the activities of such Purchaser’s Group Company infringe any such rights or interests of any third party.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Licensed Business IP</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respect of the several licences and agreements relating to the Purchaser’s Licensed Business IP (including all amendments, novations, supplements or replacements to those licences and agreements):</w:t>
      </w:r>
    </w:p>
    <w:p>
      <w:pPr>
        <w:spacing w:after="0" w:line="162"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 full force and effect;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no circumstances exist which would entitle a party to terminate or vary them;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Purchaser’s Group have been complied with in all material respects.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Know-How</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Purchaser has not made any disclosure of Know-How to any third parties other than the Sellers, except in the ordinary and usual course of business and on the basis that such disclosure is to be treated as being of a confidential character.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Information Technology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best of the Purchaser’s knowledge:</w:t>
      </w:r>
    </w:p>
    <w:p>
      <w:pPr>
        <w:spacing w:after="0" w:line="225" w:lineRule="exact"/>
        <w:rPr>
          <w:sz w:val="20"/>
          <w:szCs w:val="20"/>
          <w:color w:val="auto"/>
        </w:rPr>
      </w:pPr>
    </w:p>
    <w:p>
      <w:pPr>
        <w:ind w:left="1300" w:hanging="644"/>
        <w:spacing w:after="0"/>
        <w:tabs>
          <w:tab w:leader="none" w:pos="13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Purchaser’s Business IT is owned by or licensed to the relevant Purchaser’s Group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Business IT is in reasonable working order in all material respects.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To the best of the Purchaser’s knowledge, no Purchaser’s Group Company is a party to or subject to any contract, transaction, arrangement, understanding or obligation which is not in the ordinary and usual course of business. All material contracts of the Purchaser’s Group, including any material default or breach under such material contracts, have been properly disclosed on a timely basis in all filings that the Purchaser is required to make in accordance with all applicable listing and corporate governance rules and regulations of Nasdaq to which the Purchaser is subject to.</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No Purchaser’s Group Company is a party to or subject to any contract concerning the sale or acquisition (by merger, purchase or sale of assets or stock or otherwise) of any business or a portion thereof or material assets relating thereto.</w:t>
      </w:r>
    </w:p>
    <w:p>
      <w:pPr>
        <w:spacing w:after="0" w:line="158"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COMPLIANCE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Licenses and Consents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material licences, consents and authorisations material to the business of the Purchaser’s Group have been obtained, are in full force and effect and have been and are being complied with in all material respects.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each Purchaser’s Group Company is conducting the business of the Purchaser’s Group in material compliance with Applicable Law and no Purchaser’s Group Company is, or during the three year period prior to Completion has been, in material breach of any such Applicable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there is no investigation, disciplinary proceeding or inquiry by, or order, decree, decision or judgment of, any court, tribunal, arbitrator, governmental agency or regulatory body outstanding against any Purchaser’s Group Company which has had a material adverse effect upon the assets or business of the Purchaser’s Group.</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Current Proceedings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Other than the Matter Dispute, no Purchaser’s Group Company is involved whether as claimant or defendant or other party in any claim, legal action, proceeding, suit, litigation, prosecution or arbitration (other than as claimant in the collection of debts arising in the ordinary and usual course of its business) which is material to the business of the Purchaser’s Group.</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Pending or Threatened Proceedings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 the best of the Purchaser’s knowledge, other than the Matter Dispute, no claim, legal action, proceeding, suit, litigation, prosecution or arbitration of material importance is pending or threatened by or against any Purchaser’s Group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Circumstances likely to lead to Claims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 the best of the Purchaser’s knowledge, other than the Matter Dispute, there are no investigations, disciplinary proceedings or other circumstances likely to lead to any such claim or legal action, proceeding, suit, litigation, prosecution or arbitration.</w:t>
      </w:r>
    </w:p>
    <w:p>
      <w:pPr>
        <w:spacing w:after="0" w:line="158"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ANTI-CORRUPTION, SANCTIONS AND ANTI-MONEY LAUNDERING</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Purchaser warrants that neither it nor any Purchaser’s Group Company or (to the best of the Purchaser’s knowledge) any Agents of any Purchaser’s Group Company (a) has violated any applicable Anti-Corruption Laws, Sanctions or Anti-Money Laundering Regulations; or (b) in carrying out its responsibilities under this Agreement or any agreement entered into in connection with the Transaction, has and/or will violate any applicable Anti-Corruption Laws, Sanctions or Anti-Money Laundering Regulations.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Purchaser warrants that neither it nor any Purchaser’s Group Company or (to the best of the Purchaser’s knowledge) any Agents of any Purchaser’s Group Company is a Government Official.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Purchaser warrants that no Government Official or Governmental Authority presently controls or owns an interest, whether direct or indirect, in itself nor any Purchaser’s Group Company or (to the best of the Purchaser’s knowledge) any Agents of any Purchaser’s Group Company, or has any legal or beneficial interest in the same.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Purchaser warrants that neither it nor any Purchaser’s Group Company or (to the best of the Purchaser’s knowledge) any Agents of 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Purchaser’s Group Company:</w:t>
      </w:r>
    </w:p>
    <w:p>
      <w:pPr>
        <w:spacing w:after="0" w:line="207"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Restricted Party;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notice of or is aware of any claim, action, suit, proceeding or investigation against it with respect to Sanctions by any Sanctions Authority.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The Purchaser operates procedures in line with generally accepted industry standards designed to ensure compliance (and otherwise in accordance) with all applicable Anti-Corruption Laws, Sanctions or Anti-Money Laundering Regulations.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TRANSACTION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entry into and performance of this Agreement, the other Transaction Documents and any other document to be entered into pursuant to or in connection with this Agreement (including the acquisition of the Sale Shares by the Purchaser and the occurrence of Completion) will not, nor is likely to:</w:t>
      </w:r>
    </w:p>
    <w:p>
      <w:pPr>
        <w:spacing w:after="0" w:line="176"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Purchaser’s Group Company to lose the benefit of any right or privilege it presently enjoys which is material to its business;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any person to terminate any right or benefit enjoyed by a Purchaser’s Group Company, or to exercise any right in respect of a Purchaser’s Group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crystallise, or cause to become exercisable or enforceable, any right of pre-emption or other Encumbrance over the Diginex Shares or any shares in any other Purchaser’s Group Company;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result in any customer or supplier becoming entitled to, or cause any customer or supplier to, cease dealing with any Purchaser’s Group Company or to substantially reduce its existing level of business or to change the terms on which it deals with any Purchaser’s Group Company or otherwise (to the best of the Purchaser’s knowledge) adversely affect the attitude or action of any customer or supplier in respect of the Purchaser’s Group;</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or constitute a default under any contract material to the Purchaser’s Group (or any present or future indebtedness of any Purchaser’s Group Company becoming due and payable, or capable of being declared due and payable, prior to its stated maturity date or in any of the existing facilities of the Purchaser’s Group being withdrawn);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person to acquire or affect the entitlement of any person to acquire Diginex Shares or any shares in any other Purchaser’s Group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Agreed Technical Expert Board Addition</w:t>
      </w:r>
    </w:p>
    <w:p>
      <w:pPr>
        <w:spacing w:after="0" w:line="225"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Schedule: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means the independent audit committee of the Board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Diginex from time to time;</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Diginex Founder</w:t>
      </w:r>
      <w:r>
        <w:rPr>
          <w:rFonts w:ascii="Times New Roman" w:cs="Times New Roman" w:eastAsia="Times New Roman" w:hAnsi="Times New Roman"/>
          <w:sz w:val="18"/>
          <w:szCs w:val="18"/>
          <w:color w:val="auto"/>
        </w:rPr>
        <w:t>” means Miles Christian Pelham, an individual with passport number 140066751 of Flat 2, Block F, 18/F Lung Bik House, 8 Lung Poon Street, Diamond Hill, Hong Kong;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director of the Purchaser (or his duly appointed alternate);</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means a Director who qualifies, as of the date of such Director’s election or appointment to the Board (or any committee thereof) and as of any other date on which the determination is being made, as an “independent director” under the Nasdaq Rules, as determined by the Board and, to the extent applicable with respect to Audit Committee membership, an “Independent Director” under Rule 10A-3 under the Exchange Act and any corresponding requirement of Nasdaq Rules for audit committee members, as well as any other requirement of the U.S. securities laws that is then applicable to the Purchaser, as determined by the Board;</w:t>
      </w:r>
    </w:p>
    <w:p>
      <w:pPr>
        <w:spacing w:after="0" w:line="1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means the rules of Nasdaq relating to the qualification, listing and delisting of companies (i.e. Rules 5000-5999) and their related interpretations, each as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Nomination Committee</w:t>
      </w:r>
      <w:r>
        <w:rPr>
          <w:rFonts w:ascii="Times New Roman" w:cs="Times New Roman" w:eastAsia="Times New Roman" w:hAnsi="Times New Roman"/>
          <w:sz w:val="18"/>
          <w:szCs w:val="18"/>
          <w:color w:val="auto"/>
        </w:rPr>
        <w:t>” means the independent nomination and compensation committee of the Board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has the meaning given to it in paragraph 2.1 of this Schedule;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Non-Independent Director</w:t>
      </w:r>
      <w:r>
        <w:rPr>
          <w:rFonts w:ascii="Times New Roman" w:cs="Times New Roman" w:eastAsia="Times New Roman" w:hAnsi="Times New Roman"/>
          <w:sz w:val="18"/>
          <w:szCs w:val="18"/>
          <w:color w:val="auto"/>
        </w:rPr>
        <w:t>” means a Director who is not an “Independent Director” as defined under the Nasdaq Rules.</w:t>
      </w:r>
    </w:p>
    <w:p>
      <w:pPr>
        <w:spacing w:after="0" w:line="225"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Board upon Completion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Changes to the Board upon Completion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effect from Completion, the Purchaser shall procure that the following changes to the Board shall be effected:</w:t>
      </w:r>
    </w:p>
    <w:p>
      <w:pPr>
        <w:spacing w:after="0" w:line="225" w:lineRule="exact"/>
        <w:rPr>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new additional Non-Independent Director, being Radhika Sundaram, shall be appointed;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new additional Independent Director, who shall be appointed under normal nomination committee processes with invitations to nominate from the Founders, shall be appointed;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Founders agree it is in the best interest of the combined company to have Independent Directors appointed based on relevant experience and qualifications to the ESG, CX and AI sectors. As such, two (2) of the existing three (3) Independent Directors, shall be replaced by two (2) persons, who shall be appointed under normal nomination committee processes with invitations to nominate from the Founders, based on relevant experience and qualifications to the ESG, CX and AI sectors,</w:t>
      </w:r>
    </w:p>
    <w:p>
      <w:pPr>
        <w:spacing w:after="0" w:line="17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in each case provided, that, any individual so nominated and appointed as provided above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 is qualified to serve as a Director under applicable law and listing requirements, shall be reasonably acceptable to the Board and the Nomination Committee (it being understood that (i) any Nominee who is a Director of the Board as of the Completion, (ii) Radhika Sundaram and (iii) any existing director of the Company shall be deemed reasonably acceptable) and provided that such Nominee shall provide the Purchaser with all requisite information for serving as a Director, including completing and executing on a timely basis a questionnaire in the form the Company provides to its outside Directors generally and answering reasonable follow-up questions.</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Changes to the Board Committees upon Completion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the Audit Committee and the Nomination Committee shall be determined by the Board following Completion.</w:t>
      </w:r>
    </w:p>
    <w:p>
      <w:pPr>
        <w:spacing w:after="0" w:line="221"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Executive Officer</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Completion, one of the Founders shall be appointed as a group executive officer of the Purchaser’s management team, on such terms of employment and with such title and responsibilities as the Founders and the Purchaser shall agree prior to Completion.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AND LOCK-UP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Registration Rights and Lock-Up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2026 is between Diginex Limited, an exempted company incorporated with limited liability under the laws of the Cayman Islands with company registration number 406606 and having its registered office at 89 Nexus Way, Camana Bay, Grand Cayman, KY1-9009,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several persons whose names are set out in Schedule A hereto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to this Agreement are parties to that certain Sale and Purchase Agreement dated as of April [●], 2026 (the “</w:t>
      </w:r>
      <w:r>
        <w:rPr>
          <w:rFonts w:ascii="Times New Roman" w:cs="Times New Roman" w:eastAsia="Times New Roman" w:hAnsi="Times New Roman"/>
          <w:sz w:val="18"/>
          <w:szCs w:val="18"/>
          <w:b w:val="1"/>
          <w:bCs w:val="1"/>
          <w:color w:val="auto"/>
        </w:rPr>
        <w:t>Sale and Purchase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Sale and Purchase Agreement, the Holders agreed to sell and the Company agreed to purchase, the Sale Shares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set forth therein;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and the Company hereby agree that this Agreement will govern the registration and lock up rights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Shares to be issued to the Holders as part of the Consideration for the Sale Shares, payable by the Company pursuant to the Sale and Purchase Agreement;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defined herein shall have the meanings assigned to them in the Sale and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covenants and agreements hereinafter set forth, the parties hereto covenant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and variations thereof have the meanings set forth below:</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Chief Financial Officer of the Company or the Board,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Release Date</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firstLine="656"/>
        <w:spacing w:after="0" w:line="282"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311,080,000 Consideration Shares (approximately 33.33% of the Consideration Shares other than the Unrestricted Consideration Shares), August 31, 2026;</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311,080,000 Consideration Shares (approximately 33.33% of the) Consideration Shares other than the Unrestricted Consideration Shares), November 30, 2026;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2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311,173,333 (approximately 33.34% of the Consideration Shares other than the Unrestricted Consideration Shares), February 28, 2027.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with respect to a registration, any period commencing on the day immediately after the Company notifies the Holders that they are required to suspend offers and sales of Registrable Securities where the Company, in the good faith judgment of its Board, determines (because of the existence of, or in anticipation of, any acquisition, financing activity, or other transaction involving the Company, or the unavailability for reasons beyond the Company’s control of any required financial statements, the existence of material information which is in its best interest not to publicly disclose, or any other event or condition of similar significance to the Company) that the registration and distribution of the Registrable Securities to be covered by such Registration Statement, if any, would be seriously detrimental to the Company and its stockholders, and ending on the earlier of (1) the date upon which the material non-public information that resulted in the commencement of the Blackout Period is disclosed to the public or ceases to be material and (2) such time as the Company notifies the selling Holders that sales pursuant to such Registration Statement or a new or amended Registration Statement may resume.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have the meaning given to such term in the Sale and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or to direct the operations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shall mean the ordinary shares of the Company, par value USD 0.00005 per share.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 Equivalents</w:t>
      </w:r>
      <w:r>
        <w:rPr>
          <w:rFonts w:ascii="Times New Roman" w:cs="Times New Roman" w:eastAsia="Times New Roman" w:hAnsi="Times New Roman"/>
          <w:sz w:val="18"/>
          <w:szCs w:val="18"/>
          <w:color w:val="auto"/>
        </w:rPr>
        <w:t>” means, with respect to the Company, all options, warrants and other securities convertible into, or exchangeable or exercisable for (at any time or upon the occurrence of any event or contingency and without regard to any vesting or other conditions to which such securities may be subject) Company Shares or other equity securities of the Company (including, without limitation, any note or debt security convertible into or exchangeable for Company Shares or other equity securities of the Company).</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shall have the meaning given to such term in the Sale and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shall have the meaning given to such term in the Sale and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U.S.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F-1</w:t>
      </w:r>
      <w:r>
        <w:rPr>
          <w:rFonts w:ascii="Times New Roman" w:cs="Times New Roman" w:eastAsia="Times New Roman" w:hAnsi="Times New Roman"/>
          <w:sz w:val="18"/>
          <w:szCs w:val="18"/>
          <w:color w:val="auto"/>
        </w:rPr>
        <w:t>” shall mean a Registration Statement on Form F-1 or any comparable successor form or forms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F-3</w:t>
      </w:r>
      <w:r>
        <w:rPr>
          <w:rFonts w:ascii="Times New Roman" w:cs="Times New Roman" w:eastAsia="Times New Roman" w:hAnsi="Times New Roman"/>
          <w:sz w:val="18"/>
          <w:szCs w:val="18"/>
          <w:color w:val="auto"/>
        </w:rPr>
        <w:t>” shall mean a Registration Statement on Form F-3 or any comparable successor form or forms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of this Agreement and ending on the earlier of:</w:t>
      </w:r>
    </w:p>
    <w:p>
      <w:pPr>
        <w:spacing w:after="0" w:line="229" w:lineRule="exact"/>
        <w:rPr>
          <w:sz w:val="20"/>
          <w:szCs w:val="20"/>
          <w:color w:val="auto"/>
        </w:rPr>
      </w:pPr>
    </w:p>
    <w:p>
      <w:pPr>
        <w:ind w:left="900" w:hanging="244"/>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Release Date,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a Registration Statement filed with the Commission pursuant to this Agreement. For the avoidance of doubt, the date shall not be a date prior to the consummation of the transactions contemplated by the Sale and Purchase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xml:space="preserve">” shall mean, prior to the expiration of the Lock-up Period, any person or entity to whom a Holder is permitted to Transfer Registrable Securities prior to the expiration of the Lock-up Period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shall mean any Company Shares held by the Holders at any time (including those held as a result of the conversion or exercise of Company Shares Equivalents) or any other equity security of the Company issued or issuable with respect to any such Company Share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and new certificates or evidence of book-entry entitlements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(D) such securities, together with all other Registrable Securities held by any Holder, represent less than 1% of the total outstanding Company Shares; (E) such securities may be sold without registration pursuant to Rule 144 (but with no volume or other restrictions or limitations including as to manner or timing of sale); or (F) such securities have been sold to, or through, a broker, dealer or underwriter in a public distribution or other public securities transaction.</w:t>
      </w:r>
    </w:p>
    <w:p>
      <w:pPr>
        <w:spacing w:after="0" w:line="1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documented out-of-pocket expenses of a Registration or Underwritten Offering, including, without limitation, the following:</w:t>
      </w:r>
    </w:p>
    <w:p>
      <w:pPr>
        <w:spacing w:after="0" w:line="159" w:lineRule="exact"/>
        <w:rPr>
          <w:sz w:val="20"/>
          <w:szCs w:val="20"/>
          <w:color w:val="auto"/>
        </w:rPr>
      </w:pPr>
    </w:p>
    <w:p>
      <w:pPr>
        <w:ind w:firstLine="656"/>
        <w:spacing w:after="0" w:line="282" w:lineRule="auto"/>
        <w:tabs>
          <w:tab w:leader="none" w:pos="9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national securities exchange on which Company Shares are then listed);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ind w:left="960" w:hanging="30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or Underwritten Offering;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or the majority-in interest of the Takedown Requesting Holders,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under no circumstances shall the Company be obligated to pay any fees, discounts and/or commissions to any Underwriter or broker with respect to the Registrable Securities.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Purchase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shall have the meaning given in the Sale and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U.S.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Consideration Shares</w:t>
      </w:r>
      <w:r>
        <w:rPr>
          <w:rFonts w:ascii="Times New Roman" w:cs="Times New Roman" w:eastAsia="Times New Roman" w:hAnsi="Times New Roman"/>
          <w:sz w:val="18"/>
          <w:szCs w:val="18"/>
          <w:color w:val="auto"/>
        </w:rPr>
        <w:t>” shall have the meaning given to such term in the Sale and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following June 30, 2026 (but subject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Holders holding at least a majority in interest of the then-outstanding number of Registrable Securities held by all Holders (such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of all or part of their Registrable Securities on Form F-3 (or, if Form F-3 is not available to be used by the Company at such time, on Form F-1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Under no circumstances shall the Company be obligated to effect more than an aggregate of two (2)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initiated by the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effectuate more than two Demand Registrations in respect of all Registrable Securities.</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each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 which Underwriter(s) shall be reasonably acceptable to a majority-in-interest of the Demanding Holders initiating the Demand Registration.</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Company Shares or other equity securities that the Company desires to sell and the Company Shares,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 (i), Company Shares or other equity securities that the Company desires to sell, which can be sold without exceeding the Maximum Number of Securities; and (iii) third, to the extent that the Maximum Number of Securities has not been reached under the foregoing clauses (i) and (ii), Company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If a majority-in-interest of the Demanding Holders initiating a Demand Registration or a majority-in-interest of the Demand Requesting Holders (if any) withdraws from a proposed offering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then such registration shall count as a Demand Registration provided for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such Demanding Holders reimburse the Company for all Registration Expenses with respect to such Demand Registration, on a pro rata basis, based on the respective number of Registrable Securities that each such Demanding Holder has requested be included in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expiration of the Lock-up Period,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a Form F-4 (or any successor form thereto) in connection with a business combination, or (vi) a post-effective amendment to an existing registration statement, then the Company shall give written notice of such proposed filing to the Holders of Registrable Securities whose Lock-up Period has expired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the Holders of Registrable Securities whose Lock-up Period has expired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such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Company Shares that the Company desires to sell, taken together with (i) the Company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Company Shares,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left="1960" w:hanging="656"/>
        <w:spacing w:after="0" w:line="254" w:lineRule="auto"/>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Company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Company Shares, if any, as to which Registration has been requested pursuant to written contractual piggy-back registration rights of other stockholders of the Company, which can be sold without exceeding the Maximum Number of Securities;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2" w:lineRule="auto"/>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Company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Company Shares or other equity securities that the Company desires to sell, which can be sold without exceeding the Maximum Number of Securities; and (D) fourth, to the extent that the Maximum Number of Securities has not been reached under the foregoing clauses (A), (B) and (C), Company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and there shall be no limit on the number of Piggyback Registrations.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xml:space="preserve">.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prior to the effectiveness of such registration whether or not any Holder of Registrable Securities has elected to include securities in such registration.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Resale Shelf Registration Rights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On or prior to July 31, 2026, or the completion of the Group Financial Statements (as defined in the Securities Purchase Agreement) in accordance with Clause 15.1(a) of the Securities Purchase Agreement, whichever is later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the Company shall file with the Commission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which Registration Statement may also include any other securities the Company is required to register pursuant to contractual registration rights. The Resale Shelf Registration Statement shall be on Form F-3 (or, if Form F-3 is not available to be used by the Company at such time, on Form F-1 or another appropriate form permitting Registration of such Registrable Securities for resale). If the Resale Shelf Registration Statement is initially filed on Form F-1 and thereafter the Company becomes eligible to use Form F-3 for secondary sales, the Company shall, as promptly as practicable, cause such Resale Shelf Registration Statement to be amended, or shall file a new replacement Resale Shelf Registration Statement, such that the Resale Shelf Registration Statement is on Form F-3. The Company shall use its commercially reasonable efforts to cause the Resale Shelf Registration Statement to be declared effective as soon as reasonably practicable after filing, but in no event later than thirty (30) days following the Filing Deadline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Effectiveness Deadline shall be extended to one hundred twenty (120) days after the Filing Deadline if the Registration Statement is reviewed by, and receives comments from,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Effectiveness Deadline falls on a day which is not a Business Day or other day that the Commission is closed for business, the Effectiveness Deadline shall be extended to the next Business Day on which the Commission is open for business.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which is five (5) years after the Completion Date, and (ii) 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2.3.1</w:t>
      </w:r>
      <w:r>
        <w:rPr>
          <w:rFonts w:ascii="Times New Roman" w:cs="Times New Roman" w:eastAsia="Times New Roman" w:hAnsi="Times New Roman"/>
          <w:sz w:val="18"/>
          <w:szCs w:val="18"/>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and shall provide that such Registrable Securities may be sold pursuant to any method or combination of methods legally available to, and requested by, Holders.</w:t>
      </w:r>
    </w:p>
    <w:p>
      <w:pPr>
        <w:spacing w:after="0" w:line="20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 (to the extent that any of such documents is not available on EDGAR).</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is filed on Form F-3 and thereafter the Company becomes ineligible to use Form F-3 for secondary sales, the Company shall promptly notify the Holders of such ineligibility and use its best efforts to file a shelf registration on an appropriate form as promptly as practicable to replace the shelf registration statement on Form F-3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the Company once again becomes eligible to use Form F-3, the Company shall cause such replacement Resale Shelf Registration Statement to be amended, or shall file a new replacement Resale Shelf Registration Statement, such that the Resale Shelf Registration Statement is once again on Form F-3.</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SEC Cutback</w:t>
      </w:r>
      <w:r>
        <w:rPr>
          <w:rFonts w:ascii="Times New Roman" w:cs="Times New Roman" w:eastAsia="Times New Roman" w:hAnsi="Times New Roman"/>
          <w:sz w:val="18"/>
          <w:szCs w:val="18"/>
          <w:color w:val="auto"/>
        </w:rPr>
        <w:t xml:space="preserve">. Notwithstanding the registration obligations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on Form F-3, or if Form F-3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Resale Shelf Registration Statement, as amended, or the New Registration Statement.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provided, however, that the Company shall only be obligated to effect an Underwritten Shelf Takedown if such offering shall include securities with a total offering price (including piggyback securities and before deduction of underwriting discounts) reasonably expected to exceed, in the aggregate, $50,000,000.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at least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Reduction of Underwritten Shelf Takedown</w:t>
      </w:r>
      <w:r>
        <w:rPr>
          <w:rFonts w:ascii="Times New Roman" w:cs="Times New Roman" w:eastAsia="Times New Roman" w:hAnsi="Times New Roman"/>
          <w:sz w:val="18"/>
          <w:szCs w:val="18"/>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Company Shares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Company Shares or other equity securities that the Company desires to sell, which can be sold without exceeding the Maximum Number of Securities.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2.3.7 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Under no circumstances shall the Company be obligated to effect more than an aggregate of two (2) Underwritten Shelf Takedowns in any 12-month period.</w:t>
      </w:r>
    </w:p>
    <w:p>
      <w:pPr>
        <w:spacing w:after="0" w:line="176"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Notwithstanding anything to the contrary contained herein, the Company shall not be obligated to (but may, at its sole option) file a Registration Statement pursuant to a Demand Registration request made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that the Company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and pursuant thereto the Company shall:</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 prepare and file with the Commission, within the timeframe required by Section 2.1.1., a Registration Statement with respect to such Registrable Securities and use its commercially reasonable efforts to cause such Registration Statement to become effective and remain effective until the earlier of (i) such time as all Registrable Securities covered by such Registration Statement have been sold and (ii) such time as all Registrable Securities covered by such Registration Statement have ceased to be Registrable Securities;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the majority-in-interest of the Holders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(“EDGAR”);</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national securities exchange on which similar securities issued by the Company are then listed;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3.1.6 provide a transfer agent and registrar for all such Registrable Securities no later than the effective date of such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 (which may be satisfied by the issuance of a press release by the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the Underwriter(s), if any, and any attorney or accountant retained by such Holders or Underwriter(s) to participate, at each such person’s own expense,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3.1.11 obtain a “comfort letter” from the Company’s independent registered public accountants in the event of an Underwritten Registration, in customary form and covering such matters of the type customarily covered by “comfort letters” as the managing Underwriter(s) may reasonably request, and reasonably satisfactory to a majority-in-interest of the participating Holders and such managing Underwriter;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Underwriter(s) may reasonably request and as are customarily included in such opinions, and reasonably satisfactory to a majority in interest of the participating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counsel for the Company shall not be required to provide any opinions with respect to any Holder;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3.1.14 if a Registration, including an Underwritten Offering,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Underwriter(s) in any Underwritten Offering;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3.1.15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if such Underwriter has not then been named with respect to the applicable Underwritten Offering.</w:t>
      </w:r>
    </w:p>
    <w:p>
      <w:pPr>
        <w:spacing w:after="0" w:line="162"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Including as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all Registration Expenses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all reasonable fees and expenses of any legal counsel representing the Holders.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Notwithstanding anything in this Agreement to the contrary, if any Holder does not complete and/or execute such documents or does not otherwise provide the Company with such information with respect to such Holder as the Company reasonably requests for use in connection with any such Registration Statement or Prospectus covering Registrable Securities of such Holder within two (2) Business Days prior to filing the filing of the applicable “red herring” prospectus or prospectus supplement,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The Company shall promptly notify each of the Holders in writing if a Registration Statement or Prospectus contains a Misstatement and, upon receipt of such written 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(which judgment shall be documented in writing and provided to the Holders in the form of a written certificate signed by the Chairman of the Board) would be materially detrimental to the Company, the Company shall have the right to defer the filing, initial effectiveness or continued use of any Registration Statement pursuant to (a), (b) or (c) of this sentence for a period of not more than sixty (60) days, but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more than twice or for more than a total of 120 days (in each case counting deferrals initiated pursuant to (a), (b) and (c) of this sentence in the aggregate) in any 12-month period. Each Holder agrees that, upon receipt of any notice from the Company of the commencement of a Blackout Period, such Holder shall discontinue the disposition of Registrable Securities included in the Registration Statement until such Holder’s receipt of the copies of the supplemented or amended Prospectus after the termination of such Blackout Period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96" w:name="page97"/>
    <w:bookmarkEnd w:id="96"/>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is subject to the reporting requirements of the Exchange Act, covenants to file timely (or obtain extensions in respect thereof and file within the applicable grace period) all reports required to be filed or furnished by the Company after the date hereof pursuant to the Exchange Act, including, for the avoidance of doubt, its annual reports on Form 20-F and current reports on Form 6-K, as applicable to a foreign private issuer, and shall furnish the Holders with true and complete copies of all such filings;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documents publicly filed or furnished with the Commission on EDGAR shall be deemed to have been furnished or delivered to the Holders pursuant to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reasonable outside attorneys’ fees) (as determined by a final and non-appealable judgment, order or decree of a court of competent jurisdiction)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reasonable outside attorneys’ fees) (as determined by a final and non-appealable judgment, order or decree of a court of competent jurisdiction)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to such party in the event the Company’s or such Holder’s indemnification is unavailable for any reason.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documented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7"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Except as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Holder shall not Transfer any Consideration Shares beneficially owned or owned of record by such Holder until the end of the Lock-up Period. Notwithstanding the foregoing, solely for the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all references to “Consideration Shares” shall exclude the Unrestricted Consideration Shares, which such shares are not subject to the lock-up restrictions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apply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5.2.1 transactions relating to (i) Company Shares acquired by the Holders in open market transactions and (ii) Unrestricted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5.2.2 Transfers as a bona fide gift;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5.2.3 Transfers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5.2.4 Transfers by will or intestate succession upon the death of the undersigned;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Transfers pursuant to a qualified domestic order or in connection with a divorce settlement;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5.2.6 if the undersigned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undersigned, and (ii) distributions to partners, limited liability company members or stockholders of the undersigned;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5.2.7 Transfers between the 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5.2.8 Transfers to the Company’s officers, directors or their affiliates;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5.2.9 pledges of Consideration Shares as security or collateral in connection with any borrowing or the incurrence of any indebtedness by any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borrowing or incurrence of indebtedness is secured by a portfolio of assets or equity interests issued by multiple issuers;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5.2.10 Transfers pursuant to a bona fide third-party tender offer, merger, stock sale, recapitalization, consolidation or other transaction involving a Change in Control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such tender offer, merger, recapitalization, consolidation or other such transaction is not completed, the Consideration Shares subject to this Agreement shall remain subject to this Agreement;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5.2.11 the establishment of a trading plan pursuant to Rule 10b5-1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plan does not provide for the Transfer of Consideration Shares during the Lock-up Period applicable to the Holder establishing such a plan;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Transfer pursuant to </w:t>
      </w:r>
      <w:r>
        <w:rPr>
          <w:rFonts w:ascii="Times New Roman" w:cs="Times New Roman" w:eastAsia="Times New Roman" w:hAnsi="Times New Roman"/>
          <w:sz w:val="18"/>
          <w:szCs w:val="18"/>
          <w:u w:val="single" w:color="auto"/>
          <w:color w:val="auto"/>
        </w:rPr>
        <w:t>Sections 5.2.2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each donee, distributee or other transferee shall agree in writing, in form and substance reasonably satisfactory to the Company, to be bound by the provisions of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5.3.1 Lock-Up Legend. Each certificate, instrument or book entry representing the Consideration Shares shall also be notated with a legend in substantially the following form:</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TRANSFERABILITY AND RESALE, INCLUDING A LOCK-UP PERIOD AND MAY NOT BE OFFERED, SOLD, TRANSFERRED, PLEDGED OR OTHERWISE DISPOSED, EXCEPT IN ACCORDANCE WITH THE TERMS AS SET FORTH IN THE REGISTRATION RIGHTS AND LOCK-UP AGREEMENT DATED [*], 2026.</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5.3.2 Bona Fide Pledges. A Holder may, in connection with a bona fide loan or indebtedness financing transaction, pledge or grant a security interest in some or all of the Consideration Shares to a bona fide institutional lender in the business of commercial lending, provided, however, that it shall be a condition to such transfer that (i) such institutional lender execute and deliver to the Company an agreement stating that it is receiving and holding restricted Consideration Shares subject to the transfer and lock-up restrictions set forth in this Agreement, (ii) there shall be no further transfer of any such restricted Consideration Shares except in accordance with this Agreement, and (iii) no transfer, foreclosure or other disposition of such restricted Consideration Shares shall occur unless (a) permitted under this Agreement and under applicable securities laws and (b) the Company receives an opinion of counsel reasonably satisfactory to the Company to such effect, at such Holder’s expense. No voting rights or other ownership shall be transferred in connection with such pledge except as otherwise agreed by the Company in writing. At the applicable Holder’s expense, the Company will execute and deliver such reasonable documentation as such institutional lender may reasonably request in connection with the pledge or grant of such Consideration Shares.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ind w:firstLine="1296"/>
        <w:spacing w:after="0" w:line="261" w:lineRule="auto"/>
        <w:rPr>
          <w:sz w:val="20"/>
          <w:szCs w:val="20"/>
          <w:color w:val="auto"/>
        </w:rPr>
      </w:pPr>
      <w:r>
        <w:rPr>
          <w:rFonts w:ascii="Times New Roman" w:cs="Times New Roman" w:eastAsia="Times New Roman" w:hAnsi="Times New Roman"/>
          <w:sz w:val="18"/>
          <w:szCs w:val="18"/>
          <w:color w:val="auto"/>
        </w:rPr>
        <w:t>5.3.3 Legend Removal. Certificates or book entries evidencing the Consideration Shares shall not contain any legend: (i) on the Applicable Release Date, or (ii) while a Registration Statement covering the resale of such Consideration Shares is effective under the Securities Act, or</w:t>
      </w:r>
    </w:p>
    <w:p>
      <w:pPr>
        <w:ind w:left="320" w:hanging="312"/>
        <w:spacing w:after="0"/>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Consideration Shares pursuant to (a) if the Holder is not an “affiliate” of the Company (as defined under Rule 144), Section</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4(a)(1) under the Securities Act or (b) if the Holder is an “affiliate” of the Company (as defined under Rule 144), Rule 144, or (iv) if such legend is not required under applicable requirements of the Securities Act (including judicial interpretations and pronouncements issued by the staff of the Commission), as set forth in a legal opinion delivered by nationally recognized counsel to the Holder, as may reasonably be required by the Company or its Transfer Agent to confirm that the legend may be removed under applicable securities laws (the “</w:t>
      </w:r>
      <w:r>
        <w:rPr>
          <w:rFonts w:ascii="Times New Roman" w:cs="Times New Roman" w:eastAsia="Times New Roman" w:hAnsi="Times New Roman"/>
          <w:sz w:val="18"/>
          <w:szCs w:val="18"/>
          <w:u w:val="single" w:color="auto"/>
          <w:color w:val="auto"/>
        </w:rPr>
        <w:t>Legend Removal Documents</w:t>
      </w:r>
      <w:r>
        <w:rPr>
          <w:rFonts w:ascii="Times New Roman" w:cs="Times New Roman" w:eastAsia="Times New Roman" w:hAnsi="Times New Roman"/>
          <w:sz w:val="18"/>
          <w:szCs w:val="18"/>
          <w:color w:val="auto"/>
        </w:rPr>
        <w:t>”). The Company shall cooperate with the applicable Holder to effect removal of the legend on such Consideration Shares pursuant to this Section 5.3.3 as soon as reasonably practicable after delivery of notice from such Holder that the conditions to removal are satisfied (together with any Legend Removal Documents, as applicable). In connection with any legend removal pursuant to this Section 5.3.3, if required by the Company’s Transfer Agent, the Company shall cause an opinion of counsel to be delivered to and maintained with the Company’s Transfer Agent, together with any other authorizations, certificates and directions required by the Transfer Agent that authorize and direct the Transfer Agent to issue the Consideration Shares without any such legend. The Company shall bear all direct costs and expenses associated with the removal of a legend. The Company shall not be required to remove any legend or cause any legend to be removed from any certificate or book entry if the Holder is an “affiliate” of the Company (as defined under Rule 144) unless and until all applicable requirements of Rule 144 have been satisfied. Any determination of “affiliate status” shall be made in accordance with applicable law and shall not be presumed by virtue of the number of Company Shares issued pursuant to the Sale and Purchase Agreement. For the avoidance of doubt, the Company shall not be required to remove any legend or deliver any instruction to the Transfer Agent to remove or omit any legend if such removal would result in a violation of the Securities Act or other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with respect to each Holder, upon the earliest of the date on which such Holder or any of its permitted assignees (i) no longer has Registrable Securities that remain outstanding; (ii) the dissolution, liquidation, or winding up of the Company; and (iii) the mutual written agreement of the parties to effect such termination. The provisions of Article 4 shall survive any termination of this Agreement.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the Company, to it at:</w:t>
      </w:r>
    </w:p>
    <w:p>
      <w:pPr>
        <w:sectPr>
          <w:pgSz w:w="11900" w:h="16838" w:orient="portrait"/>
          <w:cols w:equalWidth="0" w:num="1">
            <w:col w:w="10900"/>
          </w:cols>
          <w:pgMar w:left="660" w:top="684" w:right="339" w:bottom="1440" w:gutter="0" w:footer="0" w:header="0"/>
        </w:sectPr>
      </w:pP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For the attention of:</w:t>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Diginex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Room 1311, Level 13 Leighton Centre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Leighton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Causeway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Ewing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paul.ewing@diginex.com</w:t>
      </w:r>
    </w:p>
    <w:p>
      <w:pPr>
        <w:spacing w:after="0" w:line="200" w:lineRule="exact"/>
        <w:rPr>
          <w:sz w:val="20"/>
          <w:szCs w:val="20"/>
          <w:color w:val="auto"/>
        </w:rPr>
      </w:pPr>
    </w:p>
    <w:p>
      <w:pPr>
        <w:sectPr>
          <w:pgSz w:w="11900" w:h="16838" w:orient="portrait"/>
          <w:cols w:equalWidth="0" w:num="2">
            <w:col w:w="3040" w:space="520"/>
            <w:col w:w="7340"/>
          </w:cols>
          <w:pgMar w:left="660" w:top="684" w:right="339" w:bottom="1440" w:gutter="0" w:footer="0" w:header="0"/>
          <w:type w:val="continuous"/>
        </w:sectPr>
      </w:pP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‌200 Park Avenue, New York,</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NY 10166-0193</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Robert D. Giannattasio; Email: rgiannattasio@gibsondunn.com</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such Holder in the records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that a Holder may, without consent, assign such Holder’s rights under this Agreement to any Permitted Transferee.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type w:val="continuous"/>
        </w:sectPr>
      </w:pPr>
    </w:p>
    <w:bookmarkStart w:id="102" w:name="page103"/>
    <w:bookmarkEnd w:id="10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New York, without giving effect to the principles of conflicts of law thereof.</w:t>
      </w:r>
    </w:p>
    <w:p>
      <w:pPr>
        <w:spacing w:after="0" w:line="18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THE SUPREME COURT OF THE STATE OF NEW YORK AND THE FEDERAL COURTS OF THE UNITED STATES OF AMERICA LOCATED IN THE STATE OF NEW YORK (THE “CHOSEN COURTS”) SOLELY IN RESPECT OF THE INTERPRETATION AND ENFORCEMENT OF THE PROVISIONS OF THIS AGREEMENT AND THE DOCUMENTS REFERRED TO IN THIS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03" w:name="page104"/>
    <w:bookmarkEnd w:id="103"/>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Headings; Interpretation</w:t>
      </w:r>
      <w:r>
        <w:rPr>
          <w:rFonts w:ascii="Times New Roman" w:cs="Times New Roman" w:eastAsia="Times New Roman" w:hAnsi="Times New Roman"/>
          <w:sz w:val="17"/>
          <w:szCs w:val="17"/>
          <w:color w:val="auto"/>
        </w:rPr>
        <w:t>.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Holder agrees to treat as confidential the receipt of any notice hereunder (including notice of a Demand Registration)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6"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04" w:name="page105"/>
    <w:bookmarkEnd w:id="104"/>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except by an instrument in writing signed by (i) the Company and (ii) Holders holding at least a majority in interest of the then-outstanding number of Registrable Securities held by all Holders (provided the Holders or their Permitted Transferees hold Registrable Securities at the time of such amendment);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w:t>
      </w:r>
    </w:p>
    <w:p>
      <w:pPr>
        <w:spacing w:after="0" w:line="183"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(i) the Company may (a) extend the time for the performance of any obligation or other act of any Holder,</w:t>
      </w:r>
    </w:p>
    <w:p>
      <w:pPr>
        <w:spacing w:after="0" w:line="27" w:lineRule="exact"/>
        <w:rPr>
          <w:sz w:val="20"/>
          <w:szCs w:val="20"/>
          <w:color w:val="auto"/>
        </w:rPr>
      </w:pPr>
    </w:p>
    <w:p>
      <w:pPr>
        <w:jc w:val="both"/>
        <w:ind w:left="8" w:hanging="8"/>
        <w:spacing w:after="0" w:line="251" w:lineRule="auto"/>
        <w:tabs>
          <w:tab w:leader="none" w:pos="27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of a majority of the total Registrable Securities may on behalf of all Holders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provided, that any waiver that adversely affects one Holder, solely in its capacity as a holder of the shares of capital stock of the Company, in a manner that is materially different from the other Holders (in such capacity) shall require the consent of the Holder so affected. Any such extension or waiver shall be valid if set forth in an instrument in writing signed by the party or parties to be bound thereby.</w:t>
      </w:r>
    </w:p>
    <w:p>
      <w:pPr>
        <w:spacing w:after="0" w:line="194"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in the case of any Holder, or at the request of any Holder, in the case of the 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76"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to express their mutual intent and no rule of strict construction shall be applied against any party.</w:t>
      </w:r>
    </w:p>
    <w:p>
      <w:pPr>
        <w:spacing w:after="0" w:line="1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COMPANY</w:t>
            </w:r>
          </w:p>
        </w:tc>
        <w:tc>
          <w:tcPr>
            <w:tcW w:w="3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24"/>
                <w:szCs w:val="24"/>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DIGINEX LIMITED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9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9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9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4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24"/>
                <w:szCs w:val="24"/>
                <w:color w:val="auto"/>
              </w:rPr>
            </w:pPr>
          </w:p>
        </w:tc>
      </w:t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CENTILLION INNOVATIONS PRIVATE LIMITED</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8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420" w:type="dxa"/>
            <w:vAlign w:val="bottom"/>
            <w:gridSpan w:val="2"/>
          </w:tcPr>
          <w:p>
            <w:pPr>
              <w:ind w:left="7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8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 PENNY PTE. LTD.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ind w:right="1840"/>
        <w:spacing w:after="0" w:line="286" w:lineRule="auto"/>
        <w:rPr>
          <w:sz w:val="20"/>
          <w:szCs w:val="20"/>
          <w:color w:val="auto"/>
        </w:rPr>
      </w:pPr>
      <w:r>
        <w:rPr>
          <w:rFonts w:ascii="Times New Roman" w:cs="Times New Roman" w:eastAsia="Times New Roman" w:hAnsi="Times New Roman"/>
          <w:sz w:val="18"/>
          <w:szCs w:val="18"/>
          <w:b w:val="1"/>
          <w:bCs w:val="1"/>
          <w:color w:val="auto"/>
        </w:rPr>
        <w:t>SIGNED FOR AND ON BEHALF OF 500 TUKTUKS,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3488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4800" w:space="720"/>
            <w:col w:w="5720"/>
          </w:cols>
          <w:pgMar w:left="320" w:top="684" w:right="339" w:bottom="1440" w:gutter="0" w:footer="0" w:header="0"/>
        </w:sectPr>
      </w:pPr>
    </w:p>
    <w:p>
      <w:pPr>
        <w:ind w:left="5740"/>
        <w:spacing w:after="0"/>
        <w:rPr>
          <w:sz w:val="20"/>
          <w:szCs w:val="20"/>
          <w:color w:val="auto"/>
        </w:rPr>
      </w:pPr>
      <w:r>
        <w:rPr>
          <w:rFonts w:ascii="Times New Roman" w:cs="Times New Roman" w:eastAsia="Times New Roman" w:hAnsi="Times New Roman"/>
          <w:sz w:val="18"/>
          <w:szCs w:val="18"/>
          <w:color w:val="auto"/>
        </w:rPr>
        <w:t>Name: Christine Tsai</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Title:President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500 TUKTUKS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the capacity as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500 TUKTUKS GP,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the capacity as General Partner</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BLUE PENNY PTE. LTD.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HARESH RAM KHOOBCHANDANI</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20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RADHIKA SUNDARAM</w:t>
            </w:r>
          </w:p>
        </w:tc>
        <w:tc>
          <w:tcPr>
            <w:tcW w:w="20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7500" w:type="dxa"/>
            <w:vAlign w:val="bottom"/>
            <w:gridSpan w:val="2"/>
          </w:tcPr>
          <w:p>
            <w:pPr>
              <w:ind w:left="17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74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RAMBACTHAVACHALAM DHAKSHINA MOORTHY</w:t>
            </w: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960" w:type="dxa"/>
            <w:vAlign w:val="bottom"/>
          </w:tcPr>
          <w:p>
            <w:pPr>
              <w:spacing w:after="0"/>
              <w:rPr>
                <w:sz w:val="16"/>
                <w:szCs w:val="16"/>
                <w:color w:val="auto"/>
              </w:rPr>
            </w:pPr>
          </w:p>
        </w:tc>
        <w:tc>
          <w:tcPr>
            <w:tcW w:w="6280" w:type="dxa"/>
            <w:vAlign w:val="bottom"/>
            <w:gridSpan w:val="2"/>
          </w:tcPr>
          <w:p>
            <w:pPr>
              <w:ind w:left="5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960" w:type="dxa"/>
            <w:vAlign w:val="bottom"/>
          </w:tcPr>
          <w:p>
            <w:pPr>
              <w:spacing w:after="0"/>
              <w:rPr>
                <w:sz w:val="20"/>
                <w:szCs w:val="20"/>
                <w:color w:val="auto"/>
              </w:rPr>
            </w:pPr>
          </w:p>
        </w:tc>
        <w:tc>
          <w:tcPr>
            <w:tcW w:w="6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KASSNIK PTY LTD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TIGER SEE FINANCING LIMITED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2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EQUIOM FIDUCIARY SERVICES</w:t>
            </w:r>
          </w:p>
        </w:tc>
        <w:tc>
          <w:tcPr>
            <w:tcW w:w="12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87"/>
        </w:trPr>
        <w:tc>
          <w:tcPr>
            <w:tcW w:w="44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(HONG KONG) LIMITED</w:t>
            </w:r>
          </w:p>
        </w:tc>
        <w:tc>
          <w:tcPr>
            <w:tcW w:w="6780" w:type="dxa"/>
            <w:vAlign w:val="bottom"/>
            <w:gridSpan w:val="2"/>
          </w:tcPr>
          <w:p>
            <w:pPr>
              <w:ind w:left="1060"/>
              <w:spacing w:after="0" w:line="188" w:lineRule="exact"/>
              <w:rPr>
                <w:sz w:val="20"/>
                <w:szCs w:val="20"/>
                <w:color w:val="auto"/>
              </w:rPr>
            </w:pPr>
            <w:r>
              <w:rPr>
                <w:rFonts w:ascii="Times New Roman" w:cs="Times New Roman" w:eastAsia="Times New Roman" w:hAnsi="Times New Roman"/>
                <w:sz w:val="18"/>
                <w:szCs w:val="18"/>
                <w:color w:val="auto"/>
              </w:rPr>
              <w:t>Name:</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TRUSTEE OF THE GIORGINI TRUST</w:t>
            </w:r>
          </w:p>
        </w:tc>
        <w:tc>
          <w:tcPr>
            <w:tcW w:w="67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BRELKO CONVEYOR PRODUCTS (PTY) LIMITED</w:t>
            </w: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900" w:type="dxa"/>
            <w:vAlign w:val="bottom"/>
          </w:tcPr>
          <w:p>
            <w:pPr>
              <w:spacing w:after="0"/>
              <w:rPr>
                <w:sz w:val="16"/>
                <w:szCs w:val="16"/>
                <w:color w:val="auto"/>
              </w:rPr>
            </w:pPr>
          </w:p>
        </w:tc>
        <w:tc>
          <w:tcPr>
            <w:tcW w:w="6340" w:type="dxa"/>
            <w:vAlign w:val="bottom"/>
            <w:gridSpan w:val="2"/>
          </w:tcPr>
          <w:p>
            <w:pPr>
              <w:ind w:left="6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900" w:type="dxa"/>
            <w:vAlign w:val="bottom"/>
          </w:tcPr>
          <w:p>
            <w:pPr>
              <w:spacing w:after="0"/>
              <w:rPr>
                <w:sz w:val="20"/>
                <w:szCs w:val="20"/>
                <w:color w:val="auto"/>
              </w:rPr>
            </w:pPr>
          </w:p>
        </w:tc>
        <w:tc>
          <w:tcPr>
            <w:tcW w:w="6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ARTEMIS HOLDINGS LIMITED</w:t>
            </w: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7000" w:type="dxa"/>
            <w:vAlign w:val="bottom"/>
            <w:gridSpan w:val="2"/>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40" w:type="dxa"/>
            <w:vAlign w:val="bottom"/>
          </w:tcPr>
          <w:p>
            <w:pPr>
              <w:spacing w:after="0"/>
              <w:rPr>
                <w:sz w:val="20"/>
                <w:szCs w:val="20"/>
                <w:color w:val="auto"/>
              </w:rPr>
            </w:pPr>
          </w:p>
        </w:tc>
        <w:tc>
          <w:tcPr>
            <w:tcW w:w="7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9"/>
                <w:szCs w:val="19"/>
                <w:color w:val="auto"/>
              </w:rPr>
            </w:pPr>
          </w:p>
        </w:tc>
      </w:tr>
      <w:tr>
        <w:trPr>
          <w:trHeight w:val="275"/>
        </w:trPr>
        <w:tc>
          <w:tcPr>
            <w:tcW w:w="4300" w:type="dxa"/>
            <w:vAlign w:val="bottom"/>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[EMPLOYEE AWARD SPV SELLER]</w:t>
            </w:r>
            <w:r>
              <w:rPr>
                <w:rFonts w:ascii="Times New Roman" w:cs="Times New Roman" w:eastAsia="Times New Roman" w:hAnsi="Times New Roman"/>
                <w:sz w:val="29"/>
                <w:szCs w:val="29"/>
                <w:b w:val="1"/>
                <w:bCs w:val="1"/>
                <w:color w:val="auto"/>
                <w:vertAlign w:val="superscript"/>
              </w:rPr>
              <w:t>1</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tcPr>
          <w:p>
            <w:pPr>
              <w:spacing w:after="0"/>
              <w:rPr>
                <w:sz w:val="23"/>
                <w:szCs w:val="23"/>
                <w:color w:val="auto"/>
              </w:rPr>
            </w:pPr>
          </w:p>
        </w:tc>
      </w:tr>
      <w:tr>
        <w:trPr>
          <w:trHeight w:val="191"/>
        </w:trPr>
        <w:tc>
          <w:tcPr>
            <w:tcW w:w="4300" w:type="dxa"/>
            <w:vAlign w:val="bottom"/>
          </w:tcPr>
          <w:p>
            <w:pPr>
              <w:spacing w:after="0"/>
              <w:rPr>
                <w:sz w:val="16"/>
                <w:szCs w:val="16"/>
                <w:color w:val="auto"/>
              </w:rPr>
            </w:pPr>
          </w:p>
        </w:tc>
        <w:tc>
          <w:tcPr>
            <w:tcW w:w="6940" w:type="dxa"/>
            <w:vAlign w:val="bottom"/>
            <w:gridSpan w:val="2"/>
          </w:tcPr>
          <w:p>
            <w:pPr>
              <w:ind w:left="12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1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Registered name of the Employee Award SPV Seller to be inserted after incorporation.</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Holder</w:t>
      </w:r>
    </w:p>
    <w:p>
      <w:pPr>
        <w:spacing w:after="0" w:line="229" w:lineRule="exact"/>
        <w:rPr>
          <w:sz w:val="20"/>
          <w:szCs w:val="20"/>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Centillion Innovations Private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 Penny Pte.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Tuktuks, L.P.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Penny Pte.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Haresh Ram Khoobchandani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Radhika Sundaram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Rambackthavachalam Dhakshina Moorthy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Kassnik Pty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Tiger See Financing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Equiom Fiduciary Services (Hong Kong) Limited as Trustee of The Giorgini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Brelko Conveyor Products (PTY)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Holdings Limited</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[Employee Award SPV Seller]</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 w:lineRule="exact"/>
        <w:rPr>
          <w:sz w:val="20"/>
          <w:szCs w:val="20"/>
          <w:color w:val="auto"/>
        </w:rPr>
      </w:pPr>
    </w:p>
    <w:p>
      <w:pPr>
        <w:ind w:left="120" w:hanging="112"/>
        <w:spacing w:after="0"/>
        <w:tabs>
          <w:tab w:leader="none" w:pos="120" w:val="left"/>
        </w:tabs>
        <w:numPr>
          <w:ilvl w:val="0"/>
          <w:numId w:val="1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Registered name of the Employee Award SPV Seller to be inserted after incorporation.</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SCHEDULE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Indemnity</w:t>
      </w:r>
    </w:p>
    <w:p>
      <w:pPr>
        <w:spacing w:after="0" w:line="225"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Covenants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Sellers covenant to the Purchaser to indemnify the Purchaser on demand an amount equal to the following:</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Tax Liability which has arisen or arises as a result of, in respect of or in consequence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occurred or was deemed for Tax purposes to occur on or before the Completion Date;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profits or gains earned, accrued, received or otherwise recognised, deemed for Tax purposes or actual, on or before the Completion Date or in respect of a period ending on or before the Completion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of any Group Company relating to or arising at any time in respect of Tax for which another person is primarily liable or which is primarily attributable to another person but is chargeable on the Group Company as a result of, or by reference to, such Group Company having been at any time prior to or at Completion in the same group (howsoever defined for any Tax purpose and whether or not on a consolidated or unified basis) or consortium or similar relationship as or otherwise connected, associated or related for any Tax purpose with any other person; and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fees and expenses reasonably and properly suffered or incurred by the Purchaser or any Group Company in connection with a liability for which the Sellers are liable under paragraphs 1(a) or 1(b) of this Schedule 9.</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Date for Payment</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Sellers become liable to make any payment pursuant to a Tax Indemnity Claim, the due date for the making of the payment shall be:</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payment relates to a liability of the Company to make a payment on account of any Tax Liability to a Tax Authority, the date which is the later of: (i) twenty (20) Business Days prior to the last date on which that payment of Tax can be made to the Tax Authority (after taking into account any postponement of the due date for payment which is obtained); and (ii) twenty (20) Business Days after service of a notice of the Tax Claim on the Sellers by the Purchaser;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date falling twenty (20) Business Days after service of a notice of the Tax Indemnity Claim on the Sellers by the Purchaser.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 and Limitations</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The provisions of Schedule 5 shall apply to a Tax Indemnity Claim. To the extent any provision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Schedule 9 conflicts or are otherwise inconsistent with the provisions of Schedule 5 expressly applicable to a Tax Indemnity Claim,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Schedule 9 shall prevail.</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Sellers shall not be liable in respect of any Tax Indemnity Claim in respect of any Tax Liability to the extent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arises or is otherwise increased pursuant to an event or transaction occurring, or in respect of income, profits or gains earned, accrued or received, in the ordinary course of the Group’s business after the Completion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have arisen or would have been reduced or eliminated but for a failure or omission on the part of the Group after the Completion Date to make any claim, election or give any notice or consent or do any other thing the making or giving or doing of which was notified by the Sellers to the Purchaser;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have arisen or otherwise increased but for a disclaimer, disregard, revision to or revocation of a claim or election for or surrender of any Tax Relief (including capital allowances) where such disclaimer, disregard, revision or revocation is caused or made by the Group after the Completion Date;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arises or is otherwise increased due to unreasonable delay by the Purchaser or any member of the Purchaser’s Group;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event or transaction occurring after the Completion Date with the Purchaser’s prior written consent.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Intentionally omitted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SCHEDULE 11</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the Property</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Virtual office space</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Virtual office space</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property</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Virtual office space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Virtual office space</w:t>
            </w:r>
          </w:p>
        </w:tc>
        <w:tc>
          <w:tcPr>
            <w:tcW w:w="0" w:type="dxa"/>
            <w:vAlign w:val="bottom"/>
          </w:tcPr>
          <w:p>
            <w:pPr>
              <w:spacing w:after="0"/>
              <w:rPr>
                <w:sz w:val="1"/>
                <w:szCs w:val="1"/>
                <w:color w:val="auto"/>
              </w:rPr>
            </w:pPr>
          </w:p>
        </w:tc>
      </w:tr>
      <w:tr>
        <w:trPr>
          <w:trHeight w:val="194"/>
        </w:trPr>
        <w:tc>
          <w:tcPr>
            <w:tcW w:w="12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Description of</w:t>
            </w:r>
          </w:p>
        </w:tc>
        <w:tc>
          <w:tcPr>
            <w:tcW w:w="54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Lease</w:t>
            </w:r>
          </w:p>
        </w:tc>
        <w:tc>
          <w:tcPr>
            <w:tcW w:w="52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(lease,</w:t>
            </w:r>
          </w:p>
        </w:tc>
        <w:tc>
          <w:tcPr>
            <w:tcW w:w="240" w:type="dxa"/>
            <w:vAlign w:val="bottom"/>
          </w:tcPr>
          <w:p>
            <w:pPr>
              <w:spacing w:after="0"/>
              <w:rPr>
                <w:sz w:val="16"/>
                <w:szCs w:val="16"/>
                <w:color w:val="auto"/>
              </w:rPr>
            </w:pPr>
          </w:p>
        </w:tc>
        <w:tc>
          <w:tcPr>
            <w:tcW w:w="158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16"/>
                <w:szCs w:val="16"/>
                <w:color w:val="auto"/>
              </w:rPr>
            </w:pPr>
          </w:p>
        </w:tc>
        <w:tc>
          <w:tcPr>
            <w:tcW w:w="158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16"/>
                <w:szCs w:val="16"/>
                <w:color w:val="auto"/>
              </w:rPr>
            </w:pPr>
          </w:p>
        </w:tc>
        <w:tc>
          <w:tcPr>
            <w:tcW w:w="15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underlease, licence, date and</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Suite Pte Ltd</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Suite Pte Ltd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HSQ Seventh Floor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Industrious office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Pacific WOrkplaces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LLP,</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Y.M.R. Prasoona and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Registered/unregistered (and</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Associates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4"/>
            <w:vMerge w:val="continue"/>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Unregistered</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Unregistered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Unregistered</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Unregistered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Unregistered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13, 2026</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 24, 2026</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 31, 2028</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13, 2026</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 13, 2026</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termination of lease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Occupier</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Resulticks Global</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Resulticks Global Pte</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Resulticks Edge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Resulticks Solution</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Resulticks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 Pte</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Solution</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w w:val="98"/>
              </w:rPr>
              <w:t>Communication USA</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Technologies Private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Resulticks Digitals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 Private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Marketing Star Tech</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Private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Use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purpose</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purpose</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purpose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purpose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Business purpose</w:t>
            </w:r>
          </w:p>
        </w:tc>
        <w:tc>
          <w:tcPr>
            <w:tcW w:w="0" w:type="dxa"/>
            <w:vAlign w:val="bottom"/>
          </w:tcPr>
          <w:p>
            <w:pPr>
              <w:spacing w:after="0"/>
              <w:rPr>
                <w:sz w:val="1"/>
                <w:szCs w:val="1"/>
                <w:color w:val="auto"/>
              </w:rPr>
            </w:pPr>
          </w:p>
        </w:tc>
      </w:tr>
      <w:tr>
        <w:trPr>
          <w:trHeight w:val="432"/>
        </w:trPr>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3" w:name="page124"/>
    <w:bookmarkEnd w:id="123"/>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executed by the Parties as a deed and is intended to be and is hereby delivered on the date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SELLERS</w:t>
            </w:r>
          </w:p>
        </w:tc>
        <w:tc>
          <w:tcPr>
            <w:tcW w:w="4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55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FOR AND ON BEHALF OF</w:t>
            </w:r>
          </w:p>
        </w:tc>
        <w:tc>
          <w:tcPr>
            <w:tcW w:w="118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CENTILLION INNOVATIONS PRIVATE LIMITED</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i w:val="1"/>
                <w:iCs w:val="1"/>
                <w:color w:val="auto"/>
                <w:w w:val="98"/>
              </w:rPr>
              <w:t>/s/ P. BUVAN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88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Name: P. BUVAN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 krishnakanth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 PENNY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Giaudeo Pittca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8"/>
          <w:szCs w:val="18"/>
          <w:color w:val="auto"/>
        </w:rPr>
        <w:t>Name: Giaudeo Pittca</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DHANANJAY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25" w:name="page126"/>
    <w:bookmarkEnd w:id="125"/>
    <w:p>
      <w:pPr>
        <w:ind w:right="1820"/>
        <w:spacing w:after="0" w:line="262" w:lineRule="auto"/>
        <w:rPr>
          <w:sz w:val="20"/>
          <w:szCs w:val="20"/>
          <w:color w:val="auto"/>
        </w:rPr>
      </w:pPr>
      <w:r>
        <w:rPr>
          <w:rFonts w:ascii="Times New Roman" w:cs="Times New Roman" w:eastAsia="Times New Roman" w:hAnsi="Times New Roman"/>
          <w:sz w:val="18"/>
          <w:szCs w:val="18"/>
          <w:b w:val="1"/>
          <w:bCs w:val="1"/>
          <w:color w:val="auto"/>
        </w:rPr>
        <w:t>SIGNED, SEALED AND DELIVERED AS A DEED BY CHRISTINE TSAI FOR AND ON BEHALF OF 500 TUKTUKS, L.P.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500 TUKTUKS GP, L.P.</w:t>
      </w:r>
    </w:p>
    <w:p>
      <w:pPr>
        <w:spacing w:after="0" w:line="225" w:lineRule="exact"/>
        <w:rPr>
          <w:sz w:val="20"/>
          <w:szCs w:val="20"/>
          <w:color w:val="auto"/>
        </w:rPr>
      </w:pPr>
    </w:p>
    <w:p>
      <w:pPr>
        <w:ind w:right="1960"/>
        <w:spacing w:after="0" w:line="500" w:lineRule="auto"/>
        <w:rPr>
          <w:sz w:val="20"/>
          <w:szCs w:val="20"/>
          <w:color w:val="auto"/>
        </w:rPr>
      </w:pPr>
      <w:r>
        <w:rPr>
          <w:rFonts w:ascii="Times New Roman" w:cs="Times New Roman" w:eastAsia="Times New Roman" w:hAnsi="Times New Roman"/>
          <w:sz w:val="18"/>
          <w:szCs w:val="18"/>
          <w:color w:val="auto"/>
        </w:rPr>
        <w:t>acting in the capacity as General Partner By: 500 TUKTUKS GP, Ltd.,</w:t>
      </w:r>
    </w:p>
    <w:p>
      <w:pPr>
        <w:spacing w:after="0" w:line="2" w:lineRule="exact"/>
        <w:rPr>
          <w:sz w:val="20"/>
          <w:szCs w:val="20"/>
          <w:color w:val="auto"/>
        </w:rPr>
      </w:pPr>
    </w:p>
    <w:p>
      <w:pPr>
        <w:ind w:right="1960"/>
        <w:spacing w:after="0" w:line="499" w:lineRule="auto"/>
        <w:rPr>
          <w:sz w:val="20"/>
          <w:szCs w:val="20"/>
          <w:color w:val="auto"/>
        </w:rPr>
      </w:pPr>
      <w:r>
        <w:rPr>
          <w:rFonts w:ascii="Times New Roman" w:cs="Times New Roman" w:eastAsia="Times New Roman" w:hAnsi="Times New Roman"/>
          <w:sz w:val="18"/>
          <w:szCs w:val="18"/>
          <w:color w:val="auto"/>
        </w:rPr>
        <w:t>acting in the capacity as General Partner In the presence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Emily Lozano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right="2859" w:hanging="139"/>
        <w:spacing w:after="0" w:line="263" w:lineRule="auto"/>
        <w:tabs>
          <w:tab w:leader="none" w:pos="1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 Christine Tsai </w:t>
      </w:r>
      <w:r>
        <w:rPr>
          <w:rFonts w:ascii="Times New Roman" w:cs="Times New Roman" w:eastAsia="Times New Roman" w:hAnsi="Times New Roman"/>
          <w:sz w:val="18"/>
          <w:szCs w:val="18"/>
          <w:color w:val="auto"/>
        </w:rPr>
        <w:t>Name: Christine Tsai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-294005</wp:posOffset>
            </wp:positionV>
            <wp:extent cx="3488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2191385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80" w:space="720"/>
            <w:col w:w="4539"/>
          </w:cols>
          <w:pgMar w:left="320" w:top="657"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9"/>
                <w:szCs w:val="19"/>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BLUE PENNY PTE. LTD.</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Gaudeo Pittco</w:t>
            </w:r>
          </w:p>
        </w:tc>
      </w:tr>
      <w:tr>
        <w:trPr>
          <w:trHeight w:val="191"/>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Gaudeo Pittco</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DHANANJAY</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Name:</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ID / Passport No.:</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SEALED AND DELIVERED BY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HARESH RAM KHOOBCHANDANI</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9"/>
                <w:szCs w:val="19"/>
                <w:color w:val="auto"/>
              </w:rPr>
            </w:pPr>
          </w:p>
        </w:tc>
      </w:tr>
      <w:tr>
        <w:trPr>
          <w:trHeight w:val="214"/>
        </w:trPr>
        <w:tc>
          <w:tcPr>
            <w:tcW w:w="55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6"/>
        </w:trPr>
        <w:tc>
          <w:tcPr>
            <w:tcW w:w="552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HARESH RAM KHOOBCHANDANI</w:t>
            </w:r>
          </w:p>
        </w:tc>
      </w:tr>
      <w:tr>
        <w:trPr>
          <w:trHeight w:val="4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20" w:type="dxa"/>
            <w:vAlign w:val="bottom"/>
          </w:tcPr>
          <w:p>
            <w:pPr>
              <w:spacing w:after="0"/>
              <w:rPr>
                <w:sz w:val="24"/>
                <w:szCs w:val="24"/>
                <w:color w:val="auto"/>
              </w:rPr>
            </w:pPr>
          </w:p>
        </w:tc>
        <w:tc>
          <w:tcPr>
            <w:tcW w:w="5500" w:type="dxa"/>
            <w:vAlign w:val="bottom"/>
            <w:tcBorders>
              <w:top w:val="single" w:sz="8" w:color="auto"/>
            </w:tcBorders>
          </w:tcPr>
          <w:p>
            <w:pPr>
              <w:spacing w:after="0"/>
              <w:rPr>
                <w:sz w:val="24"/>
                <w:szCs w:val="24"/>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NG JUNG YEON MONICA</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Name:</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ID / Passport No.:</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8" w:name="page129"/>
    <w:bookmarkEnd w:id="128"/>
    <w:p>
      <w:pPr>
        <w:ind w:right="1520"/>
        <w:spacing w:after="0" w:line="286" w:lineRule="auto"/>
        <w:rPr>
          <w:sz w:val="20"/>
          <w:szCs w:val="20"/>
          <w:color w:val="auto"/>
        </w:rPr>
      </w:pPr>
      <w:r>
        <w:rPr>
          <w:rFonts w:ascii="Times New Roman" w:cs="Times New Roman" w:eastAsia="Times New Roman" w:hAnsi="Times New Roman"/>
          <w:sz w:val="18"/>
          <w:szCs w:val="18"/>
          <w:b w:val="1"/>
          <w:bCs w:val="1"/>
          <w:color w:val="auto"/>
        </w:rPr>
        <w:t>SIGNED, SEALED AND DELIVERED BY RADHIKA SUNDARAM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RADHIKA SUNDARAM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8"/>
          <w:szCs w:val="18"/>
          <w:color w:val="auto"/>
        </w:rPr>
        <w:t>Name: RADHIKA SUNDARAM</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Maria Cristina Autonette Cabigas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29" w:name="page130"/>
    <w:bookmarkEnd w:id="129"/>
    <w:p>
      <w:pPr>
        <w:jc w:val="both"/>
        <w:ind w:right="1480"/>
        <w:spacing w:after="0" w:line="268" w:lineRule="auto"/>
        <w:rPr>
          <w:sz w:val="20"/>
          <w:szCs w:val="20"/>
          <w:color w:val="auto"/>
        </w:rPr>
      </w:pPr>
      <w:r>
        <w:rPr>
          <w:rFonts w:ascii="Times New Roman" w:cs="Times New Roman" w:eastAsia="Times New Roman" w:hAnsi="Times New Roman"/>
          <w:sz w:val="18"/>
          <w:szCs w:val="18"/>
          <w:b w:val="1"/>
          <w:bCs w:val="1"/>
          <w:color w:val="auto"/>
        </w:rPr>
        <w:t>SIGNED, SEALED AND DELIVERED BY RAMBACTHAVACHALAM DHAKSHINA MOORTHY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R. DHAKSHINA 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7"/>
          <w:szCs w:val="17"/>
          <w:color w:val="auto"/>
        </w:rPr>
        <w:t>Name: R. DHAKSHINA MOORTHY</w:t>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Joyce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A DEED BY 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KASSNIK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Arthur Charlaftis</w:t>
      </w:r>
      <w:r>
        <w:rPr>
          <w:rFonts w:ascii="Times New Roman" w:cs="Times New Roman" w:eastAsia="Times New Roman" w:hAnsi="Times New Roman"/>
          <w:sz w:val="18"/>
          <w:szCs w:val="18"/>
          <w:color w:val="auto"/>
        </w:rPr>
        <w:t xml:space="preserve"> (Athanasios)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7"/>
          <w:szCs w:val="17"/>
          <w:color w:val="auto"/>
        </w:rPr>
        <w:t>Name: Arthur Charlaftis</w:t>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KULDEEP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DEED BY 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TIGER SEE FINANCING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HRISTO IVANOV GRUEV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7"/>
          <w:szCs w:val="17"/>
          <w:color w:val="auto"/>
        </w:rPr>
        <w:t>Name: HRISTO IVANOV GRUEV</w:t>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STEFAN STOYANOV DAROV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DEED BY _________________________</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EQUIOM FIDUCIARY SERVICES (HONG KONG)</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RADHIKA SUNDARAM</w:t>
            </w:r>
          </w:p>
        </w:tc>
      </w:tr>
      <w:tr>
        <w:trPr>
          <w:trHeight w:val="187"/>
        </w:trPr>
        <w:tc>
          <w:tcPr>
            <w:tcW w:w="55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LIMITED AS TRUSTEE OF THE</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Name: RADHIKA SUNDARAM</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GIORGINI TRUST</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Maria Cristina Autonette Cabigas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Name:</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ID / Passport No.:</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DEED BY ____________________</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BRELKO CONVEYOR PRODUCTS (PTY) LTD</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KANABARAN PADAYACHEE</w:t>
            </w:r>
          </w:p>
        </w:tc>
      </w:tr>
      <w:tr>
        <w:trPr>
          <w:trHeight w:val="191"/>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KANABARAN PADAYACHEE</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 MANAG ING DIRECTOR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Rudolf van Rensburg</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Name:</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ID / Passport No.:</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A DEED BY 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ARTEMIS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S Venkatesh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3488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80" w:space="720"/>
            <w:col w:w="4539"/>
          </w:cols>
          <w:pgMar w:left="320" w:top="657" w:right="1440" w:bottom="1440" w:gutter="0" w:footer="0" w:header="0"/>
        </w:sectPr>
      </w:pPr>
    </w:p>
    <w:p>
      <w:pPr>
        <w:ind w:left="5740"/>
        <w:spacing w:after="0"/>
        <w:rPr>
          <w:sz w:val="20"/>
          <w:szCs w:val="20"/>
          <w:color w:val="auto"/>
        </w:rPr>
      </w:pPr>
      <w:r>
        <w:rPr>
          <w:rFonts w:ascii="Times New Roman" w:cs="Times New Roman" w:eastAsia="Times New Roman" w:hAnsi="Times New Roman"/>
          <w:sz w:val="17"/>
          <w:szCs w:val="17"/>
          <w:color w:val="auto"/>
        </w:rPr>
        <w:t>Name: VENKATESH SUBRAMAMAN</w:t>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V VENKATESH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580" w:type="dxa"/>
            <w:vAlign w:val="bottom"/>
          </w:tcPr>
          <w:p>
            <w:pPr>
              <w:spacing w:after="0"/>
              <w:rPr>
                <w:sz w:val="17"/>
                <w:szCs w:val="17"/>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tc>
        <w:tc>
          <w:tcPr>
            <w:tcW w:w="3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 DEED BY _________________________</w:t>
            </w:r>
          </w:p>
        </w:tc>
        <w:tc>
          <w:tcPr>
            <w:tcW w:w="3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tc>
        <w:tc>
          <w:tcPr>
            <w:tcW w:w="3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DIGINEX LIMITED</w:t>
            </w:r>
          </w:p>
        </w:tc>
        <w:tc>
          <w:tcPr>
            <w:tcW w:w="3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MILES CHRISTIAN PELHAM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88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Name: MILES CHRISTIAN PELHAM</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 Passport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decimal"/>
      <w:start w:val="1"/>
    </w:lvl>
  </w:abstractNum>
  <w:abstractNum w:abstractNumId="1">
    <w:nsid w:val="7055A5F5"/>
    <w:multiLevelType w:val="hybridMultilevel"/>
    <w:lvl w:ilvl="0">
      <w:lvlJc w:val="left"/>
      <w:lvlText w:val="%1."/>
      <w:numFmt w:val="upperLetter"/>
      <w:start w:val="1"/>
    </w:lvl>
  </w:abstractNum>
  <w:abstractNum w:abstractNumId="2">
    <w:nsid w:val="5FB8370B"/>
    <w:multiLevelType w:val="hybridMultilevel"/>
    <w:lvl w:ilvl="0">
      <w:lvlJc w:val="left"/>
      <w:lvlText w:val="%1."/>
      <w:numFmt w:val="decimal"/>
      <w:start w:val="1"/>
    </w:lvl>
  </w:abstractNum>
  <w:abstractNum w:abstractNumId="3">
    <w:nsid w:val="50801EE1"/>
    <w:multiLevelType w:val="hybridMultilevel"/>
    <w:lvl w:ilvl="0">
      <w:lvlJc w:val="left"/>
      <w:lvlText w:val="(%1)"/>
      <w:numFmt w:val="lowerLetter"/>
      <w:start w:val="1"/>
    </w:lvl>
  </w:abstractNum>
  <w:abstractNum w:abstractNumId="4">
    <w:nsid w:val="488AC1A"/>
    <w:multiLevelType w:val="hybridMultilevel"/>
    <w:lvl w:ilvl="0">
      <w:lvlJc w:val="left"/>
      <w:lvlText w:val="(%1)"/>
      <w:numFmt w:val="lowerLetter"/>
      <w:start w:val="1"/>
    </w:lvl>
  </w:abstractNum>
  <w:abstractNum w:abstractNumId="5">
    <w:nsid w:val="5FB8011C"/>
    <w:multiLevelType w:val="hybridMultilevel"/>
    <w:lvl w:ilvl="0">
      <w:lvlJc w:val="left"/>
      <w:lvlText w:val="(%1)"/>
      <w:numFmt w:val="lowerLetter"/>
      <w:start w:val="1"/>
    </w:lvl>
    <w:lvl w:ilvl="1">
      <w:lvlJc w:val="left"/>
      <w:lvlText w:val="(%2)"/>
      <w:numFmt w:val="lowerRoman"/>
      <w:start w:val="1"/>
    </w:lvl>
  </w:abstractNum>
  <w:abstractNum w:abstractNumId="6">
    <w:nsid w:val="6AA78F7F"/>
    <w:multiLevelType w:val="hybridMultilevel"/>
    <w:lvl w:ilvl="0">
      <w:lvlJc w:val="left"/>
      <w:lvlText w:val="(%1)"/>
      <w:numFmt w:val="lowerLetter"/>
      <w:start w:val="2"/>
    </w:lvl>
  </w:abstractNum>
  <w:abstractNum w:abstractNumId="7">
    <w:nsid w:val="7672BD23"/>
    <w:multiLevelType w:val="hybridMultilevel"/>
    <w:lvl w:ilvl="0">
      <w:lvlJc w:val="left"/>
      <w:lvlText w:val="(%1)"/>
      <w:numFmt w:val="lowerLetter"/>
      <w:start w:val="1"/>
    </w:lvl>
    <w:lvl w:ilvl="1">
      <w:lvlJc w:val="left"/>
      <w:lvlText w:val="(%2)"/>
      <w:numFmt w:val="lowerRoman"/>
      <w:start w:val="1"/>
    </w:lvl>
  </w:abstractNum>
  <w:abstractNum w:abstractNumId="8">
    <w:nsid w:val="6FC75AF8"/>
    <w:multiLevelType w:val="hybridMultilevel"/>
    <w:lvl w:ilvl="0">
      <w:lvlJc w:val="left"/>
      <w:lvlText w:val="(%1)"/>
      <w:numFmt w:val="lowerLetter"/>
      <w:start w:val="1"/>
    </w:lvl>
  </w:abstractNum>
  <w:abstractNum w:abstractNumId="9">
    <w:nsid w:val="6A5F7029"/>
    <w:multiLevelType w:val="hybridMultilevel"/>
    <w:lvl w:ilvl="0">
      <w:lvlJc w:val="left"/>
      <w:lvlText w:val="(%1)"/>
      <w:numFmt w:val="lowerLetter"/>
      <w:start w:val="1"/>
    </w:lvl>
  </w:abstractNum>
  <w:abstractNum w:abstractNumId="10">
    <w:nsid w:val="7D5E18F8"/>
    <w:multiLevelType w:val="hybridMultilevel"/>
    <w:lvl w:ilvl="0">
      <w:lvlJc w:val="left"/>
      <w:lvlText w:val="(%1)"/>
      <w:numFmt w:val="lowerLetter"/>
      <w:start w:val="1"/>
    </w:lvl>
    <w:lvl w:ilvl="1">
      <w:lvlJc w:val="left"/>
      <w:lvlText w:val="(%2)"/>
      <w:numFmt w:val="lowerRoman"/>
      <w:start w:val="1"/>
    </w:lvl>
  </w:abstractNum>
  <w:abstractNum w:abstractNumId="11">
    <w:nsid w:val="5F3534A4"/>
    <w:multiLevelType w:val="hybridMultilevel"/>
    <w:lvl w:ilvl="0">
      <w:lvlJc w:val="left"/>
      <w:lvlText w:val="(%1)"/>
      <w:numFmt w:val="lowerLetter"/>
      <w:start w:val="2"/>
    </w:lvl>
  </w:abstractNum>
  <w:abstractNum w:abstractNumId="12">
    <w:nsid w:val="73A1821B"/>
    <w:multiLevelType w:val="hybridMultilevel"/>
    <w:lvl w:ilvl="0">
      <w:lvlJc w:val="left"/>
      <w:lvlText w:val="(%1)"/>
      <w:numFmt w:val="lowerLetter"/>
      <w:start w:val="1"/>
    </w:lvl>
  </w:abstractNum>
  <w:abstractNum w:abstractNumId="13">
    <w:nsid w:val="7DE67713"/>
    <w:multiLevelType w:val="hybridMultilevel"/>
    <w:lvl w:ilvl="0">
      <w:lvlJc w:val="left"/>
      <w:lvlText w:val="(%1)"/>
      <w:numFmt w:val="lowerLetter"/>
      <w:start w:val="1"/>
    </w:lvl>
  </w:abstractNum>
  <w:abstractNum w:abstractNumId="14">
    <w:nsid w:val="555C55B5"/>
    <w:multiLevelType w:val="hybridMultilevel"/>
    <w:lvl w:ilvl="0">
      <w:lvlJc w:val="left"/>
      <w:lvlText w:val="(%1)"/>
      <w:numFmt w:val="lowerLetter"/>
      <w:start w:val="1"/>
    </w:lvl>
  </w:abstractNum>
  <w:abstractNum w:abstractNumId="15">
    <w:nsid w:val="3FA62ACA"/>
    <w:multiLevelType w:val="hybridMultilevel"/>
    <w:lvl w:ilvl="0">
      <w:lvlJc w:val="left"/>
      <w:lvlText w:val="(%1)"/>
      <w:numFmt w:val="lowerLetter"/>
      <w:start w:val="2"/>
    </w:lvl>
  </w:abstractNum>
  <w:abstractNum w:abstractNumId="16">
    <w:nsid w:val="14FCE74E"/>
    <w:multiLevelType w:val="hybridMultilevel"/>
    <w:lvl w:ilvl="0">
      <w:lvlJc w:val="left"/>
      <w:lvlText w:val="(%1)"/>
      <w:numFmt w:val="lowerLetter"/>
      <w:start w:val="1"/>
    </w:lvl>
  </w:abstractNum>
  <w:abstractNum w:abstractNumId="17">
    <w:nsid w:val="6A3DD3E8"/>
    <w:multiLevelType w:val="hybridMultilevel"/>
    <w:lvl w:ilvl="0">
      <w:lvlJc w:val="left"/>
      <w:lvlText w:val="(%1)"/>
      <w:numFmt w:val="lowerLetter"/>
      <w:start w:val="13"/>
    </w:lvl>
  </w:abstractNum>
  <w:abstractNum w:abstractNumId="18">
    <w:nsid w:val="71C91298"/>
    <w:multiLevelType w:val="hybridMultilevel"/>
    <w:lvl w:ilvl="0">
      <w:lvlJc w:val="left"/>
      <w:lvlText w:val="(%1)"/>
      <w:numFmt w:val="lowerLetter"/>
      <w:start w:val="1"/>
    </w:lvl>
    <w:lvl w:ilvl="1">
      <w:lvlJc w:val="left"/>
      <w:lvlText w:val="(%2)"/>
      <w:numFmt w:val="lowerRoman"/>
      <w:start w:val="1"/>
    </w:lvl>
  </w:abstractNum>
  <w:abstractNum w:abstractNumId="19">
    <w:nsid w:val="9DAF632"/>
    <w:multiLevelType w:val="hybridMultilevel"/>
    <w:lvl w:ilvl="0">
      <w:lvlJc w:val="left"/>
      <w:lvlText w:val="%1"/>
      <w:numFmt w:val="decimal"/>
      <w:start w:val="1"/>
    </w:lvl>
    <w:lvl w:ilvl="1">
      <w:lvlJc w:val="left"/>
      <w:lvlText w:val="(%2)"/>
      <w:numFmt w:val="lowerLetter"/>
      <w:start w:val="1"/>
    </w:lvl>
  </w:abstractNum>
  <w:abstractNum w:abstractNumId="20">
    <w:nsid w:val="53299938"/>
    <w:multiLevelType w:val="hybridMultilevel"/>
    <w:lvl w:ilvl="0">
      <w:lvlJc w:val="left"/>
      <w:lvlText w:val="%1."/>
      <w:numFmt w:val="decimal"/>
      <w:start w:val="2"/>
    </w:lvl>
    <w:lvl w:ilvl="1">
      <w:lvlJc w:val="left"/>
      <w:lvlText w:val="%2"/>
      <w:numFmt w:val="lowerLetter"/>
      <w:start w:val="1"/>
    </w:lvl>
  </w:abstractNum>
  <w:abstractNum w:abstractNumId="21">
    <w:nsid w:val="1FBFE8E0"/>
    <w:multiLevelType w:val="hybridMultilevel"/>
    <w:lvl w:ilvl="0">
      <w:lvlJc w:val="left"/>
      <w:lvlText w:val="(%1)"/>
      <w:numFmt w:val="lowerLetter"/>
      <w:start w:val="1"/>
    </w:lvl>
  </w:abstractNum>
  <w:abstractNum w:abstractNumId="22">
    <w:nsid w:val="5092CA79"/>
    <w:multiLevelType w:val="hybridMultilevel"/>
    <w:lvl w:ilvl="0">
      <w:lvlJc w:val="left"/>
      <w:lvlText w:val="%1."/>
      <w:numFmt w:val="decimal"/>
      <w:start w:val="3"/>
    </w:lvl>
  </w:abstractNum>
  <w:abstractNum w:abstractNumId="23">
    <w:nsid w:val="1D545C4D"/>
    <w:multiLevelType w:val="hybridMultilevel"/>
    <w:lvl w:ilvl="0">
      <w:lvlJc w:val="left"/>
      <w:lvlText w:val="(%1)"/>
      <w:numFmt w:val="lowerLetter"/>
      <w:start w:val="1"/>
    </w:lvl>
  </w:abstractNum>
  <w:abstractNum w:abstractNumId="24">
    <w:nsid w:val="59ADEA3D"/>
    <w:multiLevelType w:val="hybridMultilevel"/>
    <w:lvl w:ilvl="0">
      <w:lvlJc w:val="left"/>
      <w:lvlText w:val="(%1)"/>
      <w:numFmt w:val="lowerLetter"/>
      <w:start w:val="2"/>
    </w:lvl>
  </w:abstractNum>
  <w:abstractNum w:abstractNumId="25">
    <w:nsid w:val="288F1A34"/>
    <w:multiLevelType w:val="hybridMultilevel"/>
    <w:lvl w:ilvl="0">
      <w:lvlJc w:val="left"/>
      <w:lvlText w:val="(%1)"/>
      <w:numFmt w:val="lowerLetter"/>
      <w:start w:val="1"/>
    </w:lvl>
  </w:abstractNum>
  <w:abstractNum w:abstractNumId="26">
    <w:nsid w:val="2A155DBC"/>
    <w:multiLevelType w:val="hybridMultilevel"/>
    <w:lvl w:ilvl="0">
      <w:lvlJc w:val="left"/>
      <w:lvlText w:val="%1"/>
      <w:numFmt w:val="decimal"/>
      <w:start w:val="1"/>
    </w:lvl>
    <w:lvl w:ilvl="1">
      <w:lvlJc w:val="left"/>
      <w:lvlText w:val="(%2)"/>
      <w:numFmt w:val="lowerLetter"/>
      <w:start w:val="1"/>
    </w:lvl>
  </w:abstractNum>
  <w:abstractNum w:abstractNumId="27">
    <w:nsid w:val="1D9F6E5F"/>
    <w:multiLevelType w:val="hybridMultilevel"/>
    <w:lvl w:ilvl="0">
      <w:lvlJc w:val="left"/>
      <w:lvlText w:val="%1."/>
      <w:numFmt w:val="decimal"/>
      <w:start w:val="4"/>
    </w:lvl>
    <w:lvl w:ilvl="1">
      <w:lvlJc w:val="left"/>
      <w:lvlText w:val="%2"/>
      <w:numFmt w:val="lowerLetter"/>
      <w:start w:val="1"/>
    </w:lvl>
  </w:abstractNum>
  <w:abstractNum w:abstractNumId="28">
    <w:nsid w:val="97E1B4E"/>
    <w:multiLevelType w:val="hybridMultilevel"/>
    <w:lvl w:ilvl="0">
      <w:lvlJc w:val="left"/>
      <w:lvlText w:val="(%1)"/>
      <w:numFmt w:val="lowerLetter"/>
      <w:start w:val="1"/>
    </w:lvl>
    <w:lvl w:ilvl="1">
      <w:lvlJc w:val="left"/>
      <w:lvlText w:val="(%2)"/>
      <w:numFmt w:val="lowerRoman"/>
      <w:start w:val="1"/>
    </w:lvl>
  </w:abstractNum>
  <w:abstractNum w:abstractNumId="29">
    <w:nsid w:val="51088277"/>
    <w:multiLevelType w:val="hybridMultilevel"/>
    <w:lvl w:ilvl="0">
      <w:lvlJc w:val="left"/>
      <w:lvlText w:val="(%1)"/>
      <w:numFmt w:val="lowerLetter"/>
      <w:start w:val="8"/>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1"/>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
    <w:nsid w:val="23D86AAC"/>
    <w:multiLevelType w:val="hybridMultilevel"/>
    <w:lvl w:ilvl="0">
      <w:lvlJc w:val="left"/>
      <w:lvlText w:val="%1"/>
      <w:numFmt w:val="lowerLetter"/>
      <w:start w:val="1"/>
    </w:lvl>
    <w:lvl w:ilvl="1">
      <w:lvlJc w:val="left"/>
      <w:lvlText w:val="(%2)"/>
      <w:numFmt w:val="upperLetter"/>
      <w:start w:val="4"/>
    </w:lvl>
  </w:abstractNum>
  <w:abstractNum w:abstractNumId="35">
    <w:nsid w:val="45E6D486"/>
    <w:multiLevelType w:val="hybridMultilevel"/>
    <w:lvl w:ilvl="0">
      <w:lvlJc w:val="left"/>
      <w:lvlText w:val="(%1)"/>
      <w:numFmt w:val="lowerLetter"/>
      <w:start w:val="6"/>
    </w:lvl>
    <w:lvl w:ilvl="1">
      <w:lvlJc w:val="left"/>
      <w:lvlText w:val="%2"/>
      <w:numFmt w:val="upperLetter"/>
      <w:start w:val="1"/>
    </w:lvl>
  </w:abstractNum>
  <w:abstractNum w:abstractNumId="36">
    <w:nsid w:val="5C10FE21"/>
    <w:multiLevelType w:val="hybridMultilevel"/>
    <w:lvl w:ilvl="0">
      <w:lvlJc w:val="left"/>
      <w:lvlText w:val="(%1)"/>
      <w:numFmt w:val="lowerLetter"/>
      <w:start w:val="1"/>
    </w:lvl>
  </w:abstractNum>
  <w:abstractNum w:abstractNumId="37">
    <w:nsid w:val="E7FFA2B"/>
    <w:multiLevelType w:val="hybridMultilevel"/>
    <w:lvl w:ilvl="0">
      <w:lvlJc w:val="left"/>
      <w:lvlText w:val="%1."/>
      <w:numFmt w:val="decimal"/>
      <w:start w:val="5"/>
    </w:lvl>
  </w:abstractNum>
  <w:abstractNum w:abstractNumId="38">
    <w:nsid w:val="3C5991AA"/>
    <w:multiLevelType w:val="hybridMultilevel"/>
    <w:lvl w:ilvl="0">
      <w:lvlJc w:val="left"/>
      <w:lvlText w:val="(%1)"/>
      <w:numFmt w:val="lowerLetter"/>
      <w:start w:val="1"/>
    </w:lvl>
  </w:abstractNum>
  <w:abstractNum w:abstractNumId="39">
    <w:nsid w:val="4BD8591A"/>
    <w:multiLevelType w:val="hybridMultilevel"/>
    <w:lvl w:ilvl="0">
      <w:lvlJc w:val="left"/>
      <w:lvlText w:val="(%1)"/>
      <w:numFmt w:val="lowerLetter"/>
      <w:start w:val="4"/>
    </w:lvl>
    <w:lvl w:ilvl="1">
      <w:lvlJc w:val="left"/>
      <w:lvlText w:val="(%2)"/>
      <w:numFmt w:val="upperLetter"/>
      <w:start w:val="1"/>
    </w:lvl>
  </w:abstractNum>
  <w:abstractNum w:abstractNumId="40">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39B7AAA2"/>
    <w:multiLevelType w:val="hybridMultilevel"/>
    <w:lvl w:ilvl="0">
      <w:lvlJc w:val="left"/>
      <w:lvlText w:val="%1."/>
      <w:numFmt w:val="decimal"/>
      <w:start w:val="6"/>
    </w:lvl>
  </w:abstractNum>
  <w:abstractNum w:abstractNumId="42">
    <w:nsid w:val="2B0D8DBE"/>
    <w:multiLevelType w:val="hybridMultilevel"/>
    <w:lvl w:ilvl="0">
      <w:lvlJc w:val="left"/>
      <w:lvlText w:val="(%1)"/>
      <w:numFmt w:val="lowerLetter"/>
      <w:start w:val="1"/>
    </w:lvl>
  </w:abstractNum>
  <w:abstractNum w:abstractNumId="43">
    <w:nsid w:val="6C80EC70"/>
    <w:multiLevelType w:val="hybridMultilevel"/>
    <w:lvl w:ilvl="0">
      <w:lvlJc w:val="left"/>
      <w:lvlText w:val="(%1)"/>
      <w:numFmt w:val="lowerLetter"/>
      <w:start w:val="2"/>
    </w:lvl>
  </w:abstractNum>
  <w:abstractNum w:abstractNumId="44">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69E373"/>
    <w:multiLevelType w:val="hybridMultilevel"/>
    <w:lvl w:ilvl="0">
      <w:lvlJc w:val="left"/>
      <w:lvlText w:val="%1."/>
      <w:numFmt w:val="decimal"/>
      <w:start w:val="7"/>
    </w:lvl>
  </w:abstractNum>
  <w:abstractNum w:abstractNumId="46">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4C9B090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8">
    <w:nsid w:val="6AA7B75C"/>
    <w:multiLevelType w:val="hybridMultilevel"/>
    <w:lvl w:ilvl="0">
      <w:lvlJc w:val="left"/>
      <w:lvlText w:val="(%1)"/>
      <w:numFmt w:val="lowerLetter"/>
      <w:start w:val="1"/>
    </w:lvl>
  </w:abstractNum>
  <w:abstractNum w:abstractNumId="49">
    <w:nsid w:val="1DF029D3"/>
    <w:multiLevelType w:val="hybridMultilevel"/>
    <w:lvl w:ilvl="0">
      <w:lvlJc w:val="left"/>
      <w:lvlText w:val="%1."/>
      <w:numFmt w:val="decimal"/>
      <w:start w:val="9"/>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decimal"/>
      <w:start w:val="10"/>
    </w:lvl>
  </w:abstractNum>
  <w:abstractNum w:abstractNumId="52">
    <w:nsid w:val="3DB012B3"/>
    <w:multiLevelType w:val="hybridMultilevel"/>
    <w:lvl w:ilvl="0">
      <w:lvlJc w:val="left"/>
      <w:lvlText w:val="(%1)"/>
      <w:numFmt w:val="lowerLetter"/>
      <w:start w:val="1"/>
    </w:lvl>
  </w:abstractNum>
  <w:abstractNum w:abstractNumId="53">
    <w:nsid w:val="2708C9AF"/>
    <w:multiLevelType w:val="hybridMultilevel"/>
    <w:lvl w:ilvl="0">
      <w:lvlJc w:val="left"/>
      <w:lvlText w:val="%1."/>
      <w:numFmt w:val="decimal"/>
      <w:start w:val="11"/>
    </w:lvl>
  </w:abstractNum>
  <w:abstractNum w:abstractNumId="54">
    <w:nsid w:val="5B25ACE2"/>
    <w:multiLevelType w:val="hybridMultilevel"/>
    <w:lvl w:ilvl="0">
      <w:lvlJc w:val="left"/>
      <w:lvlText w:val="(%1)"/>
      <w:numFmt w:val="lowerLetter"/>
      <w:start w:val="1"/>
    </w:lvl>
  </w:abstractNum>
  <w:abstractNum w:abstractNumId="55">
    <w:nsid w:val="175DFCF0"/>
    <w:multiLevelType w:val="hybridMultilevel"/>
    <w:lvl w:ilvl="0">
      <w:lvlJc w:val="left"/>
      <w:lvlText w:val="%1."/>
      <w:numFmt w:val="decimal"/>
      <w:start w:val="12"/>
    </w:lvl>
  </w:abstractNum>
  <w:abstractNum w:abstractNumId="56">
    <w:nsid w:val="4F97E3E4"/>
    <w:multiLevelType w:val="hybridMultilevel"/>
    <w:lvl w:ilvl="0">
      <w:lvlJc w:val="left"/>
      <w:lvlText w:val="(%1)"/>
      <w:numFmt w:val="lowerLetter"/>
      <w:start w:val="1"/>
    </w:lvl>
  </w:abstractNum>
  <w:abstractNum w:abstractNumId="57">
    <w:nsid w:val="53B0A9E"/>
    <w:multiLevelType w:val="hybridMultilevel"/>
    <w:lvl w:ilvl="0">
      <w:lvlJc w:val="left"/>
      <w:lvlText w:val="%1."/>
      <w:numFmt w:val="decimal"/>
      <w:start w:val="13"/>
    </w:lvl>
  </w:abstractNum>
  <w:abstractNum w:abstractNumId="58">
    <w:nsid w:val="34FD6B4F"/>
    <w:multiLevelType w:val="hybridMultilevel"/>
    <w:lvl w:ilvl="0">
      <w:lvlJc w:val="left"/>
      <w:lvlText w:val="(%1)"/>
      <w:numFmt w:val="lowerLetter"/>
      <w:start w:val="1"/>
    </w:lvl>
  </w:abstractNum>
  <w:abstractNum w:abstractNumId="59">
    <w:nsid w:val="5915FF32"/>
    <w:multiLevelType w:val="hybridMultilevel"/>
    <w:lvl w:ilvl="0">
      <w:lvlJc w:val="left"/>
      <w:lvlText w:val="%1"/>
      <w:numFmt w:val="decimal"/>
      <w:start w:val="1"/>
    </w:lvl>
    <w:lvl w:ilvl="1">
      <w:lvlJc w:val="left"/>
      <w:lvlText w:val="(%2)"/>
      <w:numFmt w:val="lowerLetter"/>
      <w:start w:val="1"/>
    </w:lvl>
  </w:abstractNum>
  <w:abstractNum w:abstractNumId="60">
    <w:nsid w:val="56438D15"/>
    <w:multiLevelType w:val="hybridMultilevel"/>
    <w:lvl w:ilvl="0">
      <w:lvlJc w:val="left"/>
      <w:lvlText w:val="%1."/>
      <w:numFmt w:val="decimal"/>
      <w:start w:val="14"/>
    </w:lvl>
    <w:lvl w:ilvl="1">
      <w:lvlJc w:val="left"/>
      <w:lvlText w:val="%2"/>
      <w:numFmt w:val="lowerLetter"/>
      <w:start w:val="1"/>
    </w:lvl>
  </w:abstractNum>
  <w:abstractNum w:abstractNumId="61">
    <w:nsid w:val="519E3149"/>
    <w:multiLevelType w:val="hybridMultilevel"/>
    <w:lvl w:ilvl="0">
      <w:lvlJc w:val="left"/>
      <w:lvlText w:val="(%1)"/>
      <w:numFmt w:val="lowerLetter"/>
      <w:start w:val="1"/>
    </w:lvl>
    <w:lvl w:ilvl="1">
      <w:lvlJc w:val="left"/>
      <w:lvlText w:val="(%2)"/>
      <w:numFmt w:val="lowerRoman"/>
      <w:start w:val="1"/>
    </w:lvl>
  </w:abstractNum>
  <w:abstractNum w:abstractNumId="62">
    <w:nsid w:val="2C6E4AFD"/>
    <w:multiLevelType w:val="hybridMultilevel"/>
    <w:lvl w:ilvl="0">
      <w:lvlJc w:val="left"/>
      <w:lvlText w:val="(%1)"/>
      <w:numFmt w:val="lowerLetter"/>
      <w:start w:val="3"/>
    </w:lvl>
    <w:lvl w:ilvl="1">
      <w:lvlJc w:val="left"/>
      <w:lvlText w:val="(%2)"/>
      <w:numFmt w:val="lowerRoman"/>
      <w:start w:val="1"/>
    </w:lvl>
  </w:abstractNum>
  <w:abstractNum w:abstractNumId="63">
    <w:nsid w:val="17A1B582"/>
    <w:multiLevelType w:val="hybridMultilevel"/>
    <w:lvl w:ilvl="0">
      <w:lvlJc w:val="left"/>
      <w:lvlText w:val="%1."/>
      <w:numFmt w:val="decimal"/>
      <w:start w:val="15"/>
    </w:lvl>
  </w:abstractNum>
  <w:abstractNum w:abstractNumId="64">
    <w:nsid w:val="4DF72E4E"/>
    <w:multiLevelType w:val="hybridMultilevel"/>
    <w:lvl w:ilvl="0">
      <w:lvlJc w:val="left"/>
      <w:lvlText w:val="(%1)"/>
      <w:numFmt w:val="lowerLetter"/>
      <w:start w:val="1"/>
    </w:lvl>
    <w:lvl w:ilvl="1">
      <w:lvlJc w:val="left"/>
      <w:lvlText w:val="(%2)"/>
      <w:numFmt w:val="lowerRoman"/>
      <w:start w:val="1"/>
    </w:lvl>
  </w:abstractNum>
  <w:abstractNum w:abstractNumId="65">
    <w:nsid w:val="5046B5A9"/>
    <w:multiLevelType w:val="hybridMultilevel"/>
    <w:lvl w:ilvl="0">
      <w:lvlJc w:val="left"/>
      <w:lvlText w:val="(%1)"/>
      <w:numFmt w:val="lowerRoman"/>
      <w:start w:val="2"/>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Letter"/>
      <w:start w:val="2"/>
    </w:lvl>
    <w:lvl w:ilvl="1">
      <w:lvlJc w:val="left"/>
      <w:lvlText w:val="(%2)"/>
      <w:numFmt w:val="lowerRoman"/>
      <w:start w:val="1"/>
    </w:lvl>
  </w:abstractNum>
  <w:abstractNum w:abstractNumId="68">
    <w:nsid w:val="5EC6AFD4"/>
    <w:multiLevelType w:val="hybridMultilevel"/>
    <w:lvl w:ilvl="0">
      <w:lvlJc w:val="left"/>
      <w:lvlText w:val="(%1)"/>
      <w:numFmt w:val="lowerLetter"/>
      <w:start w:val="4"/>
    </w:lvl>
    <w:lvl w:ilvl="1">
      <w:lvlJc w:val="left"/>
      <w:lvlText w:val="(%2)"/>
      <w:numFmt w:val="lowerRoman"/>
      <w:start w:val="1"/>
    </w:lvl>
  </w:abstractNum>
  <w:abstractNum w:abstractNumId="69">
    <w:nsid w:val="19E21BB2"/>
    <w:multiLevelType w:val="hybridMultilevel"/>
    <w:lvl w:ilvl="0">
      <w:lvlJc w:val="left"/>
      <w:lvlText w:val="%1"/>
      <w:numFmt w:val="decimal"/>
      <w:start w:val="1"/>
    </w:lvl>
    <w:lvl w:ilvl="1">
      <w:lvlJc w:val="left"/>
      <w:lvlText w:val="(%2)"/>
      <w:numFmt w:val="lowerLetter"/>
      <w:start w:val="1"/>
    </w:lvl>
  </w:abstractNum>
  <w:abstractNum w:abstractNumId="70">
    <w:nsid w:val="75E0858A"/>
    <w:multiLevelType w:val="hybridMultilevel"/>
    <w:lvl w:ilvl="0">
      <w:lvlJc w:val="left"/>
      <w:lvlText w:val="%1."/>
      <w:numFmt w:val="decimal"/>
      <w:start w:val="16"/>
    </w:lvl>
    <w:lvl w:ilvl="1">
      <w:lvlJc w:val="left"/>
      <w:lvlText w:val="%2"/>
      <w:numFmt w:val="lowerLetter"/>
      <w:start w:val="1"/>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lowerLetter"/>
      <w:start w:val="5"/>
    </w:lvl>
  </w:abstractNum>
  <w:abstractNum w:abstractNumId="73">
    <w:nsid w:val="20EE1348"/>
    <w:multiLevelType w:val="hybridMultilevel"/>
    <w:lvl w:ilvl="0">
      <w:lvlJc w:val="left"/>
      <w:lvlText w:val="%1."/>
      <w:numFmt w:val="decimal"/>
      <w:start w:val="17"/>
    </w:lvl>
  </w:abstractNum>
  <w:abstractNum w:abstractNumId="74">
    <w:nsid w:val="4427069A"/>
    <w:multiLevelType w:val="hybridMultilevel"/>
    <w:lvl w:ilvl="0">
      <w:lvlJc w:val="left"/>
      <w:lvlText w:val="%1"/>
      <w:numFmt w:val="decimal"/>
      <w:start w:val="1"/>
    </w:lvl>
    <w:lvl w:ilvl="1">
      <w:lvlJc w:val="left"/>
      <w:lvlText w:val="(%2)"/>
      <w:numFmt w:val="lowerLetter"/>
      <w:start w:val="1"/>
    </w:lvl>
  </w:abstractNum>
  <w:abstractNum w:abstractNumId="75">
    <w:nsid w:val="B37E80A"/>
    <w:multiLevelType w:val="hybridMultilevel"/>
    <w:lvl w:ilvl="0">
      <w:lvlJc w:val="left"/>
      <w:lvlText w:val="%1."/>
      <w:numFmt w:val="decimal"/>
      <w:start w:val="19"/>
    </w:lvl>
    <w:lvl w:ilvl="1">
      <w:lvlJc w:val="left"/>
      <w:lvlText w:val="%2"/>
      <w:numFmt w:val="lowerLetter"/>
      <w:start w:val="1"/>
    </w:lvl>
  </w:abstractNum>
  <w:abstractNum w:abstractNumId="76">
    <w:nsid w:val="2157F6BC"/>
    <w:multiLevelType w:val="hybridMultilevel"/>
    <w:lvl w:ilvl="0">
      <w:lvlJc w:val="left"/>
      <w:lvlText w:val="%1."/>
      <w:numFmt w:val="decimal"/>
      <w:start w:val="22"/>
    </w:lvl>
  </w:abstractNum>
  <w:abstractNum w:abstractNumId="77">
    <w:nsid w:val="704E1DD5"/>
    <w:multiLevelType w:val="hybridMultilevel"/>
    <w:lvl w:ilvl="0">
      <w:lvlJc w:val="left"/>
      <w:lvlText w:val="%1."/>
      <w:numFmt w:val="decimal"/>
      <w:start w:val="23"/>
    </w:lvl>
  </w:abstractNum>
  <w:abstractNum w:abstractNumId="78">
    <w:nsid w:val="57D2F10E"/>
    <w:multiLevelType w:val="hybridMultilevel"/>
    <w:lvl w:ilvl="0">
      <w:lvlJc w:val="left"/>
      <w:lvlText w:val="(%1)"/>
      <w:numFmt w:val="lowerLetter"/>
      <w:start w:val="1"/>
    </w:lvl>
  </w:abstractNum>
  <w:abstractNum w:abstractNumId="79">
    <w:nsid w:val="BFFAE18"/>
    <w:multiLevelType w:val="hybridMultilevel"/>
    <w:lvl w:ilvl="0">
      <w:lvlJc w:val="left"/>
      <w:lvlText w:val="%1."/>
      <w:numFmt w:val="decimal"/>
      <w:start w:val="27"/>
    </w:lvl>
  </w:abstractNum>
  <w:abstractNum w:abstractNumId="80">
    <w:nsid w:val="E3E47A8"/>
    <w:multiLevelType w:val="hybridMultilevel"/>
    <w:lvl w:ilvl="0">
      <w:lvlJc w:val="left"/>
      <w:lvlText w:val="%1."/>
      <w:numFmt w:val="decimal"/>
      <w:start w:val="28"/>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decimal"/>
      <w:start w:val="29"/>
    </w:lvl>
  </w:abstractNum>
  <w:abstractNum w:abstractNumId="83">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5551B9F3"/>
    <w:multiLevelType w:val="hybridMultilevel"/>
    <w:lvl w:ilvl="0">
      <w:lvlJc w:val="left"/>
      <w:lvlText w:val="%1."/>
      <w:numFmt w:val="decimal"/>
      <w:start w:val="1"/>
    </w:lvl>
    <w:lvl w:ilvl="1">
      <w:lvlJc w:val="left"/>
      <w:lvlText w:val="(%2)"/>
      <w:numFmt w:val="lowerLetter"/>
      <w:start w:val="1"/>
    </w:lvl>
  </w:abstractNum>
  <w:abstractNum w:abstractNumId="85">
    <w:nsid w:val="24F6AB8E"/>
    <w:multiLevelType w:val="hybridMultilevel"/>
    <w:lvl w:ilvl="0">
      <w:lvlJc w:val="left"/>
      <w:lvlText w:val="%1."/>
      <w:numFmt w:val="decimal"/>
      <w:start w:val="1"/>
    </w:lvl>
  </w:abstractNum>
  <w:abstractNum w:abstractNumId="86">
    <w:nsid w:val="634C574C"/>
    <w:multiLevelType w:val="hybridMultilevel"/>
    <w:lvl w:ilvl="0">
      <w:lvlJc w:val="left"/>
      <w:lvlText w:val="(%1)"/>
      <w:numFmt w:val="lowerLetter"/>
      <w:start w:val="1"/>
    </w:lvl>
  </w:abstractNum>
  <w:abstractNum w:abstractNumId="87">
    <w:nsid w:val="24E99DD7"/>
    <w:multiLevelType w:val="hybridMultilevel"/>
    <w:lvl w:ilvl="0">
      <w:lvlJc w:val="left"/>
      <w:lvlText w:val="(%1)"/>
      <w:numFmt w:val="lowerLetter"/>
      <w:start w:val="1"/>
    </w:lvl>
  </w:abstractNum>
  <w:abstractNum w:abstractNumId="88">
    <w:nsid w:val="2A31B62D"/>
    <w:multiLevelType w:val="hybridMultilevel"/>
    <w:lvl w:ilvl="0">
      <w:lvlJc w:val="left"/>
      <w:lvlText w:val="%1."/>
      <w:numFmt w:val="decimal"/>
      <w:start w:val="2"/>
    </w:lvl>
  </w:abstractNum>
  <w:abstractNum w:abstractNumId="89">
    <w:nsid w:val="1849C29B"/>
    <w:multiLevelType w:val="hybridMultilevel"/>
    <w:lvl w:ilvl="0">
      <w:lvlJc w:val="left"/>
      <w:lvlText w:val="(%1)"/>
      <w:numFmt w:val="lowerLetter"/>
      <w:start w:val="1"/>
    </w:lvl>
  </w:abstractNum>
  <w:abstractNum w:abstractNumId="90">
    <w:nsid w:val="7DFF9D09"/>
    <w:multiLevelType w:val="hybridMultilevel"/>
    <w:lvl w:ilvl="0">
      <w:lvlJc w:val="left"/>
      <w:lvlText w:val="%1."/>
      <w:numFmt w:val="decimal"/>
      <w:start w:val="3"/>
    </w:lvl>
  </w:abstractNum>
  <w:abstractNum w:abstractNumId="91">
    <w:nsid w:val="754342"/>
    <w:multiLevelType w:val="hybridMultilevel"/>
    <w:lvl w:ilvl="0">
      <w:lvlJc w:val="left"/>
      <w:lvlText w:val="%1."/>
      <w:numFmt w:val="decimal"/>
      <w:start w:val="4"/>
    </w:lvl>
  </w:abstractNum>
  <w:abstractNum w:abstractNumId="92">
    <w:nsid w:val="69E7F3E5"/>
    <w:multiLevelType w:val="hybridMultilevel"/>
    <w:lvl w:ilvl="0">
      <w:lvlJc w:val="left"/>
      <w:lvlText w:val="(%1)"/>
      <w:numFmt w:val="lowerLetter"/>
      <w:start w:val="1"/>
    </w:lvl>
  </w:abstractNum>
  <w:abstractNum w:abstractNumId="93">
    <w:nsid w:val="2A6DE806"/>
    <w:multiLevelType w:val="hybridMultilevel"/>
    <w:lvl w:ilvl="0">
      <w:lvlJc w:val="left"/>
      <w:lvlText w:val="%1."/>
      <w:numFmt w:val="decimal"/>
      <w:start w:val="1"/>
    </w:lvl>
  </w:abstractNum>
  <w:abstractNum w:abstractNumId="94">
    <w:nsid w:val="1816F8C4"/>
    <w:multiLevelType w:val="hybridMultilevel"/>
    <w:lvl w:ilvl="0">
      <w:lvlJc w:val="left"/>
      <w:lvlText w:val="%1"/>
      <w:numFmt w:val="decimal"/>
      <w:start w:val="1"/>
    </w:lvl>
    <w:lvl w:ilvl="1">
      <w:lvlJc w:val="left"/>
      <w:lvlText w:val="(%2)"/>
      <w:numFmt w:val="lowerLetter"/>
      <w:start w:val="1"/>
    </w:lvl>
  </w:abstractNum>
  <w:abstractNum w:abstractNumId="95">
    <w:nsid w:val="37DF2233"/>
    <w:multiLevelType w:val="hybridMultilevel"/>
    <w:lvl w:ilvl="0">
      <w:lvlJc w:val="left"/>
      <w:lvlText w:val="%1."/>
      <w:numFmt w:val="decimal"/>
      <w:start w:val="2"/>
    </w:lvl>
    <w:lvl w:ilvl="1">
      <w:lvlJc w:val="left"/>
      <w:lvlText w:val="%2"/>
      <w:numFmt w:val="lowerLetter"/>
      <w:start w:val="1"/>
    </w:lvl>
  </w:abstractNum>
  <w:abstractNum w:abstractNumId="96">
    <w:nsid w:val="7AB49DAF"/>
    <w:multiLevelType w:val="hybridMultilevel"/>
    <w:lvl w:ilvl="0">
      <w:lvlJc w:val="left"/>
      <w:lvlText w:val="(%1)"/>
      <w:numFmt w:val="lowerLetter"/>
      <w:start w:val="1"/>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decimal"/>
      <w:start w:val="3"/>
    </w:lvl>
    <w:lvl w:ilvl="1">
      <w:lvlJc w:val="left"/>
      <w:lvlText w:val="(%2)"/>
      <w:numFmt w:val="lowerLetter"/>
      <w:start w:val="1"/>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decimal"/>
      <w:start w:val="5"/>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lowerLetter"/>
      <w:start w:val="4"/>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decimal"/>
      <w:start w:val="6"/>
    </w:lvl>
  </w:abstractNum>
  <w:abstractNum w:abstractNumId="105">
    <w:nsid w:val="75486E47"/>
    <w:multiLevelType w:val="hybridMultilevel"/>
    <w:lvl w:ilvl="0">
      <w:lvlJc w:val="left"/>
      <w:lvlText w:val="(%1)"/>
      <w:numFmt w:val="lowerLetter"/>
      <w:start w:val="1"/>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1"/>
    </w:lvl>
    <w:lvl w:ilvl="1">
      <w:lvlJc w:val="left"/>
      <w:lvlText w:val="(%2)"/>
      <w:numFmt w:val="lowerRoman"/>
      <w:start w:val="1"/>
    </w:lvl>
  </w:abstractNum>
  <w:abstractNum w:abstractNumId="108">
    <w:nsid w:val="65968C1C"/>
    <w:multiLevelType w:val="hybridMultilevel"/>
    <w:lvl w:ilvl="0">
      <w:lvlJc w:val="left"/>
      <w:lvlText w:val="(%1)"/>
      <w:numFmt w:val="lowerLetter"/>
      <w:start w:val="4"/>
    </w:lvl>
    <w:lvl w:ilvl="1">
      <w:lvlJc w:val="left"/>
      <w:lvlText w:val="(%2)"/>
      <w:numFmt w:val="lowerRoman"/>
      <w:start w:val="1"/>
    </w:lvl>
  </w:abstractNum>
  <w:abstractNum w:abstractNumId="109">
    <w:nsid w:val="46263DEC"/>
    <w:multiLevelType w:val="hybridMultilevel"/>
    <w:lvl w:ilvl="0">
      <w:lvlJc w:val="left"/>
      <w:lvlText w:val="%1"/>
      <w:numFmt w:val="decimal"/>
      <w:start w:val="1"/>
    </w:lvl>
    <w:lvl w:ilvl="1">
      <w:lvlJc w:val="left"/>
      <w:lvlText w:val="(%2)"/>
      <w:numFmt w:val="lowerLetter"/>
      <w:start w:val="7"/>
    </w:lvl>
  </w:abstractNum>
  <w:abstractNum w:abstractNumId="110">
    <w:nsid w:val="260D8C4A"/>
    <w:multiLevelType w:val="hybridMultilevel"/>
    <w:lvl w:ilvl="0">
      <w:lvlJc w:val="left"/>
      <w:lvlText w:val="%1."/>
      <w:numFmt w:val="decimal"/>
      <w:start w:val="7"/>
    </w:lvl>
    <w:lvl w:ilvl="1">
      <w:lvlJc w:val="left"/>
      <w:lvlText w:val="%2"/>
      <w:numFmt w:val="lowerLetter"/>
      <w:start w:val="1"/>
    </w:lvl>
  </w:abstractNum>
  <w:abstractNum w:abstractNumId="111">
    <w:nsid w:val="73D4D3C4"/>
    <w:multiLevelType w:val="hybridMultilevel"/>
    <w:lvl w:ilvl="0">
      <w:lvlJc w:val="left"/>
      <w:lvlText w:val="(%1)"/>
      <w:numFmt w:val="lowerLetter"/>
      <w:start w:val="1"/>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decimal"/>
      <w:start w:val="8"/>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3"/>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decimal"/>
      <w:start w:val="9"/>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decimal"/>
      <w:start w:val="1"/>
    </w:lvl>
    <w:lvl w:ilvl="1">
      <w:lvlJc w:val="left"/>
      <w:lvlText w:val="(%2)"/>
      <w:numFmt w:val="lowerLetter"/>
      <w:start w:val="1"/>
    </w:lvl>
  </w:abstractNum>
  <w:abstractNum w:abstractNumId="120">
    <w:nsid w:val="3B594807"/>
    <w:multiLevelType w:val="hybridMultilevel"/>
    <w:lvl w:ilvl="0">
      <w:lvlJc w:val="left"/>
      <w:lvlText w:val="%1."/>
      <w:numFmt w:val="decimal"/>
      <w:start w:val="10"/>
    </w:lvl>
    <w:lvl w:ilvl="1">
      <w:lvlJc w:val="left"/>
      <w:lvlText w:val="%2"/>
      <w:numFmt w:val="lowerLetter"/>
      <w:start w:val="1"/>
    </w:lvl>
  </w:abstractNum>
  <w:abstractNum w:abstractNumId="121">
    <w:nsid w:val="6CAA2304"/>
    <w:multiLevelType w:val="hybridMultilevel"/>
    <w:lvl w:ilvl="0">
      <w:lvlJc w:val="left"/>
      <w:lvlText w:val="(%1)"/>
      <w:numFmt w:val="lowerLetter"/>
      <w:start w:val="1"/>
    </w:lvl>
  </w:abstractNum>
  <w:abstractNum w:abstractNumId="122">
    <w:nsid w:val="3F7C2FF4"/>
    <w:multiLevelType w:val="hybridMultilevel"/>
    <w:lvl w:ilvl="0">
      <w:lvlJc w:val="left"/>
      <w:lvlText w:val="(%1)"/>
      <w:numFmt w:val="lowerLetter"/>
      <w:start w:val="1"/>
    </w:lvl>
  </w:abstractNum>
  <w:abstractNum w:abstractNumId="123">
    <w:nsid w:val="25413BEC"/>
    <w:multiLevelType w:val="hybridMultilevel"/>
    <w:lvl w:ilvl="0">
      <w:lvlJc w:val="left"/>
      <w:lvlText w:val="%1."/>
      <w:numFmt w:val="decimal"/>
      <w:start w:val="11"/>
    </w:lvl>
  </w:abstractNum>
  <w:abstractNum w:abstractNumId="124">
    <w:nsid w:val="17180B0B"/>
    <w:multiLevelType w:val="hybridMultilevel"/>
    <w:lvl w:ilvl="0">
      <w:lvlJc w:val="left"/>
      <w:lvlText w:val="%1"/>
      <w:numFmt w:val="decimal"/>
      <w:start w:val="1"/>
    </w:lvl>
    <w:lvl w:ilvl="1">
      <w:lvlJc w:val="left"/>
      <w:lvlText w:val="(%2)"/>
      <w:numFmt w:val="lowerLetter"/>
      <w:start w:val="1"/>
    </w:lvl>
  </w:abstractNum>
  <w:abstractNum w:abstractNumId="125">
    <w:nsid w:val="579328B9"/>
    <w:multiLevelType w:val="hybridMultilevel"/>
    <w:lvl w:ilvl="0">
      <w:lvlJc w:val="left"/>
      <w:lvlText w:val="%1."/>
      <w:numFmt w:val="decimal"/>
      <w:start w:val="12"/>
    </w:lvl>
    <w:lvl w:ilvl="1">
      <w:lvlJc w:val="left"/>
      <w:lvlText w:val="%2"/>
      <w:numFmt w:val="lowerLetter"/>
      <w:start w:val="1"/>
    </w:lvl>
  </w:abstractNum>
  <w:abstractNum w:abstractNumId="126">
    <w:nsid w:val="5D205E20"/>
    <w:multiLevelType w:val="hybridMultilevel"/>
    <w:lvl w:ilvl="0">
      <w:lvlJc w:val="left"/>
      <w:lvlText w:val="(%1)"/>
      <w:numFmt w:val="lowerLetter"/>
      <w:start w:val="1"/>
    </w:lvl>
  </w:abstractNum>
  <w:abstractNum w:abstractNumId="127">
    <w:nsid w:val="11CCA8BA"/>
    <w:multiLevelType w:val="hybridMultilevel"/>
    <w:lvl w:ilvl="0">
      <w:lvlJc w:val="left"/>
      <w:lvlText w:val="%1."/>
      <w:numFmt w:val="decimal"/>
      <w:start w:val="13"/>
    </w:lvl>
  </w:abstractNum>
  <w:abstractNum w:abstractNumId="128">
    <w:nsid w:val="4D32AB86"/>
    <w:multiLevelType w:val="hybridMultilevel"/>
    <w:lvl w:ilvl="0">
      <w:lvlJc w:val="left"/>
      <w:lvlText w:val="%1."/>
      <w:numFmt w:val="decimal"/>
      <w:start w:val="14"/>
    </w:lvl>
  </w:abstractNum>
  <w:abstractNum w:abstractNumId="129">
    <w:nsid w:val="3F07ACC3"/>
    <w:multiLevelType w:val="hybridMultilevel"/>
    <w:lvl w:ilvl="0">
      <w:lvlJc w:val="left"/>
      <w:lvlText w:val="(%1)"/>
      <w:numFmt w:val="decimal"/>
      <w:start w:val="3"/>
    </w:lvl>
  </w:abstractNum>
  <w:abstractNum w:abstractNumId="130">
    <w:nsid w:val="6B47F63E"/>
    <w:multiLevelType w:val="hybridMultilevel"/>
    <w:lvl w:ilvl="0">
      <w:lvlJc w:val="left"/>
      <w:lvlText w:val="%1."/>
      <w:numFmt w:val="decimal"/>
      <w:start w:val="15"/>
    </w:lvl>
  </w:abstractNum>
  <w:abstractNum w:abstractNumId="131">
    <w:nsid w:val="5CB44A05"/>
    <w:multiLevelType w:val="hybridMultilevel"/>
    <w:lvl w:ilvl="0">
      <w:lvlJc w:val="left"/>
      <w:lvlText w:val="(%1)"/>
      <w:numFmt w:val="lowerLetter"/>
      <w:start w:val="1"/>
    </w:lvl>
  </w:abstractNum>
  <w:abstractNum w:abstractNumId="132">
    <w:nsid w:val="16CF80F1"/>
    <w:multiLevelType w:val="hybridMultilevel"/>
    <w:lvl w:ilvl="0">
      <w:lvlJc w:val="left"/>
      <w:lvlText w:val="%1."/>
      <w:numFmt w:val="decimal"/>
      <w:start w:val="16"/>
    </w:lvl>
  </w:abstractNum>
  <w:abstractNum w:abstractNumId="133">
    <w:nsid w:val="1C695DEC"/>
    <w:multiLevelType w:val="hybridMultilevel"/>
    <w:lvl w:ilvl="0">
      <w:lvlJc w:val="left"/>
      <w:lvlText w:val="%1"/>
      <w:numFmt w:val="decimal"/>
      <w:start w:val="1"/>
    </w:lvl>
    <w:lvl w:ilvl="1">
      <w:lvlJc w:val="left"/>
      <w:lvlText w:val="(%2)"/>
      <w:numFmt w:val="lowerLetter"/>
      <w:start w:val="1"/>
    </w:lvl>
  </w:abstractNum>
  <w:abstractNum w:abstractNumId="134">
    <w:nsid w:val="3FCFAED9"/>
    <w:multiLevelType w:val="hybridMultilevel"/>
    <w:lvl w:ilvl="0">
      <w:lvlJc w:val="left"/>
      <w:lvlText w:val="%1."/>
      <w:numFmt w:val="decimal"/>
      <w:start w:val="17"/>
    </w:lvl>
    <w:lvl w:ilvl="1">
      <w:lvlJc w:val="left"/>
      <w:lvlText w:val="%2"/>
      <w:numFmt w:val="lowerLetter"/>
      <w:start w:val="1"/>
    </w:lvl>
  </w:abstractNum>
  <w:abstractNum w:abstractNumId="135">
    <w:nsid w:val="F856867"/>
    <w:multiLevelType w:val="hybridMultilevel"/>
    <w:lvl w:ilvl="0">
      <w:lvlJc w:val="left"/>
      <w:lvlText w:val="%1."/>
      <w:numFmt w:val="decimal"/>
      <w:start w:val="1"/>
    </w:lvl>
  </w:abstractNum>
  <w:abstractNum w:abstractNumId="136">
    <w:nsid w:val="11B1CC33"/>
    <w:multiLevelType w:val="hybridMultilevel"/>
    <w:lvl w:ilvl="0">
      <w:lvlJc w:val="left"/>
      <w:lvlText w:val="%1."/>
      <w:numFmt w:val="decimal"/>
      <w:start w:val="2"/>
    </w:lvl>
  </w:abstractNum>
  <w:abstractNum w:abstractNumId="137">
    <w:nsid w:val="2E22FBB7"/>
    <w:multiLevelType w:val="hybridMultilevel"/>
    <w:lvl w:ilvl="0">
      <w:lvlJc w:val="left"/>
      <w:lvlText w:val="(%1)"/>
      <w:numFmt w:val="lowerLetter"/>
      <w:start w:val="1"/>
    </w:lvl>
    <w:lvl w:ilvl="1">
      <w:lvlJc w:val="left"/>
      <w:lvlText w:val="(%2)"/>
      <w:numFmt w:val="lowerRoman"/>
      <w:start w:val="1"/>
    </w:lvl>
  </w:abstractNum>
  <w:abstractNum w:abstractNumId="138">
    <w:nsid w:val="29934699"/>
    <w:multiLevelType w:val="hybridMultilevel"/>
    <w:lvl w:ilvl="0">
      <w:lvlJc w:val="left"/>
      <w:lvlText w:val="(%1)"/>
      <w:numFmt w:val="lowerLetter"/>
      <w:start w:val="1"/>
    </w:lvl>
  </w:abstractNum>
  <w:abstractNum w:abstractNumId="139">
    <w:nsid w:val="77485850"/>
    <w:multiLevelType w:val="hybridMultilevel"/>
    <w:lvl w:ilvl="0">
      <w:lvlJc w:val="left"/>
      <w:lvlText w:val="(%1)"/>
      <w:numFmt w:val="lowerLetter"/>
      <w:start w:val="1"/>
    </w:lvl>
  </w:abstractNum>
  <w:abstractNum w:abstractNumId="140">
    <w:nsid w:val="744939A3"/>
    <w:multiLevelType w:val="hybridMultilevel"/>
    <w:lvl w:ilvl="0">
      <w:lvlJc w:val="left"/>
      <w:lvlText w:val="%1."/>
      <w:numFmt w:val="decimal"/>
      <w:start w:val="3"/>
    </w:lvl>
  </w:abstractNum>
  <w:abstractNum w:abstractNumId="141">
    <w:nsid w:val="4FA0D2E3"/>
    <w:multiLevelType w:val="hybridMultilevel"/>
    <w:lvl w:ilvl="0">
      <w:lvlJc w:val="left"/>
      <w:lvlText w:val="(%1)"/>
      <w:numFmt w:val="lowerLetter"/>
      <w:start w:val="1"/>
    </w:lvl>
    <w:lvl w:ilvl="1">
      <w:lvlJc w:val="left"/>
      <w:lvlText w:val="(%2)"/>
      <w:numFmt w:val="lowerRoman"/>
      <w:start w:val="1"/>
    </w:lvl>
  </w:abstractNum>
  <w:abstractNum w:abstractNumId="142">
    <w:nsid w:val="6B1D2C14"/>
    <w:multiLevelType w:val="hybridMultilevel"/>
    <w:lvl w:ilvl="0">
      <w:lvlJc w:val="left"/>
      <w:lvlText w:val="%1."/>
      <w:numFmt w:val="decimal"/>
      <w:start w:val="4"/>
    </w:lvl>
  </w:abstractNum>
  <w:abstractNum w:abstractNumId="143">
    <w:nsid w:val="68B867D3"/>
    <w:multiLevelType w:val="hybridMultilevel"/>
    <w:lvl w:ilvl="0">
      <w:lvlJc w:val="left"/>
      <w:lvlText w:val="%1"/>
      <w:numFmt w:val="decimal"/>
      <w:start w:val="1"/>
    </w:lvl>
    <w:lvl w:ilvl="1">
      <w:lvlJc w:val="left"/>
      <w:lvlText w:val="(%2)"/>
      <w:numFmt w:val="lowerLetter"/>
      <w:start w:val="1"/>
    </w:lvl>
  </w:abstractNum>
  <w:abstractNum w:abstractNumId="144">
    <w:nsid w:val="3F7F5DD9"/>
    <w:multiLevelType w:val="hybridMultilevel"/>
    <w:lvl w:ilvl="0">
      <w:lvlJc w:val="left"/>
      <w:lvlText w:val="%1."/>
      <w:numFmt w:val="decimal"/>
      <w:start w:val="5"/>
    </w:lvl>
    <w:lvl w:ilvl="1">
      <w:lvlJc w:val="left"/>
      <w:lvlText w:val="%2"/>
      <w:numFmt w:val="lowerLetter"/>
      <w:start w:val="1"/>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decimal"/>
      <w:start w:val="1"/>
    </w:lvl>
    <w:lvl w:ilvl="1">
      <w:lvlJc w:val="left"/>
      <w:lvlText w:val="(%2)"/>
      <w:numFmt w:val="lowerLetter"/>
      <w:start w:val="2"/>
    </w:lvl>
  </w:abstractNum>
  <w:abstractNum w:abstractNumId="147">
    <w:nsid w:val="5454945E"/>
    <w:multiLevelType w:val="hybridMultilevel"/>
    <w:lvl w:ilvl="0">
      <w:lvlJc w:val="left"/>
      <w:lvlText w:val="%1."/>
      <w:numFmt w:val="decimal"/>
      <w:start w:val="6"/>
    </w:lvl>
    <w:lvl w:ilvl="1">
      <w:lvlJc w:val="left"/>
      <w:lvlText w:val="%2"/>
      <w:numFmt w:val="lowerLetter"/>
      <w:start w:val="1"/>
    </w:lvl>
  </w:abstractNum>
  <w:abstractNum w:abstractNumId="148">
    <w:nsid w:val="4DEFDFA0"/>
    <w:multiLevelType w:val="hybridMultilevel"/>
    <w:lvl w:ilvl="0">
      <w:lvlJc w:val="left"/>
      <w:lvlText w:val="%1."/>
      <w:numFmt w:val="decimal"/>
      <w:start w:val="8"/>
    </w:lvl>
  </w:abstractNum>
  <w:abstractNum w:abstractNumId="149">
    <w:nsid w:val="2123D5F2"/>
    <w:multiLevelType w:val="hybridMultilevel"/>
    <w:lvl w:ilvl="0">
      <w:lvlJc w:val="left"/>
      <w:lvlText w:val="%1."/>
      <w:numFmt w:val="decimal"/>
      <w:start w:val="9"/>
    </w:lvl>
  </w:abstractNum>
  <w:abstractNum w:abstractNumId="150">
    <w:nsid w:val="135B8110"/>
    <w:multiLevelType w:val="hybridMultilevel"/>
    <w:lvl w:ilvl="0">
      <w:lvlJc w:val="left"/>
      <w:lvlText w:val="(%1)"/>
      <w:numFmt w:val="lowerLetter"/>
      <w:start w:val="1"/>
    </w:lvl>
  </w:abstractNum>
  <w:abstractNum w:abstractNumId="151">
    <w:nsid w:val="94927A8"/>
    <w:multiLevelType w:val="hybridMultilevel"/>
    <w:lvl w:ilvl="0">
      <w:lvlJc w:val="left"/>
      <w:lvlText w:val="%1."/>
      <w:numFmt w:val="decimal"/>
      <w:start w:val="12"/>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decimal"/>
      <w:start w:val="13"/>
    </w:lvl>
  </w:abstractNum>
  <w:abstractNum w:abstractNumId="154">
    <w:nsid w:val="2E8A6394"/>
    <w:multiLevelType w:val="hybridMultilevel"/>
    <w:lvl w:ilvl="0">
      <w:lvlJc w:val="left"/>
      <w:lvlText w:val="%1."/>
      <w:numFmt w:val="decimal"/>
      <w:start w:val="14"/>
    </w:lvl>
    <w:lvl w:ilvl="1">
      <w:lvlJc w:val="left"/>
      <w:lvlText w:val="(%2)"/>
      <w:numFmt w:val="lowerLetter"/>
      <w:start w:val="1"/>
    </w:lvl>
  </w:abstractNum>
  <w:abstractNum w:abstractNumId="155">
    <w:nsid w:val="24E60401"/>
    <w:multiLevelType w:val="hybridMultilevel"/>
    <w:lvl w:ilvl="0">
      <w:lvlJc w:val="left"/>
      <w:lvlText w:val="%1."/>
      <w:numFmt w:val="decimal"/>
      <w:start w:val="1"/>
    </w:lvl>
  </w:abstractNum>
  <w:abstractNum w:abstractNumId="156">
    <w:nsid w:val="2A6AD9BE"/>
    <w:multiLevelType w:val="hybridMultilevel"/>
    <w:lvl w:ilvl="0">
      <w:lvlJc w:val="left"/>
      <w:lvlText w:val="%1"/>
      <w:numFmt w:val="decimal"/>
      <w:start w:val="1"/>
    </w:lvl>
    <w:lvl w:ilvl="1">
      <w:lvlJc w:val="left"/>
      <w:lvlText w:val="(%2)"/>
      <w:numFmt w:val="lowerLetter"/>
      <w:start w:val="1"/>
    </w:lvl>
  </w:abstractNum>
  <w:abstractNum w:abstractNumId="157">
    <w:nsid w:val="BAAC1B4"/>
    <w:multiLevelType w:val="hybridMultilevel"/>
    <w:lvl w:ilvl="0">
      <w:lvlJc w:val="left"/>
      <w:lvlText w:val="%1."/>
      <w:numFmt w:val="decimal"/>
      <w:start w:val="2"/>
    </w:lvl>
    <w:lvl w:ilvl="1">
      <w:lvlJc w:val="left"/>
      <w:lvlText w:val="%2"/>
      <w:numFmt w:val="lowerLetter"/>
      <w:start w:val="1"/>
    </w:lvl>
  </w:abstractNum>
  <w:abstractNum w:abstractNumId="158">
    <w:nsid w:val="36B2ACBC"/>
    <w:multiLevelType w:val="hybridMultilevel"/>
    <w:lvl w:ilvl="0">
      <w:lvlJc w:val="left"/>
      <w:lvlText w:val="%1."/>
      <w:numFmt w:val="decimal"/>
      <w:start w:val="1"/>
    </w:lvl>
  </w:abstractNum>
  <w:abstractNum w:abstractNumId="159">
    <w:nsid w:val="779D8544"/>
    <w:multiLevelType w:val="hybridMultilevel"/>
    <w:lvl w:ilvl="0">
      <w:lvlJc w:val="left"/>
      <w:lvlText w:val="%1."/>
      <w:numFmt w:val="decimal"/>
      <w:start w:val="2"/>
    </w:lvl>
  </w:abstractNum>
  <w:abstractNum w:abstractNumId="160">
    <w:nsid w:val="4AB26E78"/>
    <w:multiLevelType w:val="hybridMultilevel"/>
    <w:lvl w:ilvl="0">
      <w:lvlJc w:val="left"/>
      <w:lvlText w:val="%1."/>
      <w:numFmt w:val="decimal"/>
      <w:start w:val="3"/>
    </w:lvl>
  </w:abstractNum>
  <w:abstractNum w:abstractNumId="161">
    <w:nsid w:val="21FAA2FA"/>
    <w:multiLevelType w:val="hybridMultilevel"/>
    <w:lvl w:ilvl="0">
      <w:lvlJc w:val="left"/>
      <w:lvlText w:val="%1."/>
      <w:numFmt w:val="decimal"/>
      <w:start w:val="4"/>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lowerLetter"/>
      <w:start w:val="1"/>
    </w:lvl>
  </w:abstractNum>
  <w:abstractNum w:abstractNumId="164">
    <w:nsid w:val="3E6400E6"/>
    <w:multiLevelType w:val="hybridMultilevel"/>
    <w:lvl w:ilvl="0">
      <w:lvlJc w:val="left"/>
      <w:lvlText w:val="%1"/>
      <w:numFmt w:val="decimal"/>
      <w:start w:val="1"/>
    </w:lvl>
    <w:lvl w:ilvl="1">
      <w:lvlJc w:val="left"/>
      <w:lvlText w:val="(%2)"/>
      <w:numFmt w:val="lowerLetter"/>
      <w:start w:val="1"/>
    </w:lvl>
  </w:abstractNum>
  <w:abstractNum w:abstractNumId="165">
    <w:nsid w:val="14217E23"/>
    <w:multiLevelType w:val="hybridMultilevel"/>
    <w:lvl w:ilvl="0">
      <w:lvlJc w:val="left"/>
      <w:lvlText w:val="%1."/>
      <w:numFmt w:val="decimal"/>
      <w:start w:val="5"/>
    </w:lvl>
    <w:lvl w:ilvl="1">
      <w:lvlJc w:val="left"/>
      <w:lvlText w:val="%2"/>
      <w:numFmt w:val="lowerLetter"/>
      <w:start w:val="1"/>
    </w:lvl>
  </w:abstractNum>
  <w:abstractNum w:abstractNumId="166">
    <w:nsid w:val="710757D0"/>
    <w:multiLevelType w:val="hybridMultilevel"/>
    <w:lvl w:ilvl="0">
      <w:lvlJc w:val="left"/>
      <w:lvlText w:val="%1."/>
      <w:numFmt w:val="decimal"/>
      <w:start w:val="6"/>
    </w:lvl>
  </w:abstractNum>
  <w:abstractNum w:abstractNumId="167">
    <w:nsid w:val="5015CD1A"/>
    <w:multiLevelType w:val="hybridMultilevel"/>
    <w:lvl w:ilvl="0">
      <w:lvlJc w:val="left"/>
      <w:lvlText w:val="%1"/>
      <w:numFmt w:val="decimal"/>
      <w:start w:val="1"/>
    </w:lvl>
    <w:lvl w:ilvl="1">
      <w:lvlJc w:val="left"/>
      <w:lvlText w:val="(%2)"/>
      <w:numFmt w:val="lowerLetter"/>
      <w:start w:val="1"/>
    </w:lvl>
  </w:abstractNum>
  <w:abstractNum w:abstractNumId="168">
    <w:nsid w:val="424479DA"/>
    <w:multiLevelType w:val="hybridMultilevel"/>
    <w:lvl w:ilvl="0">
      <w:lvlJc w:val="left"/>
      <w:lvlText w:val="%1."/>
      <w:numFmt w:val="decimal"/>
      <w:start w:val="7"/>
    </w:lvl>
    <w:lvl w:ilvl="1">
      <w:lvlJc w:val="left"/>
      <w:lvlText w:val="%2"/>
      <w:numFmt w:val="lowerLetter"/>
      <w:start w:val="1"/>
    </w:lvl>
  </w:abstractNum>
  <w:abstractNum w:abstractNumId="169">
    <w:nsid w:val="1A9A9E69"/>
    <w:multiLevelType w:val="hybridMultilevel"/>
    <w:lvl w:ilvl="0">
      <w:lvlJc w:val="left"/>
      <w:lvlText w:val="%1."/>
      <w:numFmt w:val="decimal"/>
      <w:start w:val="8"/>
    </w:lvl>
  </w:abstractNum>
  <w:abstractNum w:abstractNumId="170">
    <w:nsid w:val="475E256A"/>
    <w:multiLevelType w:val="hybridMultilevel"/>
    <w:lvl w:ilvl="0">
      <w:lvlJc w:val="left"/>
      <w:lvlText w:val="(%1)"/>
      <w:numFmt w:val="lowerLetter"/>
      <w:start w:val="1"/>
    </w:lvl>
  </w:abstractNum>
  <w:abstractNum w:abstractNumId="171">
    <w:nsid w:val="368DB37E"/>
    <w:multiLevelType w:val="hybridMultilevel"/>
    <w:lvl w:ilvl="0">
      <w:lvlJc w:val="left"/>
      <w:lvlText w:val="%1."/>
      <w:numFmt w:val="decimal"/>
      <w:start w:val="9"/>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decimal"/>
      <w:start w:val="1"/>
    </w:lvl>
  </w:abstractNum>
  <w:abstractNum w:abstractNumId="174">
    <w:nsid w:val="1F461B51"/>
    <w:multiLevelType w:val="hybridMultilevel"/>
    <w:lvl w:ilvl="0">
      <w:lvlJc w:val="left"/>
      <w:lvlText w:val="%1."/>
      <w:numFmt w:val="decimal"/>
      <w:start w:val="2"/>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decimal"/>
      <w:start w:val="3"/>
    </w:lvl>
  </w:abstractNum>
  <w:abstractNum w:abstractNumId="177">
    <w:nsid w:val="51BF6B48"/>
    <w:multiLevelType w:val="hybridMultilevel"/>
    <w:lvl w:ilvl="0">
      <w:lvlJc w:val="left"/>
      <w:lvlText w:val="(%1)"/>
      <w:numFmt w:val="lowerLetter"/>
      <w:start w:val="1"/>
    </w:lvl>
  </w:abstractNum>
  <w:abstractNum w:abstractNumId="178">
    <w:nsid w:val="7E0F6384"/>
    <w:multiLevelType w:val="hybridMultilevel"/>
    <w:lvl w:ilvl="0">
      <w:lvlJc w:val="left"/>
      <w:lvlText w:val="(%1)"/>
      <w:numFmt w:val="lowerLetter"/>
      <w:start w:val="1"/>
    </w:lvl>
  </w:abstractNum>
  <w:abstractNum w:abstractNumId="179">
    <w:nsid w:val="2B4B8B53"/>
    <w:multiLevelType w:val="hybridMultilevel"/>
    <w:lvl w:ilvl="0">
      <w:lvlJc w:val="left"/>
      <w:lvlText w:val="(%1)"/>
      <w:numFmt w:val="upperLetter"/>
      <w:start w:val="1"/>
    </w:lvl>
  </w:abstractNum>
  <w:abstractNum w:abstractNumId="180">
    <w:nsid w:val="72E3413A"/>
    <w:multiLevelType w:val="hybridMultilevel"/>
    <w:lvl w:ilvl="0">
      <w:lvlJc w:val="left"/>
      <w:lvlText w:val="(%1)"/>
      <w:numFmt w:val="upperLetter"/>
      <w:start w:val="4"/>
    </w:lvl>
  </w:abstractNum>
  <w:abstractNum w:abstractNumId="181">
    <w:nsid w:val="116AE494"/>
    <w:multiLevelType w:val="hybridMultilevel"/>
    <w:lvl w:ilvl="0">
      <w:lvlJc w:val="left"/>
      <w:lvlText w:val="(%1)"/>
      <w:numFmt w:val="lowerRoman"/>
      <w:start w:val="1"/>
    </w:lvl>
  </w:abstractNum>
  <w:abstractNum w:abstractNumId="182">
    <w:nsid w:val="3494B2FB"/>
    <w:multiLevelType w:val="hybridMultilevel"/>
    <w:lvl w:ilvl="0">
      <w:lvlJc w:val="left"/>
      <w:lvlText w:val="(%1)"/>
      <w:numFmt w:val="lowerRoman"/>
      <w:start w:val="3"/>
    </w:lvl>
  </w:abstractNum>
  <w:abstractNum w:abstractNumId="183">
    <w:nsid w:val="B13A31"/>
    <w:multiLevelType w:val="hybridMultilevel"/>
    <w:lvl w:ilvl="0">
      <w:lvlJc w:val="left"/>
      <w:lvlText w:val="(%1)"/>
      <w:numFmt w:val="lowerLetter"/>
      <w:start w:val="2"/>
    </w:lvl>
  </w:abstractNum>
  <w:abstractNum w:abstractNumId="184">
    <w:nsid w:val="64429599"/>
    <w:multiLevelType w:val="hybridMultilevel"/>
    <w:lvl w:ilvl="0">
      <w:lvlJc w:val="left"/>
      <w:lvlText w:val="1"/>
      <w:numFmt w:val="bullet"/>
      <w:start w:val="1"/>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2"/>
      <w:numFmt w:val="bullet"/>
      <w:start w:val="1"/>
    </w:lvl>
  </w:abstractNum>
  <w:abstractNum w:abstractNumId="187">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8">
    <w:nsid w:val="6EC9D844"/>
    <w:multiLevelType w:val="hybridMultilevel"/>
    <w:lvl w:ilvl="0">
      <w:lvlJc w:val="left"/>
      <w:lvlText w:val="(%1)"/>
      <w:numFmt w:val="lowerLetter"/>
      <w:start w:val="1"/>
    </w:lvl>
  </w:abstractNum>
  <w:abstractNum w:abstractNumId="189">
    <w:nsid w:val="5C49EAE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2026-04-22T05:07:20Z</dcterms:created>
  <dcterms:modified xsi:type="dcterms:W3CDTF">2026-04-22T05:07:20Z</dcterms:modified>
</cp:coreProperties>
</file>